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441284-2024-01398</w:t>
      </w:r>
    </w:p>
    <w:p>
      <w:pPr>
        <w:pStyle w:val="null3"/>
        <w:jc w:val="center"/>
        <w:outlineLvl w:val="3"/>
      </w:pPr>
      <w:r>
        <w:rPr>
          <w:sz w:val="24"/>
          <w:b/>
        </w:rPr>
        <w:t>采购项目编号：</w:t>
      </w:r>
      <w:r>
        <w:rPr>
          <w:sz w:val="24"/>
          <w:b/>
        </w:rPr>
        <w:t>0809-2441SHC3B701</w:t>
      </w:r>
    </w:p>
    <w:p>
      <w:pPr>
        <w:pStyle w:val="null3"/>
        <w:jc w:val="center"/>
        <w:outlineLvl w:val="3"/>
      </w:pPr>
      <w:r>
        <w:rPr>
          <w:sz w:val="24"/>
          <w:b/>
        </w:rPr>
        <w:t>项目名称：</w:t>
      </w:r>
      <w:r>
        <w:rPr>
          <w:sz w:val="24"/>
          <w:b/>
        </w:rPr>
        <w:t>四会市社区戒毒社区康复社工服务</w:t>
      </w:r>
    </w:p>
    <w:p>
      <w:pPr>
        <w:pStyle w:val="null3"/>
        <w:jc w:val="center"/>
        <w:outlineLvl w:val="3"/>
      </w:pPr>
      <w:r>
        <w:rPr>
          <w:sz w:val="24"/>
          <w:b/>
        </w:rPr>
        <w:t>采购人：</w:t>
      </w:r>
      <w:r>
        <w:rPr>
          <w:sz w:val="24"/>
          <w:b/>
        </w:rPr>
        <w:t>四会市公安局</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广东华伦招标有限公司</w:t>
      </w:r>
      <w:r>
        <w:rPr/>
        <w:t>受</w:t>
      </w:r>
      <w:r>
        <w:rPr/>
        <w:t>四会市公安局</w:t>
      </w:r>
      <w:r>
        <w:rPr/>
        <w:t>的委托，采用</w:t>
      </w:r>
      <w:r>
        <w:rPr/>
        <w:t>竞争性磋商</w:t>
      </w:r>
      <w:r>
        <w:rPr/>
        <w:t>方式组织采购</w:t>
      </w:r>
      <w:r>
        <w:rPr/>
        <w:t>四会市社区戒毒社区康复社工服务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四会市社区戒毒社区康复社工服务</w:t>
      </w:r>
    </w:p>
    <w:p>
      <w:pPr>
        <w:pStyle w:val="null3"/>
        <w:ind w:firstLine="480"/>
      </w:pPr>
      <w:r>
        <w:rPr/>
        <w:t>采购计划编号：</w:t>
      </w:r>
      <w:r>
        <w:rPr/>
        <w:t>441284-2024-01398</w:t>
      </w:r>
    </w:p>
    <w:p>
      <w:pPr>
        <w:pStyle w:val="null3"/>
        <w:ind w:firstLine="480"/>
      </w:pPr>
      <w:r>
        <w:rPr/>
        <w:t>采购项目编号：</w:t>
      </w:r>
      <w:r>
        <w:rPr/>
        <w:t>0809-2441SHC3B701</w:t>
      </w:r>
    </w:p>
    <w:p>
      <w:pPr>
        <w:pStyle w:val="null3"/>
        <w:ind w:firstLine="480"/>
      </w:pPr>
      <w:r>
        <w:rPr/>
        <w:t>采购方式：</w:t>
      </w:r>
      <w:r>
        <w:rPr/>
        <w:t>竞争性磋商</w:t>
      </w:r>
    </w:p>
    <w:p>
      <w:pPr>
        <w:pStyle w:val="null3"/>
        <w:ind w:firstLine="480"/>
      </w:pPr>
      <w:r>
        <w:rPr/>
        <w:t>预算金额：</w:t>
      </w:r>
      <w:r>
        <w:rPr/>
        <w:t>3,280,000.00</w:t>
      </w:r>
      <w:r>
        <w:rPr/>
        <w:t>元</w:t>
      </w:r>
    </w:p>
    <w:p>
      <w:pPr>
        <w:pStyle w:val="null3"/>
        <w:outlineLvl w:val="3"/>
      </w:pPr>
      <w:r>
        <w:rPr>
          <w:sz w:val="24"/>
          <w:b/>
        </w:rPr>
        <w:t>2.项目内容及需求情况（采购项目技术规格、参数及要求）</w:t>
      </w:r>
    </w:p>
    <w:p>
      <w:pPr>
        <w:pStyle w:val="null3"/>
      </w:pPr>
      <w:r>
        <w:rPr/>
        <w:t>采购包1(四会市社区戒毒社区康复社工服务):</w:t>
      </w:r>
    </w:p>
    <w:p>
      <w:pPr>
        <w:pStyle w:val="null3"/>
      </w:pPr>
      <w:r>
        <w:rPr/>
        <w:t>采购包预算金额：3,280,000.00元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其他社会服务</w:t>
            </w:r>
          </w:p>
        </w:tc>
        <w:tc>
          <w:tcPr>
            <w:tcW w:type="dxa" w:w="2052"/>
          </w:tcPr>
          <w:p>
            <w:pPr>
              <w:pStyle w:val="null3"/>
            </w:pPr>
            <w:r>
              <w:rPr/>
              <w:t>社区戒毒社区康复社工服务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3,280,000.00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合同履行期限：1、服务期限从合同生效之日起12个月，节假日按照国家法定规定，但要求有人员值班提供服务。 2、每周周一至周五正常上班。特殊情况周六周日视情况必须预留社工值班提供服务。</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填写完整并加盖公章的《附件1：资格条件承诺函》；2、提供2022年度或2023年度财务状况报告或基本开户行出具的资信证明。</w:t>
      </w:r>
    </w:p>
    <w:p>
      <w:pPr>
        <w:pStyle w:val="null3"/>
      </w:pPr>
      <w:r>
        <w:rPr/>
        <w:t>4）履行合同所必需的设备和专业技术能力：供应商提供以下其中一项有效材料即可：1、填写完整并加盖公章的《附件1：资格条件承诺函》；2、按投标（响应）文件格式填报设备及专业技术能力情况。</w:t>
      </w:r>
    </w:p>
    <w:p>
      <w:pPr>
        <w:pStyle w:val="null3"/>
      </w:pPr>
      <w:r>
        <w:rPr/>
        <w:t>5）参加采购活动前3年内，在经营活动中没有重大违法记录：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采购包1（四会市社区戒毒社区康复社工服务）：</w:t>
      </w:r>
      <w:r>
        <w:rPr/>
        <w:t>本项目整体专门面向小微企业。供应商须是符合本项目采购标的对应行业（其他未列明行业）政策划分的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采购包1（四会市社区戒毒社区康复社工服务）：</w:t>
      </w:r>
    </w:p>
    <w:p>
      <w:pPr>
        <w:pStyle w:val="null3"/>
      </w:pPr>
      <w:r>
        <w:rPr/>
        <w:t>1)供应商未被列入“信用中国”网站(www.creditchina.gov.cn)“记录失信被执行人、重大税收违法失信主体、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查询结果显示“没有该企业的相关记录”，视为该供应商无上述不良信用记录；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广东华伦招标有限公司网( http://www.gdhualun.com.cn/)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四会市公安局</w:t>
      </w:r>
    </w:p>
    <w:p>
      <w:pPr>
        <w:pStyle w:val="null3"/>
        <w:ind w:firstLine="480"/>
      </w:pPr>
      <w:r>
        <w:rPr/>
        <w:t>地址：</w:t>
      </w:r>
      <w:r>
        <w:rPr/>
        <w:t>广东省四会市东城区广场南路</w:t>
      </w:r>
    </w:p>
    <w:p>
      <w:pPr>
        <w:pStyle w:val="null3"/>
        <w:ind w:firstLine="480"/>
      </w:pPr>
      <w:r>
        <w:rPr/>
        <w:t>联系方式：</w:t>
      </w:r>
      <w:r>
        <w:rPr/>
        <w:t>0758-3366670</w:t>
      </w:r>
    </w:p>
    <w:p>
      <w:pPr>
        <w:pStyle w:val="null3"/>
        <w:outlineLvl w:val="3"/>
      </w:pPr>
      <w:r>
        <w:rPr>
          <w:sz w:val="24"/>
          <w:b/>
        </w:rPr>
        <w:t>2.采购代理机构信息</w:t>
      </w:r>
    </w:p>
    <w:p>
      <w:pPr>
        <w:pStyle w:val="null3"/>
        <w:ind w:firstLine="480"/>
      </w:pPr>
      <w:r>
        <w:rPr/>
        <w:t>名称：</w:t>
      </w:r>
      <w:r>
        <w:rPr/>
        <w:t>广东华伦招标有限公司</w:t>
      </w:r>
    </w:p>
    <w:p>
      <w:pPr>
        <w:pStyle w:val="null3"/>
        <w:ind w:firstLine="480"/>
      </w:pPr>
      <w:r>
        <w:rPr/>
        <w:t xml:space="preserve"> 地址：</w:t>
      </w:r>
      <w:r>
        <w:rPr/>
        <w:t>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用户需求书</w:t>
      </w:r>
    </w:p>
    <w:p>
      <w:pPr>
        <w:pStyle w:val="null3"/>
      </w:pPr>
      <w:r>
        <w:rPr>
          <w:sz w:val="21"/>
          <w:b/>
        </w:rPr>
        <w:t>一、总则</w:t>
      </w:r>
    </w:p>
    <w:p>
      <w:pPr>
        <w:pStyle w:val="null3"/>
      </w:pPr>
      <w:r>
        <w:rPr>
          <w:sz w:val="21"/>
        </w:rPr>
        <w:t xml:space="preserve">1. </w:t>
      </w:r>
      <w:r>
        <w:rPr>
          <w:sz w:val="21"/>
        </w:rPr>
        <w:t>本次招标的项目名称：四会市社区戒毒社区康复社工服务。</w:t>
      </w:r>
    </w:p>
    <w:p>
      <w:pPr>
        <w:pStyle w:val="null3"/>
      </w:pPr>
      <w:r>
        <w:rPr>
          <w:sz w:val="21"/>
        </w:rPr>
        <w:t xml:space="preserve">2. </w:t>
      </w:r>
      <w:r>
        <w:rPr>
          <w:sz w:val="21"/>
        </w:rPr>
        <w:t>招标范围：从事禁毒戒毒社工组织或小微企业。</w:t>
      </w:r>
    </w:p>
    <w:p>
      <w:pPr>
        <w:pStyle w:val="null3"/>
      </w:pPr>
      <w:r>
        <w:rPr>
          <w:sz w:val="21"/>
        </w:rPr>
        <w:t xml:space="preserve">3. </w:t>
      </w:r>
      <w:r>
        <w:rPr>
          <w:sz w:val="21"/>
        </w:rPr>
        <w:t>服务范围：四会市户籍在册吸毒人员，重点服务对象为户籍社区戒毒社区康复人员。</w:t>
      </w:r>
    </w:p>
    <w:p>
      <w:pPr>
        <w:pStyle w:val="null3"/>
      </w:pPr>
      <w:r>
        <w:rPr>
          <w:sz w:val="21"/>
        </w:rPr>
        <w:t xml:space="preserve">4. </w:t>
      </w:r>
      <w:r>
        <w:rPr>
          <w:sz w:val="21"/>
        </w:rPr>
        <w:t>服务期限：</w:t>
      </w:r>
    </w:p>
    <w:p>
      <w:pPr>
        <w:pStyle w:val="null3"/>
      </w:pPr>
      <w:r>
        <w:rPr>
          <w:sz w:val="21"/>
        </w:rPr>
        <w:t>（1</w:t>
      </w:r>
      <w:r>
        <w:rPr>
          <w:sz w:val="21"/>
        </w:rPr>
        <w:t>）服务期限从合同生效之日起</w:t>
      </w:r>
      <w:r>
        <w:rPr>
          <w:sz w:val="21"/>
        </w:rPr>
        <w:t>12</w:t>
      </w:r>
      <w:r>
        <w:rPr>
          <w:sz w:val="21"/>
        </w:rPr>
        <w:t>个月，节假日按照国家法定规定，但要求有人员值班提供服务。</w:t>
      </w:r>
    </w:p>
    <w:p>
      <w:pPr>
        <w:pStyle w:val="null3"/>
      </w:pPr>
      <w:r>
        <w:rPr>
          <w:sz w:val="21"/>
        </w:rPr>
        <w:t>（2</w:t>
      </w:r>
      <w:r>
        <w:rPr>
          <w:sz w:val="21"/>
        </w:rPr>
        <w:t>）每周周一至周五正常上班。特殊情况周六周日视情况必须预留社工值班提供服务。</w:t>
      </w:r>
    </w:p>
    <w:p>
      <w:pPr>
        <w:pStyle w:val="null3"/>
      </w:pPr>
      <w:r>
        <w:rPr>
          <w:sz w:val="21"/>
        </w:rPr>
        <w:t xml:space="preserve">5. </w:t>
      </w:r>
      <w:r>
        <w:rPr>
          <w:sz w:val="21"/>
        </w:rPr>
        <w:t>本项目的响应报价为固定价格（每年的服务经费为人民币</w:t>
      </w:r>
      <w:r>
        <w:rPr>
          <w:sz w:val="21"/>
        </w:rPr>
        <w:t>328</w:t>
      </w:r>
      <w:r>
        <w:rPr>
          <w:sz w:val="21"/>
        </w:rPr>
        <w:t>万元），即在一年的合同期内，服务费用不因市场物价上涨或下调而递增或递减。</w:t>
      </w:r>
    </w:p>
    <w:p>
      <w:pPr>
        <w:pStyle w:val="null3"/>
      </w:pPr>
      <w:r>
        <w:rPr>
          <w:sz w:val="21"/>
        </w:rPr>
        <w:t xml:space="preserve">6. </w:t>
      </w:r>
      <w:r>
        <w:rPr>
          <w:sz w:val="21"/>
        </w:rPr>
        <w:t>服务费用主要用于支付社工工资薪酬、节假日福利、社工专业服务费、技能成长培训费用、交纳相关的社会保险金、社工机构运营费用及管理费用以及其它费用（站点修缮、维护、办公室设备配置、交通服务等），由其需确保社工站内的办公设备，如电脑、打印机、投影机、空调等办公设备的日常损坏维修工作进行，社工站点内损坏且无维修价值的电脑、打印机、投影机、空调需从服务经费内开支重新购置新的设备以保障社工站运转，服务期结束后，</w:t>
      </w:r>
      <w:r>
        <w:rPr>
          <w:sz w:val="21"/>
        </w:rPr>
        <w:t>成交供应商</w:t>
      </w:r>
      <w:r>
        <w:rPr>
          <w:sz w:val="21"/>
        </w:rPr>
        <w:t>所购置的设备所有权归属</w:t>
      </w:r>
      <w:r>
        <w:rPr>
          <w:sz w:val="21"/>
        </w:rPr>
        <w:t>成交供应商</w:t>
      </w:r>
      <w:r>
        <w:rPr>
          <w:sz w:val="21"/>
        </w:rPr>
        <w:t>所有。</w:t>
      </w:r>
    </w:p>
    <w:p>
      <w:pPr>
        <w:pStyle w:val="null3"/>
      </w:pPr>
      <w:r>
        <w:rPr>
          <w:sz w:val="21"/>
        </w:rPr>
        <w:t>7.</w:t>
      </w:r>
      <w:r>
        <w:rPr>
          <w:sz w:val="21"/>
        </w:rPr>
        <w:t>采购人有权在签订合同时对项目方案作适当修改调整或对服务数量做适量增加或减少。</w:t>
      </w:r>
    </w:p>
    <w:p>
      <w:pPr>
        <w:pStyle w:val="null3"/>
      </w:pPr>
      <w:r>
        <w:rPr>
          <w:sz w:val="21"/>
        </w:rPr>
        <w:t xml:space="preserve">8. </w:t>
      </w:r>
      <w:r>
        <w:rPr>
          <w:sz w:val="21"/>
        </w:rPr>
        <w:t>成交供应商</w:t>
      </w:r>
      <w:r>
        <w:rPr>
          <w:sz w:val="21"/>
        </w:rPr>
        <w:t>未经采购人批准，不得以任何方式转包或分包本项目。</w:t>
      </w:r>
    </w:p>
    <w:p>
      <w:pPr>
        <w:pStyle w:val="null3"/>
      </w:pPr>
      <w:r>
        <w:rPr>
          <w:sz w:val="21"/>
        </w:rPr>
        <w:t xml:space="preserve">9. </w:t>
      </w:r>
      <w:r>
        <w:rPr>
          <w:sz w:val="21"/>
        </w:rPr>
        <w:t>本项目不接受联合体响应。</w:t>
      </w:r>
    </w:p>
    <w:p>
      <w:pPr>
        <w:pStyle w:val="null3"/>
      </w:pPr>
      <w:r>
        <w:rPr>
          <w:sz w:val="21"/>
        </w:rPr>
        <w:t xml:space="preserve">10. </w:t>
      </w:r>
      <w:r>
        <w:rPr>
          <w:sz w:val="21"/>
        </w:rPr>
        <w:t>付款方式：</w:t>
      </w:r>
    </w:p>
    <w:p>
      <w:pPr>
        <w:pStyle w:val="null3"/>
      </w:pPr>
      <w:r>
        <w:rPr>
          <w:sz w:val="21"/>
        </w:rPr>
        <w:t xml:space="preserve"> （</w:t>
      </w:r>
      <w:r>
        <w:rPr>
          <w:sz w:val="21"/>
        </w:rPr>
        <w:t>1</w:t>
      </w:r>
      <w:r>
        <w:rPr>
          <w:sz w:val="21"/>
        </w:rPr>
        <w:t>） 款项分四个阶段拨付：</w:t>
      </w:r>
    </w:p>
    <w:p>
      <w:pPr>
        <w:pStyle w:val="null3"/>
      </w:pPr>
      <w:r>
        <w:rPr>
          <w:sz w:val="21"/>
        </w:rPr>
        <w:t>1</w:t>
      </w:r>
      <w:r>
        <w:rPr>
          <w:sz w:val="21"/>
        </w:rPr>
        <w:t>期：支付比例</w:t>
      </w:r>
      <w:r>
        <w:rPr>
          <w:sz w:val="21"/>
        </w:rPr>
        <w:t>30%</w:t>
      </w:r>
      <w:r>
        <w:rPr>
          <w:sz w:val="21"/>
        </w:rPr>
        <w:t>。签订采购合同后</w:t>
      </w:r>
      <w:r>
        <w:rPr>
          <w:sz w:val="21"/>
        </w:rPr>
        <w:t>15</w:t>
      </w:r>
      <w:r>
        <w:rPr>
          <w:sz w:val="21"/>
        </w:rPr>
        <w:t>天内支付合同价的</w:t>
      </w:r>
      <w:r>
        <w:rPr>
          <w:sz w:val="21"/>
        </w:rPr>
        <w:t>30%</w:t>
      </w:r>
      <w:r>
        <w:rPr>
          <w:sz w:val="21"/>
        </w:rPr>
        <w:t>作为预付款，拨付流程为：</w:t>
      </w:r>
      <w:r>
        <w:rPr>
          <w:sz w:val="21"/>
        </w:rPr>
        <w:t>成交供应商</w:t>
      </w:r>
      <w:r>
        <w:rPr>
          <w:sz w:val="21"/>
        </w:rPr>
        <w:t>向采购人递交书面拨款申请表及项目工作计划，采购人将以上</w:t>
      </w:r>
      <w:r>
        <w:rPr>
          <w:sz w:val="21"/>
        </w:rPr>
        <w:t>成交供应商</w:t>
      </w:r>
      <w:r>
        <w:rPr>
          <w:sz w:val="21"/>
        </w:rPr>
        <w:t>材料进行审议通过。</w:t>
      </w:r>
    </w:p>
    <w:p>
      <w:pPr>
        <w:pStyle w:val="null3"/>
      </w:pPr>
      <w:r>
        <w:rPr>
          <w:sz w:val="21"/>
        </w:rPr>
        <w:t>2</w:t>
      </w:r>
      <w:r>
        <w:rPr>
          <w:sz w:val="21"/>
        </w:rPr>
        <w:t>期：支付比例</w:t>
      </w:r>
      <w:r>
        <w:rPr>
          <w:sz w:val="21"/>
        </w:rPr>
        <w:t>25%</w:t>
      </w:r>
      <w:r>
        <w:rPr>
          <w:sz w:val="21"/>
        </w:rPr>
        <w:t>。支付预付款后的第四个月内拨付，拨付条件为</w:t>
      </w:r>
      <w:r>
        <w:rPr>
          <w:sz w:val="21"/>
        </w:rPr>
        <w:t>成交供应商</w:t>
      </w:r>
      <w:r>
        <w:rPr>
          <w:sz w:val="21"/>
        </w:rPr>
        <w:t>服务项目通过中期评估。</w:t>
      </w:r>
    </w:p>
    <w:p>
      <w:pPr>
        <w:pStyle w:val="null3"/>
      </w:pPr>
      <w:r>
        <w:rPr>
          <w:sz w:val="21"/>
        </w:rPr>
        <w:t>3</w:t>
      </w:r>
      <w:r>
        <w:rPr>
          <w:sz w:val="21"/>
        </w:rPr>
        <w:t>期：支付比例</w:t>
      </w:r>
      <w:r>
        <w:rPr>
          <w:sz w:val="21"/>
        </w:rPr>
        <w:t>25%</w:t>
      </w:r>
      <w:r>
        <w:rPr>
          <w:sz w:val="21"/>
        </w:rPr>
        <w:t>。支付第</w:t>
      </w:r>
      <w:r>
        <w:rPr>
          <w:sz w:val="21"/>
        </w:rPr>
        <w:t>2</w:t>
      </w:r>
      <w:r>
        <w:rPr>
          <w:sz w:val="21"/>
        </w:rPr>
        <w:t>期款项后的第四个月内拨付，拨付条件为</w:t>
      </w:r>
      <w:r>
        <w:rPr>
          <w:sz w:val="21"/>
        </w:rPr>
        <w:t>成交供应商</w:t>
      </w:r>
      <w:r>
        <w:rPr>
          <w:sz w:val="21"/>
        </w:rPr>
        <w:t>服务项目通过中期评估。</w:t>
      </w:r>
    </w:p>
    <w:p>
      <w:pPr>
        <w:pStyle w:val="null3"/>
      </w:pPr>
      <w:r>
        <w:rPr>
          <w:sz w:val="21"/>
        </w:rPr>
        <w:t>4</w:t>
      </w:r>
      <w:r>
        <w:rPr>
          <w:sz w:val="21"/>
        </w:rPr>
        <w:t>期：支付比例</w:t>
      </w:r>
      <w:r>
        <w:rPr>
          <w:sz w:val="21"/>
        </w:rPr>
        <w:t>20%</w:t>
      </w:r>
      <w:r>
        <w:rPr>
          <w:sz w:val="21"/>
        </w:rPr>
        <w:t>。第四笔季度费用拨付时间为项目结束后四个月内，拨付条件为</w:t>
      </w:r>
      <w:r>
        <w:rPr>
          <w:sz w:val="21"/>
        </w:rPr>
        <w:t>成交供应商</w:t>
      </w:r>
      <w:r>
        <w:rPr>
          <w:sz w:val="21"/>
        </w:rPr>
        <w:t>服务项目通过末期评估。</w:t>
      </w:r>
    </w:p>
    <w:p>
      <w:pPr>
        <w:pStyle w:val="null3"/>
      </w:pPr>
      <w:r>
        <w:rPr>
          <w:sz w:val="21"/>
        </w:rPr>
        <w:t>（2</w:t>
      </w:r>
      <w:r>
        <w:rPr>
          <w:sz w:val="21"/>
        </w:rPr>
        <w:t>）</w:t>
      </w:r>
      <w:r>
        <w:rPr>
          <w:sz w:val="21"/>
        </w:rPr>
        <w:t>成交供应商</w:t>
      </w:r>
      <w:r>
        <w:rPr>
          <w:sz w:val="21"/>
        </w:rPr>
        <w:t>须在每个付款日前至少</w:t>
      </w:r>
      <w:r>
        <w:rPr>
          <w:sz w:val="21"/>
        </w:rPr>
        <w:t>10</w:t>
      </w:r>
      <w:r>
        <w:rPr>
          <w:sz w:val="21"/>
        </w:rPr>
        <w:t>天提供税务发票给采购人。</w:t>
      </w:r>
    </w:p>
    <w:p>
      <w:pPr>
        <w:pStyle w:val="null3"/>
      </w:pPr>
      <w:r>
        <w:rPr>
          <w:sz w:val="21"/>
        </w:rPr>
        <w:t>因采购人使用的是财政资金，采购人向政府财政支付部门提出办理财政支付申请手续（不含政府财政支付部门审核的时间），即视为已经按期支付。</w:t>
      </w:r>
    </w:p>
    <w:p>
      <w:pPr>
        <w:pStyle w:val="null3"/>
      </w:pPr>
      <w:r>
        <w:rPr>
          <w:sz w:val="21"/>
        </w:rPr>
        <w:t xml:space="preserve">11. </w:t>
      </w:r>
      <w:r>
        <w:rPr>
          <w:sz w:val="21"/>
        </w:rPr>
        <w:t>其他：供应商应根据本项目采购需求所列的项目背景、服务要求、社工配置、年度目标和评估方案等各项要求，在响应文件中编制详细的技术服务方案，内容包括但不限于：对项目的理解与认识 、针对本项目的具体服务方案、服务保障措施、智能戒毒服务等。</w:t>
      </w:r>
    </w:p>
    <w:p>
      <w:pPr>
        <w:pStyle w:val="null3"/>
      </w:pPr>
      <w:r>
        <w:rPr>
          <w:sz w:val="21"/>
        </w:rPr>
        <w:t xml:space="preserve">12. </w:t>
      </w:r>
      <w:r>
        <w:rPr>
          <w:sz w:val="21"/>
        </w:rPr>
        <w:t>采购人配合条件：</w:t>
      </w:r>
    </w:p>
    <w:p>
      <w:pPr>
        <w:pStyle w:val="null3"/>
      </w:pPr>
      <w:r>
        <w:rPr>
          <w:sz w:val="21"/>
        </w:rPr>
        <w:t xml:space="preserve">   供应商</w:t>
      </w:r>
      <w:r>
        <w:rPr>
          <w:sz w:val="21"/>
        </w:rPr>
        <w:t>在响应文件中要列明在项目实施过程中要求采购人提供的配合条件。</w:t>
      </w:r>
    </w:p>
    <w:p>
      <w:pPr>
        <w:pStyle w:val="null3"/>
      </w:pPr>
      <w:r>
        <w:rPr>
          <w:sz w:val="21"/>
          <w:b/>
        </w:rPr>
        <w:t>二、采购项目内容</w:t>
      </w:r>
    </w:p>
    <w:p>
      <w:pPr>
        <w:pStyle w:val="null3"/>
      </w:pPr>
      <w:r>
        <w:rPr>
          <w:sz w:val="21"/>
          <w:b/>
        </w:rPr>
        <w:t>1</w:t>
      </w:r>
      <w:r>
        <w:rPr>
          <w:sz w:val="21"/>
          <w:b/>
        </w:rPr>
        <w:t>、项目背景</w:t>
      </w:r>
    </w:p>
    <w:p>
      <w:pPr>
        <w:pStyle w:val="null3"/>
      </w:pPr>
      <w:r>
        <w:rPr>
          <w:sz w:val="21"/>
        </w:rPr>
        <w:t xml:space="preserve">1.1 </w:t>
      </w:r>
      <w:r>
        <w:rPr>
          <w:sz w:val="21"/>
        </w:rPr>
        <w:t>截至</w:t>
      </w:r>
      <w:r>
        <w:rPr>
          <w:sz w:val="21"/>
        </w:rPr>
        <w:t>2024</w:t>
      </w:r>
      <w:r>
        <w:rPr>
          <w:sz w:val="21"/>
        </w:rPr>
        <w:t>年</w:t>
      </w:r>
      <w:r>
        <w:rPr>
          <w:sz w:val="21"/>
        </w:rPr>
        <w:t>6</w:t>
      </w:r>
      <w:r>
        <w:rPr>
          <w:sz w:val="21"/>
        </w:rPr>
        <w:t>月</w:t>
      </w:r>
      <w:r>
        <w:rPr>
          <w:sz w:val="21"/>
        </w:rPr>
        <w:t>20</w:t>
      </w:r>
      <w:r>
        <w:rPr>
          <w:sz w:val="21"/>
        </w:rPr>
        <w:t>日统计数据，四会市登记在册户籍且实际管控人数为</w:t>
      </w:r>
      <w:r>
        <w:rPr>
          <w:sz w:val="21"/>
        </w:rPr>
        <w:t>4178</w:t>
      </w:r>
      <w:r>
        <w:rPr>
          <w:sz w:val="21"/>
        </w:rPr>
        <w:t>人，社区戒毒</w:t>
      </w:r>
      <w:r>
        <w:rPr>
          <w:sz w:val="21"/>
        </w:rPr>
        <w:t>142</w:t>
      </w:r>
      <w:r>
        <w:rPr>
          <w:sz w:val="21"/>
        </w:rPr>
        <w:t>人，社区康复人数</w:t>
      </w:r>
      <w:r>
        <w:rPr>
          <w:sz w:val="21"/>
        </w:rPr>
        <w:t>124</w:t>
      </w:r>
      <w:r>
        <w:rPr>
          <w:sz w:val="21"/>
        </w:rPr>
        <w:t>人。根据上级禁毒委、四会市委、市政府的要求，四会市户籍在册吸毒人员，特别是社区戒毒康复工作要实施全员覆盖，我办将戒毒康复人员分为重点服务对象和一般服务对象，重点服务对象为</w:t>
      </w:r>
      <w:r>
        <w:rPr>
          <w:sz w:val="21"/>
        </w:rPr>
        <w:t>890</w:t>
      </w:r>
      <w:r>
        <w:rPr>
          <w:sz w:val="21"/>
        </w:rPr>
        <w:t>人，一般服务对象为</w:t>
      </w:r>
      <w:r>
        <w:rPr>
          <w:sz w:val="21"/>
        </w:rPr>
        <w:t>3288</w:t>
      </w:r>
      <w:r>
        <w:rPr>
          <w:sz w:val="21"/>
        </w:rPr>
        <w:t>人。如发现复吸或刑满释放有新增的吸毒人员，再列为重点服务对象。</w:t>
      </w:r>
    </w:p>
    <w:p>
      <w:pPr>
        <w:pStyle w:val="null3"/>
      </w:pPr>
      <w:r>
        <w:rPr>
          <w:sz w:val="21"/>
        </w:rPr>
        <w:t xml:space="preserve">1.2 </w:t>
      </w:r>
      <w:r>
        <w:rPr>
          <w:sz w:val="21"/>
        </w:rPr>
        <w:t>四会市辖区</w:t>
      </w:r>
      <w:r>
        <w:rPr>
          <w:sz w:val="21"/>
        </w:rPr>
        <w:t>13</w:t>
      </w:r>
      <w:r>
        <w:rPr>
          <w:sz w:val="21"/>
        </w:rPr>
        <w:t>个镇（街道）。以最少的投入达到最好的管控和服务效果为原则，</w:t>
      </w:r>
      <w:r>
        <w:rPr>
          <w:sz w:val="21"/>
        </w:rPr>
        <w:t>13</w:t>
      </w:r>
      <w:r>
        <w:rPr>
          <w:sz w:val="21"/>
        </w:rPr>
        <w:t>个镇（街道）街划分为</w:t>
      </w:r>
      <w:r>
        <w:rPr>
          <w:sz w:val="21"/>
        </w:rPr>
        <w:t>3</w:t>
      </w:r>
      <w:r>
        <w:rPr>
          <w:sz w:val="21"/>
        </w:rPr>
        <w:t>个大片区，各片区设一个社工工作站。城中片区包括城中街道、贞山街道、石狗镇、黄田镇，应管控人数</w:t>
      </w:r>
      <w:r>
        <w:rPr>
          <w:sz w:val="21"/>
        </w:rPr>
        <w:t>1452</w:t>
      </w:r>
      <w:r>
        <w:rPr>
          <w:sz w:val="21"/>
        </w:rPr>
        <w:t>人（具体数以实时统计增补）；东城片区包括东城街道、大沙镇、龙甫镇、迳口镇，应管控人数</w:t>
      </w:r>
      <w:r>
        <w:rPr>
          <w:sz w:val="21"/>
        </w:rPr>
        <w:t>1469</w:t>
      </w:r>
      <w:r>
        <w:rPr>
          <w:sz w:val="21"/>
        </w:rPr>
        <w:t>人（具体数以实时统计增补）；江谷片区三为包括下茆镇、江谷镇、地豆镇、罗源镇、威整镇，应管控人数</w:t>
      </w:r>
      <w:r>
        <w:rPr>
          <w:sz w:val="21"/>
        </w:rPr>
        <w:t>1257</w:t>
      </w:r>
      <w:r>
        <w:rPr>
          <w:sz w:val="21"/>
        </w:rPr>
        <w:t>人（具体数以实时统计增补）。</w:t>
      </w:r>
    </w:p>
    <w:p>
      <w:pPr>
        <w:pStyle w:val="null3"/>
      </w:pPr>
      <w:r>
        <w:rPr>
          <w:sz w:val="21"/>
          <w:b/>
        </w:rPr>
        <w:t>2</w:t>
      </w:r>
      <w:r>
        <w:rPr>
          <w:sz w:val="21"/>
          <w:b/>
        </w:rPr>
        <w:t>、服务要求</w:t>
      </w:r>
    </w:p>
    <w:p>
      <w:pPr>
        <w:pStyle w:val="null3"/>
      </w:pPr>
      <w:r>
        <w:rPr>
          <w:sz w:val="21"/>
          <w:b/>
        </w:rPr>
        <w:t xml:space="preserve">2.1 </w:t>
      </w:r>
      <w:r>
        <w:rPr>
          <w:sz w:val="21"/>
          <w:b/>
        </w:rPr>
        <w:t>提供戒毒康复服务</w:t>
      </w:r>
      <w:r>
        <w:rPr>
          <w:sz w:val="21"/>
        </w:rPr>
        <w:t>：调查、摸底、掌握四会市户籍在册吸毒人员基本情况，特别是戒毒康复人员行为状况、生活状况、社会关系、现实表现等情况，开展戒毒康复人员心理社会需求和戒毒康复状况评估；与戒毒康复人员建立专业服务关系，为戒毒康复人员提供动机强化、心理调适、认知行为治疗、自我管理能力提升、家庭关系修复、社会交往能力提升等专业服务；运用系统的心理学理论和方法有针对性帮助戒毒康复人员克服心理障碍和对毒品的心理依赖，使戒毒康复人员在社区内互相监督、互相支持、共同抵制诱惑，帮助戒毒康复人员调适社区及社会关系，营造有利于戒毒康复的社会环境。评判戒毒康复人员所需其它专业治疗措施，链接资源并实施转介。开展有利于戒毒康复人员社会功能恢复的其他专业服务。</w:t>
      </w:r>
    </w:p>
    <w:p>
      <w:pPr>
        <w:pStyle w:val="null3"/>
      </w:pPr>
      <w:r>
        <w:rPr>
          <w:sz w:val="21"/>
          <w:b/>
        </w:rPr>
        <w:t xml:space="preserve">2.2 </w:t>
      </w:r>
      <w:r>
        <w:rPr>
          <w:sz w:val="21"/>
          <w:b/>
        </w:rPr>
        <w:t>开展帮扶救助服务</w:t>
      </w:r>
      <w:r>
        <w:rPr>
          <w:sz w:val="21"/>
        </w:rPr>
        <w:t>：为戒毒康复人员链接生活、就学、就业、医疗等方面的政府资源与社会资源；组织其他专业力量和志愿者为戒毒康复人员及其家庭提供服务，协助解决生活困难，改善社会支持网络，提升生计发展能力，促进融入社会。</w:t>
      </w:r>
    </w:p>
    <w:p>
      <w:pPr>
        <w:pStyle w:val="null3"/>
      </w:pPr>
      <w:r>
        <w:rPr>
          <w:sz w:val="21"/>
          <w:b/>
        </w:rPr>
        <w:t xml:space="preserve">2.3 </w:t>
      </w:r>
      <w:r>
        <w:rPr>
          <w:sz w:val="21"/>
          <w:b/>
        </w:rPr>
        <w:t>参与禁毒宣传教育</w:t>
      </w:r>
      <w:r>
        <w:rPr>
          <w:sz w:val="21"/>
        </w:rPr>
        <w:t>：参与禁毒办组织的禁毒宣传活动、普及毒品预防知识、宣传禁毒工作措施和成效，增强公民禁毒意识，提高公民自觉抵制毒品的能力；倡导禁毒社会工作理念，引导社会公众正确认识和理解吸毒人员，努力消除社会歧视与排斥。</w:t>
      </w:r>
    </w:p>
    <w:p>
      <w:pPr>
        <w:pStyle w:val="null3"/>
      </w:pPr>
      <w:r>
        <w:rPr>
          <w:sz w:val="21"/>
          <w:b/>
        </w:rPr>
        <w:t xml:space="preserve">2.4 </w:t>
      </w:r>
      <w:r>
        <w:rPr>
          <w:sz w:val="21"/>
          <w:b/>
        </w:rPr>
        <w:t>开展有关吸毒人员管控工作相关事务</w:t>
      </w:r>
      <w:r>
        <w:rPr>
          <w:sz w:val="21"/>
        </w:rPr>
        <w:t>：协助社区戒毒社区康复工作小组人员开展四会市户籍在册吸毒人员排查摸底工作；协助开展尿液、毛发采集检测工作；建立相关档案资料，做好禁毒工作台账，做好强制隔离戒毒人员出所衔接，督促、帮助社区戒毒社区康复人员履行协议，努力减少现实危害。发现社区戒毒康复人员拒绝报到或严重违反协议的，向辖区派出所、镇街或市禁毒办等以上禁毒工作机构报告，协助收集提供有关材料。</w:t>
      </w:r>
    </w:p>
    <w:p>
      <w:pPr>
        <w:pStyle w:val="null3"/>
      </w:pPr>
      <w:r>
        <w:rPr>
          <w:sz w:val="21"/>
          <w:b/>
        </w:rPr>
        <w:t xml:space="preserve">2.5 </w:t>
      </w:r>
      <w:r>
        <w:rPr>
          <w:sz w:val="21"/>
          <w:b/>
        </w:rPr>
        <w:t>配合完成禁毒相关工作任务</w:t>
      </w:r>
      <w:r>
        <w:rPr>
          <w:sz w:val="21"/>
        </w:rPr>
        <w:t>：完成上级禁毒部门或社区戒毒康复办公室交办的其他与工作相关的任务。</w:t>
      </w:r>
    </w:p>
    <w:p>
      <w:pPr>
        <w:pStyle w:val="null3"/>
      </w:pPr>
      <w:r>
        <w:rPr>
          <w:sz w:val="21"/>
          <w:b/>
        </w:rPr>
        <w:t xml:space="preserve">2.6 </w:t>
      </w:r>
      <w:r>
        <w:rPr>
          <w:sz w:val="21"/>
          <w:b/>
        </w:rPr>
        <w:t>社工站办公设备日常维护工作</w:t>
      </w:r>
      <w:r>
        <w:rPr>
          <w:sz w:val="21"/>
        </w:rPr>
        <w:t>：四会市辖区</w:t>
      </w:r>
      <w:r>
        <w:rPr>
          <w:sz w:val="21"/>
        </w:rPr>
        <w:t>13</w:t>
      </w:r>
      <w:r>
        <w:rPr>
          <w:sz w:val="21"/>
        </w:rPr>
        <w:t>个镇（街道）街划分为</w:t>
      </w:r>
      <w:r>
        <w:rPr>
          <w:sz w:val="21"/>
        </w:rPr>
        <w:t>3</w:t>
      </w:r>
      <w:r>
        <w:rPr>
          <w:sz w:val="21"/>
        </w:rPr>
        <w:t>个大片区，各片区设一个社工工作站，现时东城片区社工站配有办公设备台式电脑</w:t>
      </w:r>
      <w:r>
        <w:rPr>
          <w:sz w:val="21"/>
        </w:rPr>
        <w:t>7</w:t>
      </w:r>
      <w:r>
        <w:rPr>
          <w:sz w:val="21"/>
        </w:rPr>
        <w:t>台、手提式电脑</w:t>
      </w:r>
      <w:r>
        <w:rPr>
          <w:sz w:val="21"/>
        </w:rPr>
        <w:t>1</w:t>
      </w:r>
      <w:r>
        <w:rPr>
          <w:sz w:val="21"/>
        </w:rPr>
        <w:t>台、打印机</w:t>
      </w:r>
      <w:r>
        <w:rPr>
          <w:sz w:val="21"/>
        </w:rPr>
        <w:t>1</w:t>
      </w:r>
      <w:r>
        <w:rPr>
          <w:sz w:val="21"/>
        </w:rPr>
        <w:t>台、投影仪</w:t>
      </w:r>
      <w:r>
        <w:rPr>
          <w:sz w:val="21"/>
        </w:rPr>
        <w:t>1</w:t>
      </w:r>
      <w:r>
        <w:rPr>
          <w:sz w:val="21"/>
        </w:rPr>
        <w:t>台、空调</w:t>
      </w:r>
      <w:r>
        <w:rPr>
          <w:sz w:val="21"/>
        </w:rPr>
        <w:t>4</w:t>
      </w:r>
      <w:r>
        <w:rPr>
          <w:sz w:val="21"/>
        </w:rPr>
        <w:t>台；贞山片区社工站配有办公设备台式电脑</w:t>
      </w:r>
      <w:r>
        <w:rPr>
          <w:sz w:val="21"/>
        </w:rPr>
        <w:t>5</w:t>
      </w:r>
      <w:r>
        <w:rPr>
          <w:sz w:val="21"/>
        </w:rPr>
        <w:t>台、手提式电脑</w:t>
      </w:r>
      <w:r>
        <w:rPr>
          <w:sz w:val="21"/>
        </w:rPr>
        <w:t>2</w:t>
      </w:r>
      <w:r>
        <w:rPr>
          <w:sz w:val="21"/>
        </w:rPr>
        <w:t>台、打印机</w:t>
      </w:r>
      <w:r>
        <w:rPr>
          <w:sz w:val="21"/>
        </w:rPr>
        <w:t>1</w:t>
      </w:r>
      <w:r>
        <w:rPr>
          <w:sz w:val="21"/>
        </w:rPr>
        <w:t>台、投影仪</w:t>
      </w:r>
      <w:r>
        <w:rPr>
          <w:sz w:val="21"/>
        </w:rPr>
        <w:t>1</w:t>
      </w:r>
      <w:r>
        <w:rPr>
          <w:sz w:val="21"/>
        </w:rPr>
        <w:t>台、空调</w:t>
      </w:r>
      <w:r>
        <w:rPr>
          <w:sz w:val="21"/>
        </w:rPr>
        <w:t>1</w:t>
      </w:r>
      <w:r>
        <w:rPr>
          <w:sz w:val="21"/>
        </w:rPr>
        <w:t>台；江谷片区社工站配有办公设备台式电脑</w:t>
      </w:r>
      <w:r>
        <w:rPr>
          <w:sz w:val="21"/>
        </w:rPr>
        <w:t>5</w:t>
      </w:r>
      <w:r>
        <w:rPr>
          <w:sz w:val="21"/>
        </w:rPr>
        <w:t>台、手提式电脑</w:t>
      </w:r>
      <w:r>
        <w:rPr>
          <w:sz w:val="21"/>
        </w:rPr>
        <w:t>1</w:t>
      </w:r>
      <w:r>
        <w:rPr>
          <w:sz w:val="21"/>
        </w:rPr>
        <w:t xml:space="preserve">台、打印机 </w:t>
      </w:r>
      <w:r>
        <w:rPr>
          <w:sz w:val="21"/>
        </w:rPr>
        <w:t>1</w:t>
      </w:r>
      <w:r>
        <w:rPr>
          <w:sz w:val="21"/>
        </w:rPr>
        <w:t>台、投影仪</w:t>
      </w:r>
      <w:r>
        <w:rPr>
          <w:sz w:val="21"/>
        </w:rPr>
        <w:t>1</w:t>
      </w:r>
      <w:r>
        <w:rPr>
          <w:sz w:val="21"/>
        </w:rPr>
        <w:t>台。要求每个片区社工站点在现有设备基础上至少配足台式电脑</w:t>
      </w:r>
      <w:r>
        <w:rPr>
          <w:sz w:val="21"/>
        </w:rPr>
        <w:t>7</w:t>
      </w:r>
      <w:r>
        <w:rPr>
          <w:sz w:val="21"/>
        </w:rPr>
        <w:t>台、打印机</w:t>
      </w:r>
      <w:r>
        <w:rPr>
          <w:sz w:val="21"/>
        </w:rPr>
        <w:t>3</w:t>
      </w:r>
      <w:r>
        <w:rPr>
          <w:sz w:val="21"/>
        </w:rPr>
        <w:t>台，并定期对办公设备进行维护，在办公设备损坏需维修时必须保证有相关后备办公设施以保障日常工作的正常运转，并配合完成办公设备新增以及报废工作。除此之外，为方便各站点片区社工人员走村入户，对吸毒人员开展走访、帮扶工作，每个站点片区社工站必须配备交通工具汽车一辆及电动摩托车两台。</w:t>
      </w:r>
    </w:p>
    <w:p>
      <w:pPr>
        <w:pStyle w:val="null3"/>
      </w:pPr>
      <w:r>
        <w:rPr>
          <w:sz w:val="21"/>
          <w:b/>
        </w:rPr>
        <w:t xml:space="preserve">2.7 </w:t>
      </w:r>
      <w:r>
        <w:rPr>
          <w:sz w:val="21"/>
          <w:b/>
        </w:rPr>
        <w:t>人工智能在线评估和干预服务</w:t>
      </w:r>
      <w:r>
        <w:rPr>
          <w:sz w:val="21"/>
        </w:rPr>
        <w:t>：为了应对日常工作中社戒社康学员毒瘾渴求难以精准客观评估、传统治疗触达率低以及复吸率居高不下等挑战，需要对特定人群进行基于电生理信号的精准客观的毒瘾渴求评估，了解其心瘾状况，预防肇事肇祸发生。毒瘾渴求度评估结果需精准度至</w:t>
      </w:r>
      <w:r>
        <w:rPr>
          <w:sz w:val="21"/>
        </w:rPr>
        <w:t>1%</w:t>
      </w:r>
      <w:r>
        <w:rPr>
          <w:sz w:val="21"/>
        </w:rPr>
        <w:t>，反映毒品吸食人员的渴求度在不同戒治阶段的变化数据，可选毒品类型包括冰毒、海洛因及</w:t>
      </w:r>
      <w:r>
        <w:rPr>
          <w:sz w:val="21"/>
        </w:rPr>
        <w:t>K</w:t>
      </w:r>
      <w:r>
        <w:rPr>
          <w:sz w:val="21"/>
        </w:rPr>
        <w:t>粉等。另外，针对社戒社康人员戒毒干预及心理帮扶中表现出来的不积极、难坚持、耗费人力等问题，需要对特定人群进行基于移动应用程序的在线毒瘾矫治和心理干预。为保证干预服务的有效触达，需要采取人脸识别验证签到手段。通过前沿技术手段和个性化的在线治疗方案（包括线上毒瘾矫治课程等），有效提升戒毒康复效果，降低复吸率，助力更多戒毒康复者重归健康、正常的生活轨道。</w:t>
      </w:r>
    </w:p>
    <w:p>
      <w:pPr>
        <w:pStyle w:val="null3"/>
      </w:pPr>
      <w:r>
        <w:rPr>
          <w:sz w:val="21"/>
          <w:b/>
        </w:rPr>
        <w:t>3、</w:t>
      </w:r>
      <w:r>
        <w:rPr>
          <w:sz w:val="21"/>
          <w:b/>
        </w:rPr>
        <w:t>社工配置</w:t>
      </w:r>
    </w:p>
    <w:p>
      <w:pPr>
        <w:pStyle w:val="null3"/>
      </w:pPr>
      <w:r>
        <w:rPr>
          <w:sz w:val="21"/>
        </w:rPr>
        <w:t xml:space="preserve">3.1 </w:t>
      </w:r>
      <w:r>
        <w:rPr>
          <w:sz w:val="21"/>
        </w:rPr>
        <w:t>按照省、市禁毒办要求，四会市现有户籍吸毒人员、现有戒毒康复人员底数情况，四会当前条件尚不能达到省、市禁毒办文件要求配备专职社工。结合四会市实际情况，将逐步实现上级文件要求，发挥专业社工的引领和指导作用、发动农村基层干部的堡垒作用。</w:t>
      </w:r>
      <w:r>
        <w:rPr>
          <w:sz w:val="21"/>
        </w:rPr>
        <w:t>2024</w:t>
      </w:r>
      <w:r>
        <w:rPr>
          <w:sz w:val="21"/>
        </w:rPr>
        <w:t>年四会市需配备</w:t>
      </w:r>
      <w:r>
        <w:rPr>
          <w:sz w:val="21"/>
        </w:rPr>
        <w:t>41</w:t>
      </w:r>
      <w:r>
        <w:rPr>
          <w:sz w:val="21"/>
        </w:rPr>
        <w:t>名禁毒专职社工，按吸毒人口比例配至每个片区社工站（含派驻镇街驻点禁毒社工）。</w:t>
      </w:r>
    </w:p>
    <w:p>
      <w:pPr>
        <w:pStyle w:val="null3"/>
      </w:pPr>
      <w:r>
        <w:rPr>
          <w:sz w:val="21"/>
        </w:rPr>
        <w:t xml:space="preserve">3.2 </w:t>
      </w:r>
      <w:r>
        <w:rPr>
          <w:sz w:val="21"/>
        </w:rPr>
        <w:t>人员要求</w:t>
      </w:r>
      <w:r>
        <w:rPr>
          <w:sz w:val="21"/>
        </w:rPr>
        <w:t xml:space="preserve">: </w:t>
      </w:r>
      <w:r>
        <w:rPr>
          <w:sz w:val="21"/>
        </w:rPr>
        <w:t>1</w:t>
      </w:r>
      <w:r>
        <w:rPr>
          <w:sz w:val="21"/>
        </w:rPr>
        <w:t>）配备人员需大专学历（含大专）以上</w:t>
      </w:r>
    </w:p>
    <w:p>
      <w:pPr>
        <w:pStyle w:val="null3"/>
      </w:pPr>
      <w:r>
        <w:rPr>
          <w:sz w:val="21"/>
        </w:rPr>
        <w:t xml:space="preserve">                     2</w:t>
      </w:r>
      <w:r>
        <w:rPr>
          <w:sz w:val="21"/>
        </w:rPr>
        <w:t>）各片区配备不少于</w:t>
      </w:r>
      <w:r>
        <w:rPr>
          <w:sz w:val="21"/>
        </w:rPr>
        <w:t>5</w:t>
      </w:r>
      <w:r>
        <w:rPr>
          <w:sz w:val="21"/>
        </w:rPr>
        <w:t>名持有社会工作师资格证书的工作人员或心理咨询师</w:t>
      </w:r>
    </w:p>
    <w:p>
      <w:pPr>
        <w:pStyle w:val="null3"/>
      </w:pPr>
      <w:r>
        <w:rPr>
          <w:sz w:val="21"/>
          <w:b/>
        </w:rPr>
        <w:t>4</w:t>
      </w:r>
      <w:r>
        <w:rPr>
          <w:sz w:val="21"/>
          <w:b/>
        </w:rPr>
        <w:t>、</w:t>
      </w:r>
      <w:r>
        <w:rPr>
          <w:sz w:val="21"/>
          <w:b/>
        </w:rPr>
        <w:t>年度目标</w:t>
      </w:r>
    </w:p>
    <w:p>
      <w:pPr>
        <w:pStyle w:val="null3"/>
      </w:pPr>
      <w:r>
        <w:rPr>
          <w:sz w:val="21"/>
        </w:rPr>
        <w:t xml:space="preserve">4.1 </w:t>
      </w:r>
      <w:r>
        <w:rPr>
          <w:sz w:val="21"/>
        </w:rPr>
        <w:t>社区戒毒社区康复人员建档率每月必须达</w:t>
      </w:r>
      <w:r>
        <w:rPr>
          <w:sz w:val="21"/>
        </w:rPr>
        <w:t>100%</w:t>
      </w:r>
      <w:r>
        <w:rPr>
          <w:sz w:val="21"/>
        </w:rPr>
        <w:t>。</w:t>
      </w:r>
    </w:p>
    <w:p>
      <w:pPr>
        <w:pStyle w:val="null3"/>
      </w:pPr>
      <w:r>
        <w:rPr>
          <w:sz w:val="21"/>
        </w:rPr>
        <w:t xml:space="preserve">4.2 </w:t>
      </w:r>
      <w:r>
        <w:rPr>
          <w:sz w:val="21"/>
        </w:rPr>
        <w:t>社区戒毒社区康复人员执行率须达</w:t>
      </w:r>
      <w:r>
        <w:rPr>
          <w:sz w:val="21"/>
        </w:rPr>
        <w:t>100%</w:t>
      </w:r>
      <w:r>
        <w:rPr>
          <w:sz w:val="21"/>
        </w:rPr>
        <w:t>。</w:t>
      </w:r>
    </w:p>
    <w:p>
      <w:pPr>
        <w:pStyle w:val="null3"/>
      </w:pPr>
      <w:r>
        <w:rPr>
          <w:sz w:val="21"/>
        </w:rPr>
        <w:t xml:space="preserve">4.3 </w:t>
      </w:r>
      <w:r>
        <w:rPr>
          <w:sz w:val="21"/>
        </w:rPr>
        <w:t>社区戒毒社区康复人员年度复吸率达到肇庆市平均水准。</w:t>
      </w:r>
    </w:p>
    <w:p>
      <w:pPr>
        <w:pStyle w:val="null3"/>
      </w:pPr>
      <w:r>
        <w:rPr>
          <w:sz w:val="21"/>
        </w:rPr>
        <w:t xml:space="preserve">4.4 </w:t>
      </w:r>
      <w:r>
        <w:rPr>
          <w:sz w:val="21"/>
        </w:rPr>
        <w:t>不能出现吸毒人员脱失等情况。</w:t>
      </w:r>
    </w:p>
    <w:p>
      <w:pPr>
        <w:pStyle w:val="null3"/>
      </w:pPr>
      <w:r>
        <w:rPr>
          <w:sz w:val="21"/>
        </w:rPr>
        <w:t xml:space="preserve">4.5 </w:t>
      </w:r>
      <w:r>
        <w:rPr>
          <w:sz w:val="21"/>
        </w:rPr>
        <w:t>户籍社区戒毒社区康复人员就业安置率</w:t>
      </w:r>
      <w:r>
        <w:rPr>
          <w:sz w:val="21"/>
        </w:rPr>
        <w:t>60%</w:t>
      </w:r>
      <w:r>
        <w:rPr>
          <w:sz w:val="21"/>
        </w:rPr>
        <w:t>及以上。</w:t>
      </w:r>
    </w:p>
    <w:p>
      <w:pPr>
        <w:pStyle w:val="null3"/>
      </w:pPr>
      <w:r>
        <w:rPr>
          <w:sz w:val="21"/>
        </w:rPr>
        <w:t xml:space="preserve">4.6 </w:t>
      </w:r>
      <w:r>
        <w:rPr>
          <w:sz w:val="21"/>
        </w:rPr>
        <w:t>协助推动社区戒毒社区康复人员</w:t>
      </w:r>
      <w:r>
        <w:rPr>
          <w:sz w:val="21"/>
        </w:rPr>
        <w:t>100%</w:t>
      </w:r>
      <w:r>
        <w:rPr>
          <w:sz w:val="21"/>
        </w:rPr>
        <w:t>纳入网格化管理。</w:t>
      </w:r>
    </w:p>
    <w:p>
      <w:pPr>
        <w:pStyle w:val="null3"/>
      </w:pPr>
      <w:r>
        <w:rPr>
          <w:sz w:val="21"/>
        </w:rPr>
        <w:t xml:space="preserve">4.7 </w:t>
      </w:r>
      <w:r>
        <w:rPr>
          <w:sz w:val="21"/>
        </w:rPr>
        <w:t>建设一支不少于</w:t>
      </w:r>
      <w:r>
        <w:rPr>
          <w:sz w:val="21"/>
        </w:rPr>
        <w:t>30</w:t>
      </w:r>
      <w:r>
        <w:rPr>
          <w:sz w:val="21"/>
        </w:rPr>
        <w:t>人的禁毒志愿者队伍。</w:t>
      </w:r>
    </w:p>
    <w:p>
      <w:pPr>
        <w:pStyle w:val="null3"/>
      </w:pPr>
      <w:r>
        <w:rPr>
          <w:sz w:val="21"/>
        </w:rPr>
        <w:t xml:space="preserve">4.8 </w:t>
      </w:r>
      <w:r>
        <w:rPr>
          <w:sz w:val="21"/>
        </w:rPr>
        <w:t xml:space="preserve">服务过程中，保证每月准时发放社工薪酬。  </w:t>
      </w:r>
    </w:p>
    <w:p>
      <w:pPr>
        <w:pStyle w:val="null3"/>
      </w:pPr>
      <w:r>
        <w:rPr>
          <w:sz w:val="21"/>
          <w:b/>
        </w:rPr>
        <w:t>5</w:t>
      </w:r>
      <w:r>
        <w:rPr>
          <w:sz w:val="21"/>
          <w:b/>
        </w:rPr>
        <w:t>、评估方案</w:t>
      </w:r>
    </w:p>
    <w:p>
      <w:pPr>
        <w:pStyle w:val="null3"/>
      </w:pPr>
      <w:r>
        <w:rPr>
          <w:sz w:val="21"/>
          <w:b/>
        </w:rPr>
        <w:t xml:space="preserve">5.1 </w:t>
      </w:r>
      <w:r>
        <w:rPr>
          <w:sz w:val="21"/>
          <w:b/>
        </w:rPr>
        <w:t>评估标准</w:t>
      </w:r>
      <w:r>
        <w:rPr>
          <w:sz w:val="21"/>
        </w:rPr>
        <w:t>：按照国家禁毒委《全国社区戒毒社区康复工作规划（</w:t>
      </w:r>
      <w:r>
        <w:rPr>
          <w:sz w:val="21"/>
        </w:rPr>
        <w:t>2016-2020</w:t>
      </w:r>
      <w:r>
        <w:rPr>
          <w:sz w:val="21"/>
        </w:rPr>
        <w:t>）》、《广东省禁毒示范创建三年行动计划（</w:t>
      </w:r>
      <w:r>
        <w:rPr>
          <w:sz w:val="21"/>
        </w:rPr>
        <w:t>2022-2024</w:t>
      </w:r>
      <w:r>
        <w:rPr>
          <w:sz w:val="21"/>
        </w:rPr>
        <w:t>）》、《四会市贯彻落实</w:t>
      </w:r>
      <w:r>
        <w:rPr>
          <w:sz w:val="21"/>
        </w:rPr>
        <w:t>&lt;</w:t>
      </w:r>
      <w:r>
        <w:rPr>
          <w:sz w:val="21"/>
        </w:rPr>
        <w:t>广东省禁毒示范创建三年行动计划（</w:t>
      </w:r>
      <w:r>
        <w:rPr>
          <w:sz w:val="21"/>
        </w:rPr>
        <w:t>2022-2024</w:t>
      </w:r>
      <w:r>
        <w:rPr>
          <w:sz w:val="21"/>
        </w:rPr>
        <w:t>）</w:t>
      </w:r>
      <w:r>
        <w:rPr>
          <w:sz w:val="21"/>
        </w:rPr>
        <w:t>&gt;</w:t>
      </w:r>
      <w:r>
        <w:rPr>
          <w:sz w:val="21"/>
        </w:rPr>
        <w:t>实施方案》的要求，对社工服务项目的评估，具体从项目服务过程、服务成效、经费使用等方面进行考察、评价。附表如下：</w:t>
      </w:r>
    </w:p>
    <w:tbl>
      <w:tblPr>
        <w:tblW w:w="0" w:type="auto"/>
        <w:tblBorders>
          <w:top w:val="none" w:color="000000" w:sz="4"/>
          <w:left w:val="none" w:color="000000" w:sz="4"/>
          <w:bottom w:val="none" w:color="000000" w:sz="4"/>
          <w:right w:val="none" w:color="000000" w:sz="4"/>
          <w:insideH w:val="none"/>
          <w:insideV w:val="none"/>
        </w:tblBorders>
      </w:tblPr>
      <w:tblGrid>
        <w:gridCol w:w="1213"/>
        <w:gridCol w:w="4565"/>
        <w:gridCol w:w="693"/>
        <w:gridCol w:w="1835"/>
      </w:tblGrid>
      <w:tr>
        <w:tc>
          <w:tcPr>
            <w:tcW w:type="dxa" w:w="1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评估标准</w:t>
            </w:r>
          </w:p>
        </w:tc>
        <w:tc>
          <w:tcPr>
            <w:tcW w:type="dxa" w:w="45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内容指标</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分数</w:t>
            </w:r>
          </w:p>
        </w:tc>
        <w:tc>
          <w:tcPr>
            <w:tcW w:type="dxa" w:w="1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所占比重</w:t>
            </w:r>
          </w:p>
        </w:tc>
      </w:tr>
      <w:tr>
        <w:tc>
          <w:tcPr>
            <w:tcW w:type="dxa" w:w="12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基础建设</w:t>
            </w: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站点建设合理，功能齐全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8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工作制度完善</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835"/>
            <w:vMerge/>
            <w:tcBorders>
              <w:top w:val="none" w:color="000000" w:sz="4"/>
              <w:left w:val="single" w:color="000000" w:sz="4"/>
              <w:bottom w:val="single" w:color="000000" w:sz="4"/>
              <w:right w:val="single" w:color="000000" w:sz="4"/>
            </w:tcBorders>
          </w:tcP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人员配置符合要求</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835"/>
            <w:vMerge/>
            <w:tcBorders>
              <w:top w:val="none" w:color="000000" w:sz="4"/>
              <w:left w:val="single" w:color="000000" w:sz="4"/>
              <w:bottom w:val="single" w:color="000000" w:sz="4"/>
              <w:right w:val="single" w:color="000000" w:sz="4"/>
            </w:tcBorders>
          </w:tcP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每个片区社工站车辆配置符合要求</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835"/>
            <w:vMerge/>
            <w:tcBorders>
              <w:top w:val="none" w:color="000000" w:sz="4"/>
              <w:left w:val="single" w:color="000000" w:sz="4"/>
              <w:bottom w:val="single" w:color="000000" w:sz="4"/>
              <w:right w:val="single" w:color="000000" w:sz="4"/>
            </w:tcBorders>
          </w:tcP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每个片区社工站配备展架、毒品仿真品等宣传道具</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835"/>
            <w:vMerge/>
            <w:tcBorders>
              <w:top w:val="none" w:color="000000" w:sz="4"/>
              <w:left w:val="single" w:color="000000" w:sz="4"/>
              <w:bottom w:val="single" w:color="000000" w:sz="4"/>
              <w:right w:val="single" w:color="000000" w:sz="4"/>
            </w:tcBorders>
          </w:tcPr>
          <w:p/>
        </w:tc>
      </w:tr>
      <w:tr>
        <w:tc>
          <w:tcPr>
            <w:tcW w:type="dxa" w:w="12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服务过程</w:t>
            </w: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一人一档，档案完整</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8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按照规定完成社区戒毒社区康复人员的文件送达协议签署、尿检执行、报到访谈、记录录入</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835"/>
            <w:vMerge/>
            <w:tcBorders>
              <w:top w:val="none" w:color="000000" w:sz="4"/>
              <w:left w:val="single" w:color="000000" w:sz="4"/>
              <w:bottom w:val="single" w:color="000000" w:sz="4"/>
              <w:right w:val="single" w:color="000000" w:sz="4"/>
            </w:tcBorders>
          </w:tcP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按规定开展了个案、小组、家庭治疗、就业帮扶等专业服务</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835"/>
            <w:vMerge/>
            <w:tcBorders>
              <w:top w:val="none" w:color="000000" w:sz="4"/>
              <w:left w:val="single" w:color="000000" w:sz="4"/>
              <w:bottom w:val="single" w:color="000000" w:sz="4"/>
              <w:right w:val="single" w:color="000000" w:sz="4"/>
            </w:tcBorders>
          </w:tcPr>
          <w:p/>
        </w:tc>
      </w:tr>
      <w:tr>
        <w:tc>
          <w:tcPr>
            <w:tcW w:type="dxa" w:w="12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经费使用</w:t>
            </w: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按预算合理使用经费</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8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审计合格</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835"/>
            <w:vMerge/>
            <w:tcBorders>
              <w:top w:val="none" w:color="000000" w:sz="4"/>
              <w:left w:val="single" w:color="000000" w:sz="4"/>
              <w:bottom w:val="single" w:color="000000" w:sz="4"/>
              <w:right w:val="single" w:color="000000" w:sz="4"/>
            </w:tcBorders>
          </w:tcP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修缮社工站办公场所</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835"/>
            <w:vMerge/>
            <w:tcBorders>
              <w:top w:val="none" w:color="000000" w:sz="4"/>
              <w:left w:val="single" w:color="000000" w:sz="4"/>
              <w:bottom w:val="single" w:color="000000" w:sz="4"/>
              <w:right w:val="single" w:color="000000" w:sz="4"/>
            </w:tcBorders>
          </w:tcP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维修、更换办公设备、保障运转</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1835"/>
            <w:vMerge/>
            <w:tcBorders>
              <w:top w:val="none" w:color="000000" w:sz="4"/>
              <w:left w:val="single" w:color="000000" w:sz="4"/>
              <w:bottom w:val="single" w:color="000000" w:sz="4"/>
              <w:right w:val="single" w:color="000000" w:sz="4"/>
            </w:tcBorders>
          </w:tcP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财务公开</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835"/>
            <w:vMerge/>
            <w:tcBorders>
              <w:top w:val="none" w:color="000000" w:sz="4"/>
              <w:left w:val="single" w:color="000000" w:sz="4"/>
              <w:bottom w:val="single" w:color="000000" w:sz="4"/>
              <w:right w:val="single" w:color="000000" w:sz="4"/>
            </w:tcBorders>
          </w:tcPr>
          <w:p/>
        </w:tc>
      </w:tr>
      <w:tr>
        <w:tc>
          <w:tcPr>
            <w:tcW w:type="dxa" w:w="12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服务成效</w:t>
            </w: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完成接案率</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8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完成社区戒毒社区康复执行率</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835"/>
            <w:vMerge/>
            <w:tcBorders>
              <w:top w:val="none" w:color="000000" w:sz="4"/>
              <w:left w:val="single" w:color="000000" w:sz="4"/>
              <w:bottom w:val="single" w:color="000000" w:sz="4"/>
              <w:right w:val="single" w:color="000000" w:sz="4"/>
            </w:tcBorders>
          </w:tcP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完成就业安置率</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835"/>
            <w:vMerge/>
            <w:tcBorders>
              <w:top w:val="none" w:color="000000" w:sz="4"/>
              <w:left w:val="single" w:color="000000" w:sz="4"/>
              <w:bottom w:val="single" w:color="000000" w:sz="4"/>
              <w:right w:val="single" w:color="000000" w:sz="4"/>
            </w:tcBorders>
          </w:tcP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复吸率达标</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835"/>
            <w:vMerge/>
            <w:tcBorders>
              <w:top w:val="none" w:color="000000" w:sz="4"/>
              <w:left w:val="single" w:color="000000" w:sz="4"/>
              <w:bottom w:val="single" w:color="000000" w:sz="4"/>
              <w:right w:val="single" w:color="000000" w:sz="4"/>
            </w:tcBorders>
          </w:tcP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保障办公设备正常使用</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835"/>
            <w:vMerge/>
            <w:tcBorders>
              <w:top w:val="none" w:color="000000" w:sz="4"/>
              <w:left w:val="single" w:color="000000" w:sz="4"/>
              <w:bottom w:val="single" w:color="000000" w:sz="4"/>
              <w:right w:val="single" w:color="000000" w:sz="4"/>
            </w:tcBorders>
          </w:tcP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发展禁毒志愿者达标</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835"/>
            <w:vMerge/>
            <w:tcBorders>
              <w:top w:val="none" w:color="000000" w:sz="4"/>
              <w:left w:val="single" w:color="000000" w:sz="4"/>
              <w:bottom w:val="single" w:color="000000" w:sz="4"/>
              <w:right w:val="single" w:color="000000" w:sz="4"/>
            </w:tcBorders>
          </w:tcPr>
          <w:p/>
        </w:tc>
      </w:tr>
      <w:tr>
        <w:tc>
          <w:tcPr>
            <w:tcW w:type="dxa" w:w="12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用户评价</w:t>
            </w: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购买方满意</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18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获得上级表彰</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835"/>
            <w:vMerge/>
            <w:tcBorders>
              <w:top w:val="none" w:color="000000" w:sz="4"/>
              <w:left w:val="single" w:color="000000" w:sz="4"/>
              <w:bottom w:val="single" w:color="000000" w:sz="4"/>
              <w:right w:val="single" w:color="000000" w:sz="4"/>
            </w:tcBorders>
          </w:tcP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每月准时发放社工薪酬</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835"/>
            <w:vMerge/>
            <w:tcBorders>
              <w:top w:val="none" w:color="000000" w:sz="4"/>
              <w:left w:val="single" w:color="000000" w:sz="4"/>
              <w:bottom w:val="single" w:color="000000" w:sz="4"/>
              <w:right w:val="single" w:color="000000" w:sz="4"/>
            </w:tcBorders>
          </w:tcPr>
          <w:p/>
        </w:tc>
      </w:tr>
      <w:tr>
        <w:tc>
          <w:tcPr>
            <w:tcW w:type="dxa" w:w="1213"/>
            <w:vMerge/>
            <w:tcBorders>
              <w:top w:val="none" w:color="000000" w:sz="4"/>
              <w:left w:val="single" w:color="000000" w:sz="4"/>
              <w:bottom w:val="single" w:color="000000" w:sz="4"/>
              <w:right w:val="single" w:color="000000" w:sz="4"/>
            </w:tcBorders>
          </w:tcPr>
          <w:p/>
        </w:tc>
        <w:tc>
          <w:tcPr>
            <w:tcW w:type="dxa" w:w="4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省、市、县三级媒体报道</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835"/>
            <w:vMerge/>
            <w:tcBorders>
              <w:top w:val="none" w:color="000000" w:sz="4"/>
              <w:left w:val="single" w:color="000000" w:sz="4"/>
              <w:bottom w:val="single" w:color="000000" w:sz="4"/>
              <w:right w:val="single" w:color="000000" w:sz="4"/>
            </w:tcBorders>
          </w:tcP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注意事项</w:t>
            </w:r>
          </w:p>
          <w:p>
            <w:pPr>
              <w:pStyle w:val="null3"/>
            </w:pPr>
            <w:r>
              <w:rPr>
                <w:sz w:val="21"/>
                <w:color w:val="000000"/>
              </w:rPr>
              <w:t>1、达到内容指标，按分数列取得相应分数。达不到内容指标，按达到比例打分。</w:t>
            </w:r>
          </w:p>
          <w:p>
            <w:pPr>
              <w:pStyle w:val="null3"/>
            </w:pPr>
            <w:r>
              <w:rPr>
                <w:sz w:val="21"/>
                <w:color w:val="000000"/>
              </w:rPr>
              <w:t>2、分数之和乘上所占比重得出最后分数：</w:t>
            </w:r>
          </w:p>
          <w:p>
            <w:pPr>
              <w:pStyle w:val="null3"/>
            </w:pPr>
            <w:r>
              <w:rPr>
                <w:sz w:val="21"/>
                <w:color w:val="000000"/>
              </w:rPr>
              <w:t>评估</w:t>
            </w:r>
            <w:r>
              <w:rPr>
                <w:sz w:val="21"/>
                <w:color w:val="000000"/>
              </w:rPr>
              <w:t>90分或以上为优秀；80分或以上、90分以下为良好；70分或以上、80分以下为合格； 60分或以上、70分以下为基本合格；60分以下为不合格。</w:t>
            </w:r>
          </w:p>
        </w:tc>
      </w:tr>
    </w:tbl>
    <w:p>
      <w:pPr>
        <w:pStyle w:val="null3"/>
      </w:pPr>
      <w:r>
        <w:rPr>
          <w:sz w:val="21"/>
          <w:b/>
        </w:rPr>
        <w:t xml:space="preserve">5.2 </w:t>
      </w:r>
      <w:r>
        <w:rPr>
          <w:sz w:val="21"/>
          <w:b/>
        </w:rPr>
        <w:t>评估方法</w:t>
      </w:r>
    </w:p>
    <w:p>
      <w:pPr>
        <w:pStyle w:val="null3"/>
      </w:pPr>
      <w:r>
        <w:rPr>
          <w:sz w:val="21"/>
        </w:rPr>
        <w:t>（</w:t>
      </w:r>
      <w:r>
        <w:rPr>
          <w:sz w:val="21"/>
        </w:rPr>
        <w:t>1</w:t>
      </w:r>
      <w:r>
        <w:rPr>
          <w:sz w:val="21"/>
        </w:rPr>
        <w:t>）评估机构根据政府购买服务合同约定及本办法标准，进行多样化的综合评估。</w:t>
      </w:r>
    </w:p>
    <w:p>
      <w:pPr>
        <w:pStyle w:val="null3"/>
      </w:pPr>
      <w:r>
        <w:rPr>
          <w:sz w:val="21"/>
        </w:rPr>
        <w:t>（</w:t>
      </w:r>
      <w:r>
        <w:rPr>
          <w:sz w:val="21"/>
        </w:rPr>
        <w:t>2</w:t>
      </w:r>
      <w:r>
        <w:rPr>
          <w:sz w:val="21"/>
        </w:rPr>
        <w:t>）对服务项目的评估包括审阅文件、面谈、观察、抽查等方法。审阅文件至少包括检查机构有关书面政策、程序、各项服务质量标准等文件；面谈至少应包括与服务对象、社工及机构负责人的单独面谈或小组座谈；观察至少应包含对机构、服务站点工作的实际探访；抽查至少应包含调查问卷、对机构计划、工作记录的随机调阅。</w:t>
      </w:r>
    </w:p>
    <w:p>
      <w:pPr>
        <w:pStyle w:val="null3"/>
      </w:pPr>
      <w:r>
        <w:rPr>
          <w:sz w:val="21"/>
          <w:b/>
        </w:rPr>
        <w:t xml:space="preserve">5.3 </w:t>
      </w:r>
      <w:r>
        <w:rPr>
          <w:sz w:val="21"/>
          <w:b/>
        </w:rPr>
        <w:t>结果评价</w:t>
      </w:r>
    </w:p>
    <w:p>
      <w:pPr>
        <w:pStyle w:val="null3"/>
      </w:pPr>
      <w:r>
        <w:rPr>
          <w:sz w:val="21"/>
        </w:rPr>
        <w:t xml:space="preserve">     </w:t>
      </w:r>
      <w:r>
        <w:rPr>
          <w:sz w:val="21"/>
        </w:rPr>
        <w:t>评估结果采用百分制。服务项目的综合评估结果分</w:t>
      </w:r>
      <w:r>
        <w:rPr>
          <w:sz w:val="21"/>
        </w:rPr>
        <w:t>5</w:t>
      </w:r>
      <w:r>
        <w:rPr>
          <w:sz w:val="21"/>
        </w:rPr>
        <w:t>个等次，详见</w:t>
      </w:r>
      <w:r>
        <w:rPr>
          <w:sz w:val="21"/>
        </w:rPr>
        <w:t>5.1</w:t>
      </w:r>
      <w:r>
        <w:rPr>
          <w:sz w:val="21"/>
        </w:rPr>
        <w:t>评估标准附表，全年评估不合格的，扣减合同金额的</w:t>
      </w:r>
      <w:r>
        <w:rPr>
          <w:sz w:val="21"/>
        </w:rPr>
        <w:t>10%</w:t>
      </w:r>
      <w:r>
        <w:rPr>
          <w:sz w:val="21"/>
        </w:rPr>
        <w:t>。</w:t>
      </w:r>
    </w:p>
    <w:p>
      <w:pPr>
        <w:pStyle w:val="null3"/>
      </w:pPr>
      <w:r>
        <w:rPr>
          <w:sz w:val="21"/>
          <w:b/>
        </w:rPr>
        <w:t>6</w:t>
      </w:r>
      <w:r>
        <w:rPr>
          <w:sz w:val="21"/>
          <w:b/>
        </w:rPr>
        <w:t>、奖惩</w:t>
      </w:r>
    </w:p>
    <w:p>
      <w:pPr>
        <w:pStyle w:val="null3"/>
      </w:pPr>
      <w:r>
        <w:rPr>
          <w:sz w:val="21"/>
        </w:rPr>
        <w:t>（</w:t>
      </w:r>
      <w:r>
        <w:rPr>
          <w:sz w:val="21"/>
        </w:rPr>
        <w:t>1</w:t>
      </w:r>
      <w:r>
        <w:rPr>
          <w:sz w:val="21"/>
        </w:rPr>
        <w:t>）评估结果为优秀的服务项目，购买方或社工主管部门可以给予服务提供机构适当的奖励。</w:t>
      </w:r>
    </w:p>
    <w:p>
      <w:pPr>
        <w:pStyle w:val="null3"/>
      </w:pPr>
      <w:r>
        <w:rPr>
          <w:sz w:val="21"/>
        </w:rPr>
        <w:t>（</w:t>
      </w:r>
      <w:r>
        <w:rPr>
          <w:sz w:val="21"/>
        </w:rPr>
        <w:t>2</w:t>
      </w:r>
      <w:r>
        <w:rPr>
          <w:sz w:val="21"/>
        </w:rPr>
        <w:t>）评估结果不合格的服务项目，应当视情况扣减经费，且该服务提供机构在两年内不得承接该项政府购买服务项目；由于服务提供方原因导致服务指标任务未完成而被评估为不合格的，应当敦促服务提供机构按要求改进服务并继续提供服务直到政府购买服务合同任务的完成。</w:t>
      </w:r>
    </w:p>
    <w:p>
      <w:pPr>
        <w:pStyle w:val="null3"/>
      </w:pPr>
      <w:r>
        <w:rPr>
          <w:sz w:val="21"/>
        </w:rPr>
        <w:t>（</w:t>
      </w:r>
      <w:r>
        <w:rPr>
          <w:sz w:val="21"/>
        </w:rPr>
        <w:t>3</w:t>
      </w:r>
      <w:r>
        <w:rPr>
          <w:sz w:val="21"/>
        </w:rPr>
        <w:t>）情节严重的，取消其承接政府购买服务项目的资格。</w:t>
      </w:r>
    </w:p>
    <w:p>
      <w:pPr>
        <w:pStyle w:val="null3"/>
      </w:pPr>
      <w:r>
        <w:rPr/>
        <w:t>采购包1（四会市社区戒毒社区康复社工服务）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（1）服务期限从合同生效之日起12个月，节假日按照国家法定规定，但要求有人员值班提供服务。 （2）每周周一至周五正常上班。特殊情况周六周日视情况必须预留社工值班提供服务。</w:t>
            </w:r>
          </w:p>
        </w:tc>
      </w:tr>
      <w:tr>
        <w:tc>
          <w:tcPr>
            <w:tcW w:type="dxa" w:w="4153"/>
          </w:tcPr>
          <w:p>
            <w:pPr>
              <w:pStyle w:val="null3"/>
            </w:pPr>
            <w:r>
              <w:rPr/>
              <w:t>标的提供的地点</w:t>
            </w:r>
          </w:p>
        </w:tc>
        <w:tc>
          <w:tcPr>
            <w:tcW w:type="dxa" w:w="4153"/>
          </w:tcPr>
          <w:p>
            <w:pPr>
              <w:pStyle w:val="null3"/>
            </w:pPr>
            <w:r>
              <w:rPr/>
              <w:t>广东省四会市</w:t>
            </w:r>
          </w:p>
        </w:tc>
      </w:tr>
      <w:tr>
        <w:tc>
          <w:tcPr>
            <w:tcW w:type="dxa" w:w="4153"/>
          </w:tcPr>
          <w:p>
            <w:pPr>
              <w:pStyle w:val="null3"/>
            </w:pPr>
            <w:r>
              <w:rPr/>
              <w:t>付款方式</w:t>
            </w:r>
          </w:p>
        </w:tc>
        <w:tc>
          <w:tcPr>
            <w:tcW w:type="dxa" w:w="4153"/>
          </w:tcPr>
          <w:p>
            <w:pPr>
              <w:pStyle w:val="null3"/>
            </w:pPr>
            <w:r>
              <w:rPr/>
              <w:t>1期：支付比例30%,支付比例30%。签订采购合同后15天内支付合同价的30%作为预付款，拨付流程为：成交供应商向采购人递交书面拨款申请表及项目工作计划，采购人将以上成交供应商材料进行审议通过。</w:t>
            </w:r>
          </w:p>
          <w:p>
            <w:pPr>
              <w:pStyle w:val="null3"/>
            </w:pPr>
            <w:r>
              <w:rPr/>
              <w:t>2期：支付比例25%,支付预付款后的第四个月内拨付，拨付条件为成交供应商服务项目通过中期评估。</w:t>
            </w:r>
          </w:p>
          <w:p>
            <w:pPr>
              <w:pStyle w:val="null3"/>
            </w:pPr>
            <w:r>
              <w:rPr/>
              <w:t>3期：支付比例25%,支付第2期款项后的第四个月内拨付，拨付条件为成交供应商服务项目通过中期评估。</w:t>
            </w:r>
          </w:p>
          <w:p>
            <w:pPr>
              <w:pStyle w:val="null3"/>
            </w:pPr>
            <w:r>
              <w:rPr/>
              <w:t>4期：支付比例20%,第四笔季度费用拨付时间为项目结束后四个月内，拨付条件为成交供应商服务项目通过末期评估。</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1期：详见用户需求书5、评估方案的有关内容</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付款方式其他要求，1、中标人须在每个付款日前至少10天提供税务发票给采购人。 2、因采购人使用的是财政资金，采购人向政府财政支付部门提出办理财政支付申请手续（不含政府财政支付部门审核的时间），即视为已经按期支付。</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其他社会服务</w:t>
            </w:r>
          </w:p>
        </w:tc>
        <w:tc>
          <w:tcPr>
            <w:tcW w:type="dxa" w:w="933"/>
          </w:tcPr>
          <w:p>
            <w:pPr>
              <w:pStyle w:val="null3"/>
              <w:jc w:val="left"/>
            </w:pPr>
            <w:r>
              <w:rPr/>
              <w:t>社区戒毒社区康复社工服务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3,280,000.00</w:t>
            </w:r>
          </w:p>
        </w:tc>
        <w:tc>
          <w:tcPr>
            <w:tcW w:type="dxa" w:w="933"/>
          </w:tcPr>
          <w:p>
            <w:pPr>
              <w:pStyle w:val="null3"/>
              <w:jc w:val="right"/>
            </w:pPr>
            <w:r>
              <w:rPr/>
              <w:t>3,280,000.00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社区戒毒社区康复社工服务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详见用户需求书中的要求。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四会市公安局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采购包1：保证金人民币：65,000.00元整。</w:t>
            </w:r>
          </w:p>
          <w:p>
            <w:pPr>
              <w:pStyle w:val="null3"/>
            </w:pPr>
            <w:r>
              <w:rPr/>
              <w:t xml:space="preserve">开户单位： </w:t>
            </w:r>
            <w:r>
              <w:rPr/>
              <w:t>广东华伦招标有限公司肇庆分公司</w:t>
            </w:r>
          </w:p>
          <w:p>
            <w:pPr>
              <w:pStyle w:val="null3"/>
            </w:pPr>
            <w:r>
              <w:rPr/>
              <w:t xml:space="preserve">开户账号： </w:t>
            </w:r>
            <w:r>
              <w:rPr/>
              <w:t>107015512010017209</w:t>
            </w:r>
          </w:p>
          <w:p>
            <w:pPr>
              <w:pStyle w:val="null3"/>
            </w:pPr>
            <w:r>
              <w:rPr/>
              <w:t xml:space="preserve">开户银行： </w:t>
            </w:r>
            <w:r>
              <w:rPr/>
              <w:t>广发银行肇庆分行营业部</w:t>
            </w:r>
          </w:p>
          <w:p>
            <w:pPr>
              <w:pStyle w:val="null3"/>
            </w:pPr>
            <w:r>
              <w:rPr/>
              <w:t xml:space="preserve">支票提交方式： </w:t>
            </w:r>
            <w:r>
              <w:rPr/>
              <w:t>非现金支付</w:t>
            </w:r>
          </w:p>
          <w:p>
            <w:pPr>
              <w:pStyle w:val="null3"/>
            </w:pPr>
            <w:r>
              <w:rPr/>
              <w:t xml:space="preserve">汇票、本票提交方式： </w:t>
            </w:r>
            <w:r>
              <w:rPr/>
              <w:t>非现金支付</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收费标准：参照国家计委“关于印发《招标代理服务收费管理暂行办法》的通知”（计价格[2002]1980号文）和国家发展改革委调整招标代理服务收费标准(发改价格[2011]534号)的服务类标准收取； 2.计费基数：成交通知书中确定的成交总金额； 3.计算方法：差额定率累进法； 4.缴纳方式：电汇等付款方式； 5.缴纳时间：在领取成交通知书前一次性向采购代理机构缴清。</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一、《信用承诺书》的递交 ，根据肇庆市公共资源交易中心四会分中心的要求，请供应商填写《附件2：信用承诺书》，加盖单位公章。扫描件于投标截止时间后发电子邮件至采购代理机构电子邮箱（zqhlzb@163.com），原件邮寄至肇庆市公共资源交易中心四会分中心（地址：四会市行政中心广场南路建设大楼内公共资源交易中心，收件人：李先生，电话：0758-3260029）。</w:t>
            </w:r>
          </w:p>
          <w:p>
            <w:pPr>
              <w:pStyle w:val="null3"/>
              <w:jc w:val="left"/>
            </w:pPr>
            <w:r>
              <w:rPr/>
              <w:t>二、其他，在保证正常开标秩序的前提下，允许除供应商及其代表之外的其他人员观摩开标活动。观摩开标活动的其他人员应当按照采购代理机构的规定进行身份登记、签署保密承诺书，遵守交易中心要求，并服从采购代理机构的现场管理安排。</w:t>
            </w:r>
          </w:p>
          <w:p>
            <w:pPr>
              <w:pStyle w:val="null3"/>
              <w:jc w:val="left"/>
            </w:pPr>
            <w:r>
              <w:rPr/>
              <w:t>一、《信用承诺书》的递交，根据肇庆市公共资源交易中心四会分中心的要求，请供应商填写《附件2：信用承诺书》，加盖单位公章。扫描件于投标截止时间后发电子邮件至采购代理机构电子邮箱（zqhlzb@163.com），原件邮寄至肇庆市公共资源交易中心四会分中心（地址：四会市行政中心广场南路建设大楼内公共资源交易中心，收件人：李先生，电话：0758-3260029）。</w:t>
            </w:r>
          </w:p>
          <w:p>
            <w:pPr>
              <w:pStyle w:val="null3"/>
              <w:jc w:val="left"/>
            </w:pPr>
            <w:r>
              <w:rPr/>
              <w:t>二、其他，在保证正常开标秩序的前提下，允许除供应商及其代表之外的其他人员观摩开标活动。观摩开标活动的其他人员应当按照采购代理机构的规定进行身份登记、签署保密承诺书，遵守交易中心要求，并服从采购代理机构的现场管理安排。</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；请各供应商在响应文件递交截止时间前按须知前附表规定的金额递交至</w:t>
      </w:r>
      <w:r>
        <w:rPr/>
        <w:t>广东华伦招标有限公司</w:t>
      </w:r>
      <w:r>
        <w:rPr/>
        <w:t>，到账情况以开启时</w:t>
      </w:r>
      <w:r>
        <w:rPr/>
        <w:t>广东华伦招标有限公司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广东华伦招标有限公司网( http://www.gdhualun.com.cn/)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广东华伦招标有限公司网( http://www.gdhualun.com.cn/)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四会市社区戒毒社区康复社工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广东华伦招标有限公司</w:t>
      </w:r>
      <w:r>
        <w:rPr/>
        <w:t>统一对外发布。</w:t>
      </w:r>
    </w:p>
    <w:p>
      <w:pPr>
        <w:pStyle w:val="null3"/>
        <w:ind w:firstLine="480"/>
      </w:pPr>
      <w:r>
        <w:rPr/>
        <w:t>（2）对</w:t>
      </w:r>
      <w:r>
        <w:rPr/>
        <w:t>广东华伦招标有限公司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采购包1（四会市社区戒毒社区康复社工服务）：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采购包1（四会市社区戒毒社区康复社工服务）：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重大税收违法失信主体、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小微企业。供应商须是符合本项目采购标的对应行业（其他未列明行业）政策划分的小微企业。监狱企业、残疾人福利单位视同小型、微型企业。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采购包1（四会市社区戒毒社区康复社工服务）：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响应承诺函已提交，并符合竞争性磋商文件格式要求。响应文件内容基本完整，无重大错漏，并按要求签署、盖章。</w:t>
            </w:r>
          </w:p>
        </w:tc>
      </w:tr>
      <w:tr>
        <w:tc>
          <w:tcPr>
            <w:tcW w:type="dxa" w:w="890"/>
          </w:tcPr>
          <w:p>
            <w:pPr>
              <w:pStyle w:val="null3"/>
            </w:pPr>
            <w:r>
              <w:rPr/>
              <w:t>2</w:t>
            </w:r>
          </w:p>
        </w:tc>
        <w:tc>
          <w:tcPr>
            <w:tcW w:type="dxa" w:w="3178"/>
          </w:tcPr>
          <w:p>
            <w:pPr>
              <w:pStyle w:val="null3"/>
            </w:pPr>
            <w:r>
              <w:rPr/>
              <w:t>关于报价</w:t>
            </w:r>
          </w:p>
        </w:tc>
        <w:tc>
          <w:tcPr>
            <w:tcW w:type="dxa" w:w="4238"/>
          </w:tcPr>
          <w:p>
            <w:pPr>
              <w:pStyle w:val="null3"/>
            </w:pPr>
            <w:r>
              <w:rPr/>
              <w:t>报价总金额是固定价且是唯一的，未超过本项目采购预算。若磋商小组认为响应供应商的报价明显低于其他响应供应商的报价，有可能影响服务质量或者不能诚信履约的，应当要求其在评审现场合理的时间内提供书面说明，必要时提交相关证明材料。</w:t>
            </w:r>
          </w:p>
        </w:tc>
      </w:tr>
      <w:tr>
        <w:tc>
          <w:tcPr>
            <w:tcW w:type="dxa" w:w="890"/>
          </w:tcPr>
          <w:p>
            <w:pPr>
              <w:pStyle w:val="null3"/>
            </w:pPr>
            <w:r>
              <w:rPr/>
              <w:t>3</w:t>
            </w:r>
          </w:p>
        </w:tc>
        <w:tc>
          <w:tcPr>
            <w:tcW w:type="dxa" w:w="3178"/>
          </w:tcPr>
          <w:p>
            <w:pPr>
              <w:pStyle w:val="null3"/>
            </w:pPr>
            <w:r>
              <w:rPr/>
              <w:t>法定代表人（负责人）证明书及授权委托书（如需委托）</w:t>
            </w:r>
          </w:p>
        </w:tc>
        <w:tc>
          <w:tcPr>
            <w:tcW w:type="dxa" w:w="4238"/>
          </w:tcPr>
          <w:p>
            <w:pPr>
              <w:pStyle w:val="null3"/>
            </w:pPr>
            <w:r>
              <w:rPr/>
              <w:t>法定代表人（负责人）证明书及授权委托书，按竞争性磋商文件对应格式文件签署、盖章。备注：如响应供应商代表为法定代表人的，则无需提交授权书。</w:t>
            </w:r>
          </w:p>
        </w:tc>
      </w:tr>
      <w:tr>
        <w:tc>
          <w:tcPr>
            <w:tcW w:type="dxa" w:w="890"/>
          </w:tcPr>
          <w:p>
            <w:pPr>
              <w:pStyle w:val="null3"/>
            </w:pPr>
            <w:r>
              <w:rPr/>
              <w:t>4</w:t>
            </w:r>
          </w:p>
        </w:tc>
        <w:tc>
          <w:tcPr>
            <w:tcW w:type="dxa" w:w="3178"/>
          </w:tcPr>
          <w:p>
            <w:pPr>
              <w:pStyle w:val="null3"/>
            </w:pPr>
            <w:r>
              <w:rPr/>
              <w:t>报价有效期</w:t>
            </w:r>
          </w:p>
        </w:tc>
        <w:tc>
          <w:tcPr>
            <w:tcW w:type="dxa" w:w="4238"/>
          </w:tcPr>
          <w:p>
            <w:pPr>
              <w:pStyle w:val="null3"/>
            </w:pPr>
            <w:r>
              <w:rPr/>
              <w:t>从提交投标（响应）文件的截止之日起90日历天。</w:t>
            </w:r>
          </w:p>
        </w:tc>
      </w:tr>
      <w:tr>
        <w:tc>
          <w:tcPr>
            <w:tcW w:type="dxa" w:w="890"/>
          </w:tcPr>
          <w:p>
            <w:pPr>
              <w:pStyle w:val="null3"/>
            </w:pPr>
            <w:r>
              <w:rPr/>
              <w:t>5</w:t>
            </w:r>
          </w:p>
        </w:tc>
        <w:tc>
          <w:tcPr>
            <w:tcW w:type="dxa" w:w="3178"/>
          </w:tcPr>
          <w:p>
            <w:pPr>
              <w:pStyle w:val="null3"/>
            </w:pPr>
            <w:r>
              <w:rPr/>
              <w:t>满足招标文件带“★”号条款（如有）</w:t>
            </w:r>
          </w:p>
        </w:tc>
        <w:tc>
          <w:tcPr>
            <w:tcW w:type="dxa" w:w="4238"/>
          </w:tcPr>
          <w:p>
            <w:pPr>
              <w:pStyle w:val="null3"/>
            </w:pPr>
            <w:r>
              <w:rPr/>
              <w:t>满足招标文件带“★”号条款（如有）。</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未含有采购人不可接受的附加条件。</w:t>
            </w:r>
          </w:p>
        </w:tc>
      </w:tr>
      <w:tr>
        <w:tc>
          <w:tcPr>
            <w:tcW w:type="dxa" w:w="890"/>
          </w:tcPr>
          <w:p>
            <w:pPr>
              <w:pStyle w:val="null3"/>
            </w:pPr>
            <w:r>
              <w:rPr/>
              <w:t>7</w:t>
            </w:r>
          </w:p>
        </w:tc>
        <w:tc>
          <w:tcPr>
            <w:tcW w:type="dxa" w:w="3178"/>
          </w:tcPr>
          <w:p>
            <w:pPr>
              <w:pStyle w:val="null3"/>
            </w:pPr>
            <w:r>
              <w:rPr/>
              <w:t>其他情形</w:t>
            </w:r>
          </w:p>
        </w:tc>
        <w:tc>
          <w:tcPr>
            <w:tcW w:type="dxa" w:w="4238"/>
          </w:tcPr>
          <w:p>
            <w:pPr>
              <w:pStyle w:val="null3"/>
            </w:pPr>
            <w:r>
              <w:rPr/>
              <w:t>无法律、法规或者竞争性磋商文件规定的其他无效响应的情形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采购包1(四会市社区戒毒社区康复社工服务):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对项目的理解与认识 (15.0分)</w:t>
            </w:r>
            <w:r>
              <w:rPr/>
              <w:t>，（等次分值选择：</w:t>
            </w:r>
            <w:r>
              <w:rPr/>
              <w:t>0.0;</w:t>
            </w:r>
            <w:r>
              <w:rPr/>
              <w:t>4.0;</w:t>
            </w:r>
            <w:r>
              <w:rPr/>
              <w:t>8.0;</w:t>
            </w:r>
            <w:r>
              <w:rPr/>
              <w:t>12.0;</w:t>
            </w:r>
            <w:r>
              <w:rPr/>
              <w:t>15.0;</w:t>
            </w:r>
            <w:r>
              <w:rPr/>
              <w:t>）</w:t>
            </w:r>
          </w:p>
        </w:tc>
        <w:tc>
          <w:tcPr>
            <w:tcW w:type="dxa" w:w="5076"/>
          </w:tcPr>
          <w:p>
            <w:pPr>
              <w:pStyle w:val="null3"/>
              <w:jc w:val="left"/>
            </w:pPr>
            <w:r>
              <w:rPr/>
              <w:t>根据供应商对本项目的理解与认识（包括但不仅限于项目背景、项目意义、项目现状、项目重点与难点）进行综合评审： 1.供应商对项目理解和认识深入透彻，内容涵盖上述所有要点、分析准确，完全满足或优于采购需求的，得15分； 2.供应商对项目理解和认识较为深入，内容涵盖上述大部分要点，有少量缺失、可行性较强，较大程度满足采购需求的，得12分； 3.供应商对项目理解和认识不够透彻，内容涵盖上述部分要点，有较多缺失，可行性一般，基本满足采购需求的，得8分； 4.供应商对项目理解和认识不准确，内容涵盖上述少部分要点，内容较不符合采购需求，可操作性、可行性差的，得4分； 5,未提供相关内容阐述的不得分。</w:t>
            </w:r>
          </w:p>
        </w:tc>
      </w:tr>
      <w:tr>
        <w:tc>
          <w:tcPr>
            <w:tcW w:type="dxa" w:w="922"/>
            <w:gridSpan w:val="2"/>
            <w:vMerge/>
          </w:tcPr>
          <w:p/>
        </w:tc>
        <w:tc>
          <w:tcPr>
            <w:tcW w:type="dxa" w:w="2307"/>
          </w:tcPr>
          <w:p>
            <w:pPr>
              <w:pStyle w:val="null3"/>
              <w:jc w:val="left"/>
            </w:pPr>
            <w:r>
              <w:rPr/>
              <w:t>针对本项目的具体服务方案 (20.0分)</w:t>
            </w:r>
            <w:r>
              <w:rPr/>
              <w:t>，（等次分值选择：</w:t>
            </w:r>
            <w:r>
              <w:rPr/>
              <w:t>0.0;</w:t>
            </w:r>
            <w:r>
              <w:rPr/>
              <w:t>5.0;</w:t>
            </w:r>
            <w:r>
              <w:rPr/>
              <w:t>10.0;</w:t>
            </w:r>
            <w:r>
              <w:rPr/>
              <w:t>15.0;</w:t>
            </w:r>
            <w:r>
              <w:rPr/>
              <w:t>20.0;</w:t>
            </w:r>
            <w:r>
              <w:rPr/>
              <w:t>）</w:t>
            </w:r>
          </w:p>
        </w:tc>
        <w:tc>
          <w:tcPr>
            <w:tcW w:type="dxa" w:w="5076"/>
          </w:tcPr>
          <w:p>
            <w:pPr>
              <w:pStyle w:val="null3"/>
              <w:jc w:val="left"/>
            </w:pPr>
            <w:r>
              <w:rPr/>
              <w:t>根据供应商针对本项采购需求提供对应服务方案及措施（包括但不限于戒毒康复服务、帮扶救助服务、人员管控服务、站点办公设备维护服务、毒瘾评估和干预服务等）进行综合评审： 1.供应商对本项目提供的服务方案内容涵盖上述要点，且内容详尽、可执行性强，完全满足或优于采购需求，得20分； 2.供应商对本项目提供的服务方案内容涵盖上述大部分要点，有少量缺失、可执行性较强，较大程度满足采购需求的，得15分； 3.供应商对本项目提供的服务方案内容涵盖上述部分要点，有较多缺失，可执行性较弱，基本满足采购需求的，得10分； 4.供应商对本项目提供的服务方案内容涵盖上述少部分要点，有多处缺失，且执行性弱，较不能满足采购需求的，得5分； 5.未提供相关内容阐述的不得分。</w:t>
            </w:r>
          </w:p>
        </w:tc>
      </w:tr>
      <w:tr>
        <w:tc>
          <w:tcPr>
            <w:tcW w:type="dxa" w:w="922"/>
            <w:gridSpan w:val="2"/>
            <w:vMerge/>
          </w:tcPr>
          <w:p/>
        </w:tc>
        <w:tc>
          <w:tcPr>
            <w:tcW w:type="dxa" w:w="2307"/>
          </w:tcPr>
          <w:p>
            <w:pPr>
              <w:pStyle w:val="null3"/>
              <w:jc w:val="left"/>
            </w:pPr>
            <w:r>
              <w:rPr/>
              <w:t>服务保障措施 (15.0分)</w:t>
            </w:r>
            <w:r>
              <w:rPr/>
              <w:t>，（等次分值选择：</w:t>
            </w:r>
            <w:r>
              <w:rPr/>
              <w:t>0.0;</w:t>
            </w:r>
            <w:r>
              <w:rPr/>
              <w:t>4.0;</w:t>
            </w:r>
            <w:r>
              <w:rPr/>
              <w:t>8.0;</w:t>
            </w:r>
            <w:r>
              <w:rPr/>
              <w:t>12.0;</w:t>
            </w:r>
            <w:r>
              <w:rPr/>
              <w:t>15.0;</w:t>
            </w:r>
            <w:r>
              <w:rPr/>
              <w:t>）</w:t>
            </w:r>
          </w:p>
        </w:tc>
        <w:tc>
          <w:tcPr>
            <w:tcW w:type="dxa" w:w="5076"/>
          </w:tcPr>
          <w:p>
            <w:pPr>
              <w:pStyle w:val="null3"/>
              <w:jc w:val="left"/>
            </w:pPr>
            <w:r>
              <w:rPr/>
              <w:t>根据供应商对本项目提供的服务保障措施（包括但不限于计划进度保障措施、服务质量保障措施、应急保障措施等）进行综合评审： 1.供应商对本项目提供的服务保障措施内容涵盖上述所有要点，且针对性强、可操作性高，完全满足或优于采购项目需求的得15分； 2.供应商对本项提供的服务保障措施内容涵盖部分要点，基本合理可行，针对性较强、较有可操作性，较大程度满足采购项目需求的得12分； 3.供应商对本项目提供的服务保障措施内容涵盖部分要点，但有较少缺失，不够合理可行、针对性一般、可操作性一般，基本满足本项目采购需求的得8分； 4.供应商对本项目提供的服务保障措施内容涵盖上述少部分要点，且没有针对性、无可操作性，较不能满足项目采购需求的得4分； 5.未提供相关内容阐述的不得分。</w:t>
            </w:r>
          </w:p>
        </w:tc>
      </w:tr>
      <w:tr>
        <w:tc>
          <w:tcPr>
            <w:tcW w:type="dxa" w:w="922"/>
            <w:gridSpan w:val="2"/>
            <w:vMerge/>
          </w:tcPr>
          <w:p/>
        </w:tc>
        <w:tc>
          <w:tcPr>
            <w:tcW w:type="dxa" w:w="2307"/>
          </w:tcPr>
          <w:p>
            <w:pPr>
              <w:pStyle w:val="null3"/>
              <w:jc w:val="left"/>
            </w:pPr>
            <w:r>
              <w:rPr/>
              <w:t>智能戒毒服务 (20.0分)</w:t>
            </w:r>
          </w:p>
        </w:tc>
        <w:tc>
          <w:tcPr>
            <w:tcW w:type="dxa" w:w="5076"/>
          </w:tcPr>
          <w:p>
            <w:pPr>
              <w:pStyle w:val="null3"/>
              <w:jc w:val="left"/>
            </w:pPr>
            <w:r>
              <w:rPr/>
              <w:t>目前缺少有效的戒毒人员毒瘾渴求程度评估及矫治方法，为了提高戒毒人员的戒治效果，保障戒毒效果有效稳固，供应商应具备相应的服务创新能力： （一）具备基于电生理信号的人工智能毒瘾渴求客观评估与干预方案，技术要求包括如下内容： 1.基于电生理信号的毒瘾渴求评估技术作为针对吸毒人员特殊人群的评估工具应该具备经过公安部质量监督检验测试相关部门的检验检测，提供公安部质量监督检验检测报告作为证明材料，提供检测报告得3分，不提供不得分； 2.为完善吸毒人员毒瘾渴求变化档案，以及应对不同现存吸毒人员毒品吸食种类较多的问题，系统应展示不同毒品吸食人员的渴求度在不同戒治阶段的变化，可选毒品类型包括冰毒、海洛因及K粉。提供系统功能页面截图作为佐证材料，作证材料满足技术要求得3分，不满足不得分。 3.作为电生理信号的精准客观评估技术，毒瘾评估过程中应可以实时显示生理数据变动态性化；毒瘾渴求度评估结果需精准度至1%；毒瘾渴求评估准确度应大于90%的，对毒瘾评估技术的动态性、精准度和准确度，提供系统功能页面截图或检测报告检测结论作为作证材料，每佐证一项技术功能得2分，本项最多得6分。 （二）由于戒毒人员较为分散且日常到站点接受干预的机会较少，服务商应具备基于移动智能程序的在线数字化评估与干预矫治方案或技术： 1.在线毒瘾渴求矫治技术，为吸毒人员提供在线数字毒瘾矫治与心理干预服务，为应对吸毒人员远程缺乏监督，系统应具备人脸识别验证签到功能，提供系统功能页面截图作为佐证材料，满足技术要求得2分，不满足不得分。 2.在线毒瘾矫治系统应提供线上毒瘾矫治课程，应包含不少于8节由真人拍摄的专业认知行为疗法课程内容，并具有交互环节；提供系统功能页面截图，完全满足技术要求得3分，不满足不得分。 3.在线数字毒瘾矫治系统应具备在线的毒瘾渴求评估功能，用于戒毒康复人员居家毒瘾渴求监测，监测自身心瘾变化，在线毒瘾渴求评估应具备非问卷式的客观评估，并能及时出具评估报告，评估报告应显示具体渴求分数以及渴求等级，提供结果意见以及多次评估的评估渴求变化，提供系统功能页面截图作为佐证材料，完全满足技术要求得3分，不满足不得分。 如非供应商自有技术，须提供厂家的技术书面授权书。</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供应商提供2020年1月1日以来的同类型项目合同，每提供一个得1分，本项最高得5分。 注：供应商应在响应文件中需提供合同关键页复印件并加盖公章，不提供或不满足要求的不得分。</w:t>
            </w:r>
          </w:p>
        </w:tc>
      </w:tr>
      <w:tr>
        <w:tc>
          <w:tcPr>
            <w:tcW w:type="dxa" w:w="922"/>
            <w:gridSpan w:val="2"/>
            <w:vMerge/>
          </w:tcPr>
          <w:p/>
        </w:tc>
        <w:tc>
          <w:tcPr>
            <w:tcW w:type="dxa" w:w="2307"/>
          </w:tcPr>
          <w:p>
            <w:pPr>
              <w:pStyle w:val="null3"/>
              <w:jc w:val="left"/>
            </w:pPr>
            <w:r>
              <w:rPr/>
              <w:t>拟派项目团队综合实力 (15.0分)</w:t>
            </w:r>
          </w:p>
        </w:tc>
        <w:tc>
          <w:tcPr>
            <w:tcW w:type="dxa" w:w="5076"/>
          </w:tcPr>
          <w:p>
            <w:pPr>
              <w:pStyle w:val="null3"/>
              <w:jc w:val="left"/>
            </w:pPr>
            <w:r>
              <w:rPr/>
              <w:t>根据供应商拟派项目团队成员综合实力进行评审： 1.具有大专以上学历且持有中级及以上社会工作师证书的，每提供1个得2.5分，此项最高得分5分。 2.具有大专以上学历且持有助理社工师证书的，每提供1个得2分；此项最高得10分。 注：供应商应在响应文件中需提供相关人员学历证书、专业技术资格证书复印件并加盖公章，同一人不可重复计分，不提供或不满足要求的不得分。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标结果按评审后总得分由高到低顺序排列。总得分相同的按报价由低到高顺序排列。评审得分且最终报价相同的，按照技术指标优劣顺序推荐；若未能区分优劣，则由磋商小组成员投票决定，投票按少数服从多数的原则进行，投票时不得弃权。排名第一的响应供应商为第一成交候选人，排名第二的响应供应商为第二成交候选人，排名第三的响应供应商为第三成交候选人。 。</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441284-2024-01398</w:t>
      </w:r>
    </w:p>
    <w:p>
      <w:pPr>
        <w:pStyle w:val="null3"/>
        <w:jc w:val="center"/>
        <w:outlineLvl w:val="3"/>
      </w:pPr>
      <w:r>
        <w:rPr>
          <w:sz w:val="24"/>
          <w:b/>
        </w:rPr>
        <w:t>采购项目编号：</w:t>
      </w:r>
      <w:r>
        <w:rPr>
          <w:sz w:val="24"/>
          <w:b/>
        </w:rPr>
        <w:t>0809-2441SHC3B701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广东华伦招标有限公司</w:t>
      </w:r>
    </w:p>
    <w:p>
      <w:pPr>
        <w:pStyle w:val="null3"/>
        <w:ind w:firstLine="480"/>
      </w:pPr>
      <w:r>
        <w:rPr/>
        <w:t xml:space="preserve"> 你方组织的</w:t>
      </w:r>
      <w:r>
        <w:rPr>
          <w:u w:val="single"/>
        </w:rPr>
        <w:t>“</w:t>
      </w:r>
      <w:r>
        <w:rPr>
          <w:u w:val="single"/>
        </w:rPr>
        <w:t>四会市社区戒毒社区康复社工服务</w:t>
      </w:r>
      <w:r>
        <w:rPr>
          <w:u w:val="single"/>
        </w:rPr>
        <w:t>”</w:t>
      </w:r>
      <w:r>
        <w:rPr/>
        <w:t>项目的竞争性磋商[采购项目编号为：</w:t>
      </w:r>
      <w:r>
        <w:rPr>
          <w:u w:val="single"/>
        </w:rPr>
        <w:t>0809-2441SHC3B701</w:t>
      </w:r>
      <w:r>
        <w:rPr/>
        <w:t>]，我方愿参与响应。</w:t>
      </w:r>
    </w:p>
    <w:p>
      <w:pPr>
        <w:pStyle w:val="null3"/>
        <w:ind w:firstLine="480"/>
      </w:pPr>
      <w:r>
        <w:rPr/>
        <w:t>我方确认收到贵方提供的</w:t>
      </w:r>
      <w:r>
        <w:rPr>
          <w:u w:val="single"/>
        </w:rPr>
        <w:t>“</w:t>
      </w:r>
      <w:r>
        <w:rPr>
          <w:u w:val="single"/>
        </w:rPr>
        <w:t>四会市社区戒毒社区康复社工服务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四会市社区戒毒社区康复社工服务</w:t>
      </w:r>
      <w:r>
        <w:rPr/>
        <w:t>”项目采购[采购项目编号为</w:t>
      </w:r>
      <w:r>
        <w:rPr/>
        <w:t>0809-2441SHC3B701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四会市公安局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广东华伦招标有限公司</w:t>
      </w:r>
    </w:p>
    <w:p>
      <w:pPr>
        <w:pStyle w:val="null3"/>
        <w:ind w:firstLine="480"/>
      </w:pPr>
      <w:r>
        <w:rPr/>
        <w:t>我单位参加贵公司组织的</w:t>
      </w:r>
      <w:r>
        <w:rPr/>
        <w:t>四会市社区戒毒社区康复社工服务</w:t>
      </w:r>
      <w:r>
        <w:rPr/>
        <w:t>（采购项目编号：</w:t>
      </w:r>
      <w:r>
        <w:rPr/>
        <w:t>0809-2441SHC3B701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四会市社区戒毒社区康复社工服务</w:t>
      </w:r>
      <w:r>
        <w:rPr/>
        <w:t>”项目（采购项目编号：</w:t>
      </w:r>
      <w:r>
        <w:rPr/>
        <w:t>0809-2441SHC3B701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