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7CF6">
      <w:pPr>
        <w:pStyle w:val="2"/>
        <w:bidi w:val="0"/>
        <w:jc w:val="center"/>
        <w:rPr>
          <w:rFonts w:hint="default" w:ascii="黑体" w:hAnsi="黑体" w:eastAsia="黑体" w:cs="黑体"/>
          <w:lang w:val="en-US" w:eastAsia="zh-CN"/>
        </w:rPr>
      </w:pPr>
      <w:r>
        <w:rPr>
          <w:rFonts w:hint="eastAsia" w:ascii="黑体" w:hAnsi="黑体" w:eastAsia="黑体" w:cs="黑体"/>
          <w:lang w:val="en-US" w:eastAsia="zh-CN"/>
        </w:rPr>
        <w:t>病毒载量试剂技术需求</w:t>
      </w:r>
    </w:p>
    <w:p w14:paraId="77F424B2">
      <w:pPr>
        <w:spacing w:before="227" w:line="219" w:lineRule="auto"/>
        <w:ind w:left="13"/>
        <w:rPr>
          <w:rFonts w:ascii="宋体" w:hAnsi="宋体" w:eastAsia="宋体" w:cs="宋体"/>
          <w:sz w:val="24"/>
          <w:szCs w:val="24"/>
        </w:rPr>
      </w:pPr>
      <w:r>
        <w:rPr>
          <w:rFonts w:ascii="宋体" w:hAnsi="宋体" w:eastAsia="宋体" w:cs="宋体"/>
          <w:b/>
          <w:bCs/>
          <w:spacing w:val="-3"/>
          <w:sz w:val="24"/>
          <w:szCs w:val="24"/>
        </w:rPr>
        <w:t>一、</w:t>
      </w:r>
      <w:r>
        <w:rPr>
          <w:rFonts w:ascii="宋体" w:hAnsi="宋体" w:eastAsia="宋体" w:cs="宋体"/>
          <w:spacing w:val="-3"/>
          <w:sz w:val="24"/>
          <w:szCs w:val="24"/>
        </w:rPr>
        <w:t xml:space="preserve">  </w:t>
      </w:r>
      <w:r>
        <w:rPr>
          <w:rFonts w:ascii="宋体" w:hAnsi="宋体" w:eastAsia="宋体" w:cs="宋体"/>
          <w:b/>
          <w:bCs/>
          <w:spacing w:val="-3"/>
          <w:sz w:val="24"/>
          <w:szCs w:val="24"/>
        </w:rPr>
        <w:t>项目基本情况</w:t>
      </w:r>
    </w:p>
    <w:p w14:paraId="1DF5CE41">
      <w:pPr>
        <w:spacing w:before="180" w:line="240" w:lineRule="auto"/>
        <w:ind w:left="13"/>
        <w:rPr>
          <w:rFonts w:hint="eastAsia" w:ascii="宋体" w:hAnsi="宋体" w:eastAsia="宋体" w:cs="宋体"/>
          <w:spacing w:val="-2"/>
          <w:sz w:val="24"/>
          <w:szCs w:val="24"/>
          <w:u w:val="single"/>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项目名称：</w:t>
      </w:r>
      <w:r>
        <w:rPr>
          <w:rFonts w:hint="eastAsia" w:ascii="宋体" w:hAnsi="宋体" w:eastAsia="宋体" w:cs="宋体"/>
          <w:spacing w:val="-2"/>
          <w:sz w:val="24"/>
          <w:szCs w:val="24"/>
          <w:u w:val="single"/>
        </w:rPr>
        <w:t>广州医科大学附属市八医院病毒载量检测试剂遴选项目</w:t>
      </w:r>
    </w:p>
    <w:p w14:paraId="2C5B2B6B">
      <w:pPr>
        <w:spacing w:before="184" w:line="360" w:lineRule="auto"/>
        <w:ind w:left="11"/>
        <w:rPr>
          <w:rFonts w:hint="default" w:ascii="宋体" w:hAnsi="宋体" w:eastAsia="宋体" w:cs="宋体"/>
          <w:spacing w:val="-2"/>
          <w:sz w:val="24"/>
          <w:szCs w:val="24"/>
          <w:u w:val="single" w:color="auto"/>
          <w:lang w:val="en-US" w:eastAsia="zh-CN"/>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预算金额</w:t>
      </w:r>
      <w:r>
        <w:rPr>
          <w:rFonts w:ascii="宋体" w:hAnsi="宋体" w:eastAsia="宋体" w:cs="宋体"/>
          <w:spacing w:val="-48"/>
          <w:sz w:val="24"/>
          <w:szCs w:val="24"/>
        </w:rPr>
        <w:t>：</w:t>
      </w:r>
      <w:r>
        <w:rPr>
          <w:rFonts w:hint="eastAsia" w:ascii="宋体" w:hAnsi="宋体" w:eastAsia="宋体" w:cs="宋体"/>
          <w:spacing w:val="-2"/>
          <w:sz w:val="24"/>
          <w:szCs w:val="24"/>
          <w:u w:val="single" w:color="auto"/>
          <w:lang w:val="en-US" w:eastAsia="zh-CN"/>
        </w:rPr>
        <w:t>25,176,700.00元</w:t>
      </w:r>
    </w:p>
    <w:p w14:paraId="780A1E23">
      <w:pPr>
        <w:pStyle w:val="4"/>
        <w:snapToGrid w:val="0"/>
        <w:spacing w:line="360" w:lineRule="auto"/>
        <w:ind w:left="0" w:leftChars="0" w:firstLine="0" w:firstLineChars="0"/>
        <w:rPr>
          <w:rFonts w:hint="eastAsia" w:ascii="Helvetica" w:hAnsi="Helvetica" w:eastAsia="宋体" w:cs="Helvetica"/>
          <w:i w:val="0"/>
          <w:iCs w:val="0"/>
          <w:caps w:val="0"/>
          <w:color w:val="auto"/>
          <w:spacing w:val="0"/>
          <w:sz w:val="24"/>
          <w:szCs w:val="24"/>
          <w:shd w:val="clear" w:color="auto" w:fill="FFFFFF"/>
        </w:rPr>
      </w:pPr>
      <w:r>
        <w:rPr>
          <w:rFonts w:hint="eastAsia" w:asci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履约时间：</w:t>
      </w:r>
      <w:r>
        <w:rPr>
          <w:rFonts w:ascii="Helvetica" w:hAnsi="Helvetica" w:eastAsia="Helvetica" w:cs="Helvetica"/>
          <w:i w:val="0"/>
          <w:iCs w:val="0"/>
          <w:caps w:val="0"/>
          <w:color w:val="auto"/>
          <w:spacing w:val="0"/>
          <w:sz w:val="24"/>
          <w:szCs w:val="24"/>
          <w:shd w:val="clear" w:color="auto" w:fill="FFFFFF"/>
        </w:rPr>
        <w:t>自合同签订之日起</w:t>
      </w:r>
      <w:r>
        <w:rPr>
          <w:rFonts w:hint="eastAsia" w:ascii="Helvetica" w:hAnsi="Helvetica" w:eastAsia="宋体" w:cs="Helvetica"/>
          <w:i w:val="0"/>
          <w:iCs w:val="0"/>
          <w:caps w:val="0"/>
          <w:color w:val="auto"/>
          <w:spacing w:val="0"/>
          <w:sz w:val="24"/>
          <w:szCs w:val="24"/>
          <w:shd w:val="clear" w:color="auto" w:fill="FFFFFF"/>
          <w:lang w:val="en-US" w:eastAsia="zh-CN"/>
        </w:rPr>
        <w:t>一</w:t>
      </w:r>
      <w:r>
        <w:rPr>
          <w:rFonts w:ascii="Helvetica" w:hAnsi="Helvetica" w:eastAsia="Helvetica" w:cs="Helvetica"/>
          <w:i w:val="0"/>
          <w:iCs w:val="0"/>
          <w:caps w:val="0"/>
          <w:color w:val="auto"/>
          <w:spacing w:val="0"/>
          <w:sz w:val="24"/>
          <w:szCs w:val="24"/>
          <w:shd w:val="clear" w:color="auto" w:fill="FFFFFF"/>
        </w:rPr>
        <w:t>年或结算金额</w:t>
      </w:r>
      <w:r>
        <w:rPr>
          <w:rFonts w:hint="eastAsia" w:ascii="Helvetica" w:hAnsi="Helvetica" w:eastAsia="宋体" w:cs="Helvetica"/>
          <w:i w:val="0"/>
          <w:iCs w:val="0"/>
          <w:caps w:val="0"/>
          <w:color w:val="auto"/>
          <w:spacing w:val="0"/>
          <w:sz w:val="24"/>
          <w:szCs w:val="24"/>
          <w:shd w:val="clear" w:color="auto" w:fill="FFFFFF"/>
        </w:rPr>
        <w:t>累计达到本项目采购预算</w:t>
      </w:r>
      <w:r>
        <w:rPr>
          <w:rFonts w:hint="eastAsia" w:ascii="Helvetica" w:hAnsi="Helvetica" w:eastAsia="宋体" w:cs="Helvetica"/>
          <w:i w:val="0"/>
          <w:iCs w:val="0"/>
          <w:caps w:val="0"/>
          <w:color w:val="auto"/>
          <w:spacing w:val="0"/>
          <w:sz w:val="24"/>
          <w:szCs w:val="24"/>
          <w:shd w:val="clear" w:color="auto" w:fill="FFFFFF"/>
          <w:lang w:eastAsia="zh-CN"/>
        </w:rPr>
        <w:t>（</w:t>
      </w:r>
      <w:r>
        <w:rPr>
          <w:rFonts w:hint="eastAsia" w:ascii="Helvetica" w:hAnsi="Helvetica" w:eastAsia="宋体" w:cs="Helvetica"/>
          <w:i w:val="0"/>
          <w:iCs w:val="0"/>
          <w:caps w:val="0"/>
          <w:color w:val="auto"/>
          <w:spacing w:val="0"/>
          <w:sz w:val="24"/>
          <w:szCs w:val="24"/>
          <w:shd w:val="clear" w:color="auto" w:fill="FFFFFF"/>
          <w:lang w:val="en-US" w:eastAsia="zh-CN"/>
        </w:rPr>
        <w:t>人民币</w:t>
      </w:r>
      <w:r>
        <w:rPr>
          <w:rFonts w:hint="eastAsia" w:ascii="宋体" w:eastAsia="宋体" w:cs="宋体"/>
          <w:color w:val="auto"/>
          <w:sz w:val="24"/>
          <w:szCs w:val="24"/>
          <w:shd w:val="clear" w:color="auto" w:fill="FFFFFF"/>
          <w:lang w:val="en-US" w:eastAsia="zh-CN"/>
        </w:rPr>
        <w:t>25,176,700</w:t>
      </w:r>
      <w:r>
        <w:rPr>
          <w:rFonts w:hint="eastAsia" w:ascii="宋体" w:hAnsi="宋体" w:eastAsia="宋体" w:cs="宋体"/>
          <w:color w:val="auto"/>
          <w:sz w:val="24"/>
          <w:szCs w:val="24"/>
          <w:shd w:val="clear" w:color="auto" w:fill="FFFFFF"/>
          <w:lang w:val="en-US" w:eastAsia="zh-CN"/>
        </w:rPr>
        <w:t>.00</w:t>
      </w:r>
      <w:r>
        <w:rPr>
          <w:rFonts w:hint="eastAsia" w:ascii="Helvetica" w:hAnsi="Helvetica" w:eastAsia="宋体" w:cs="Helvetica"/>
          <w:color w:val="auto"/>
          <w:sz w:val="24"/>
          <w:szCs w:val="24"/>
          <w:shd w:val="clear" w:color="auto" w:fill="FFFFFF"/>
          <w:lang w:val="en-US" w:eastAsia="zh-CN"/>
        </w:rPr>
        <w:t>元</w:t>
      </w:r>
      <w:r>
        <w:rPr>
          <w:rFonts w:hint="eastAsia" w:ascii="Helvetica" w:hAnsi="Helvetica" w:eastAsia="宋体" w:cs="Helvetica"/>
          <w:i w:val="0"/>
          <w:iCs w:val="0"/>
          <w:caps w:val="0"/>
          <w:color w:val="auto"/>
          <w:spacing w:val="0"/>
          <w:sz w:val="24"/>
          <w:szCs w:val="24"/>
          <w:shd w:val="clear" w:color="auto" w:fill="FFFFFF"/>
          <w:lang w:eastAsia="zh-CN"/>
        </w:rPr>
        <w:t>）</w:t>
      </w:r>
      <w:r>
        <w:rPr>
          <w:rFonts w:hint="eastAsia" w:ascii="Helvetica" w:hAnsi="Helvetica" w:eastAsia="宋体" w:cs="Helvetica"/>
          <w:i w:val="0"/>
          <w:iCs w:val="0"/>
          <w:caps w:val="0"/>
          <w:color w:val="auto"/>
          <w:spacing w:val="0"/>
          <w:sz w:val="24"/>
          <w:szCs w:val="24"/>
          <w:shd w:val="clear" w:color="auto" w:fill="FFFFFF"/>
        </w:rPr>
        <w:t>合同终止，以先到为准。</w:t>
      </w:r>
    </w:p>
    <w:p w14:paraId="60F2DE73">
      <w:pPr>
        <w:pStyle w:val="4"/>
        <w:snapToGrid w:val="0"/>
        <w:spacing w:line="360" w:lineRule="auto"/>
        <w:ind w:left="0" w:leftChars="0" w:firstLine="0" w:firstLineChars="0"/>
        <w:rPr>
          <w:rFonts w:hint="eastAsia" w:ascii="宋体" w:hAnsi="宋体" w:eastAsia="宋体" w:cs="宋体"/>
          <w:spacing w:val="-2"/>
          <w:sz w:val="24"/>
          <w:szCs w:val="24"/>
          <w:lang w:val="en-US" w:eastAsia="zh-CN"/>
        </w:rPr>
      </w:pPr>
      <w:r>
        <w:rPr>
          <w:rFonts w:hint="eastAsia" w:ascii="宋体" w:hAnsi="宋体" w:eastAsia="宋体" w:cs="宋体"/>
          <w:color w:val="auto"/>
          <w:spacing w:val="-2"/>
          <w:sz w:val="24"/>
          <w:szCs w:val="24"/>
          <w:lang w:val="en-US" w:eastAsia="zh-CN"/>
        </w:rPr>
        <w:t>4.付款方式：供应商接遴选人通知之日起7天内发货，分批次交货，货物到达遴选人指定地点后，供应商每3个月开具一次相应货物的发票给</w:t>
      </w:r>
      <w:r>
        <w:rPr>
          <w:rFonts w:hint="eastAsia" w:ascii="宋体" w:hAnsi="宋体" w:eastAsia="宋体" w:cs="宋体"/>
          <w:spacing w:val="-2"/>
          <w:sz w:val="24"/>
          <w:szCs w:val="24"/>
          <w:lang w:val="en-US" w:eastAsia="zh-CN"/>
        </w:rPr>
        <w:t xml:space="preserve">遴选人，遴选人收到发票后支付已到达货物的100%货款。 </w:t>
      </w:r>
    </w:p>
    <w:p w14:paraId="42C65DBA">
      <w:pPr>
        <w:pStyle w:val="4"/>
        <w:snapToGrid w:val="0"/>
        <w:spacing w:line="360" w:lineRule="auto"/>
        <w:ind w:left="0" w:leftChars="0" w:firstLine="0" w:firstLineChars="0"/>
        <w:rPr>
          <w:rFonts w:hint="eastAsia" w:ascii="宋体" w:eastAsia="宋体" w:cs="宋体"/>
          <w:spacing w:val="-2"/>
          <w:sz w:val="24"/>
          <w:szCs w:val="24"/>
          <w:lang w:val="en-US" w:eastAsia="zh-CN"/>
        </w:rPr>
      </w:pPr>
      <w:r>
        <w:rPr>
          <w:rFonts w:hint="eastAsia" w:ascii="宋体" w:eastAsia="宋体" w:cs="宋体"/>
          <w:spacing w:val="-2"/>
          <w:sz w:val="24"/>
          <w:szCs w:val="24"/>
          <w:lang w:val="en-US" w:eastAsia="zh-CN"/>
        </w:rPr>
        <w:t>5.标的提供时间：根据遴选人通知 7 天内发货</w:t>
      </w:r>
    </w:p>
    <w:p w14:paraId="0009B0FA">
      <w:pPr>
        <w:pStyle w:val="4"/>
        <w:snapToGrid w:val="0"/>
        <w:spacing w:line="360" w:lineRule="auto"/>
        <w:ind w:left="0" w:leftChars="0" w:firstLine="0" w:firstLineChars="0"/>
        <w:rPr>
          <w:rFonts w:hint="eastAsia" w:ascii="宋体" w:hAnsi="宋体" w:eastAsia="宋体" w:cs="宋体"/>
          <w:spacing w:val="-2"/>
          <w:sz w:val="24"/>
          <w:szCs w:val="24"/>
          <w:lang w:val="en-US" w:eastAsia="zh-CN"/>
        </w:rPr>
      </w:pPr>
      <w:r>
        <w:rPr>
          <w:rFonts w:hint="eastAsia" w:ascii="宋体" w:eastAsia="宋体" w:cs="宋体"/>
          <w:spacing w:val="-2"/>
          <w:sz w:val="24"/>
          <w:szCs w:val="24"/>
          <w:lang w:val="en-US" w:eastAsia="zh-CN"/>
        </w:rPr>
        <w:t>6</w:t>
      </w:r>
      <w:r>
        <w:rPr>
          <w:rFonts w:hint="eastAsia" w:ascii="宋体" w:hAnsi="宋体" w:eastAsia="宋体" w:cs="宋体"/>
          <w:spacing w:val="-2"/>
          <w:sz w:val="24"/>
          <w:szCs w:val="24"/>
          <w:lang w:val="en-US" w:eastAsia="zh-CN"/>
        </w:rPr>
        <w:t>.遴选项目一览表</w:t>
      </w:r>
    </w:p>
    <w:p w14:paraId="3CCFC1A8">
      <w:pPr>
        <w:spacing w:line="146" w:lineRule="exact"/>
      </w:pPr>
    </w:p>
    <w:tbl>
      <w:tblPr>
        <w:tblStyle w:val="11"/>
        <w:tblW w:w="9891"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4316"/>
        <w:gridCol w:w="1329"/>
        <w:gridCol w:w="1737"/>
        <w:gridCol w:w="1249"/>
      </w:tblGrid>
      <w:tr w14:paraId="57D2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60" w:type="dxa"/>
            <w:tcBorders>
              <w:top w:val="single" w:color="auto" w:sz="4" w:space="0"/>
              <w:left w:val="single" w:color="auto" w:sz="4" w:space="0"/>
              <w:bottom w:val="single" w:color="auto" w:sz="4" w:space="0"/>
              <w:right w:val="single" w:color="auto" w:sz="4" w:space="0"/>
            </w:tcBorders>
            <w:vAlign w:val="center"/>
          </w:tcPr>
          <w:p w14:paraId="3154F535">
            <w:pPr>
              <w:pStyle w:val="10"/>
              <w:spacing w:before="41" w:line="222" w:lineRule="auto"/>
              <w:ind w:left="345" w:right="229" w:hanging="125"/>
              <w:jc w:val="center"/>
            </w:pPr>
            <w:r>
              <w:rPr>
                <w:spacing w:val="-5"/>
              </w:rPr>
              <w:t>包</w:t>
            </w:r>
            <w:r>
              <w:rPr>
                <w:rFonts w:hint="eastAsia"/>
                <w:spacing w:val="-5"/>
                <w:lang w:val="en-US" w:eastAsia="zh-CN"/>
              </w:rPr>
              <w:t>组</w:t>
            </w:r>
            <w:r>
              <w:t>号</w:t>
            </w:r>
          </w:p>
        </w:tc>
        <w:tc>
          <w:tcPr>
            <w:tcW w:w="4316" w:type="dxa"/>
            <w:tcBorders>
              <w:top w:val="single" w:color="auto" w:sz="4" w:space="0"/>
              <w:left w:val="single" w:color="auto" w:sz="4" w:space="0"/>
              <w:bottom w:val="single" w:color="auto" w:sz="4" w:space="0"/>
              <w:right w:val="single" w:color="auto" w:sz="4" w:space="0"/>
            </w:tcBorders>
            <w:vAlign w:val="center"/>
          </w:tcPr>
          <w:p w14:paraId="10F25DCD">
            <w:pPr>
              <w:pStyle w:val="10"/>
              <w:spacing w:before="195" w:line="220" w:lineRule="auto"/>
              <w:jc w:val="center"/>
            </w:pPr>
            <w:r>
              <w:rPr>
                <w:spacing w:val="-3"/>
              </w:rPr>
              <w:t>标的名称</w:t>
            </w:r>
          </w:p>
        </w:tc>
        <w:tc>
          <w:tcPr>
            <w:tcW w:w="1329" w:type="dxa"/>
            <w:tcBorders>
              <w:top w:val="single" w:color="auto" w:sz="4" w:space="0"/>
              <w:left w:val="single" w:color="auto" w:sz="4" w:space="0"/>
              <w:bottom w:val="single" w:color="auto" w:sz="4" w:space="0"/>
              <w:right w:val="single" w:color="auto" w:sz="4" w:space="0"/>
            </w:tcBorders>
            <w:vAlign w:val="center"/>
          </w:tcPr>
          <w:p w14:paraId="36D13EB1">
            <w:pPr>
              <w:pStyle w:val="10"/>
              <w:spacing w:before="195" w:line="219" w:lineRule="auto"/>
              <w:jc w:val="center"/>
            </w:pPr>
            <w:r>
              <w:rPr>
                <w:rFonts w:hint="eastAsia"/>
                <w:spacing w:val="-3"/>
                <w:lang w:val="en-US" w:eastAsia="zh-CN"/>
              </w:rPr>
              <w:t>需求</w:t>
            </w:r>
            <w:r>
              <w:rPr>
                <w:spacing w:val="-3"/>
              </w:rPr>
              <w:t>量(份)</w:t>
            </w:r>
          </w:p>
        </w:tc>
        <w:tc>
          <w:tcPr>
            <w:tcW w:w="1737" w:type="dxa"/>
            <w:tcBorders>
              <w:top w:val="single" w:color="auto" w:sz="4" w:space="0"/>
              <w:left w:val="single" w:color="auto" w:sz="4" w:space="0"/>
              <w:bottom w:val="single" w:color="auto" w:sz="4" w:space="0"/>
              <w:right w:val="single" w:color="auto" w:sz="4" w:space="0"/>
            </w:tcBorders>
            <w:vAlign w:val="center"/>
          </w:tcPr>
          <w:p w14:paraId="07ADB08E">
            <w:pPr>
              <w:pStyle w:val="10"/>
              <w:spacing w:before="41" w:line="218" w:lineRule="auto"/>
              <w:jc w:val="center"/>
            </w:pPr>
            <w:r>
              <w:rPr>
                <w:rFonts w:hint="eastAsia"/>
                <w:spacing w:val="-4"/>
                <w:lang w:val="en-US" w:eastAsia="zh-CN"/>
              </w:rPr>
              <w:t>预算金额</w:t>
            </w:r>
            <w:r>
              <w:rPr>
                <w:spacing w:val="-10"/>
              </w:rPr>
              <w:t>（元）</w:t>
            </w:r>
          </w:p>
        </w:tc>
        <w:tc>
          <w:tcPr>
            <w:tcW w:w="1249" w:type="dxa"/>
            <w:tcBorders>
              <w:top w:val="single" w:color="auto" w:sz="4" w:space="0"/>
              <w:left w:val="single" w:color="auto" w:sz="4" w:space="0"/>
              <w:bottom w:val="single" w:color="auto" w:sz="4" w:space="0"/>
              <w:right w:val="single" w:color="auto" w:sz="4" w:space="0"/>
            </w:tcBorders>
            <w:vAlign w:val="center"/>
          </w:tcPr>
          <w:p w14:paraId="6E017904">
            <w:pPr>
              <w:pStyle w:val="10"/>
              <w:spacing w:before="42" w:line="219" w:lineRule="auto"/>
              <w:jc w:val="center"/>
            </w:pPr>
            <w:r>
              <w:rPr>
                <w:spacing w:val="-4"/>
              </w:rPr>
              <w:t>是否允许</w:t>
            </w:r>
            <w:r>
              <w:rPr>
                <w:spacing w:val="-2"/>
              </w:rPr>
              <w:t>进口产品</w:t>
            </w:r>
          </w:p>
        </w:tc>
      </w:tr>
      <w:tr w14:paraId="6E18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260" w:type="dxa"/>
            <w:tcBorders>
              <w:top w:val="single" w:color="auto" w:sz="4" w:space="0"/>
              <w:left w:val="single" w:color="auto" w:sz="4" w:space="0"/>
              <w:bottom w:val="single" w:color="auto" w:sz="4" w:space="0"/>
              <w:right w:val="single" w:color="auto" w:sz="4" w:space="0"/>
            </w:tcBorders>
            <w:vAlign w:val="center"/>
          </w:tcPr>
          <w:p w14:paraId="24E8AF17">
            <w:pPr>
              <w:pStyle w:val="10"/>
              <w:spacing w:before="271" w:line="241" w:lineRule="auto"/>
              <w:jc w:val="center"/>
            </w:pPr>
            <w:bookmarkStart w:id="1" w:name="_GoBack" w:colFirst="3" w:colLast="4"/>
            <w:r>
              <w:t>1</w:t>
            </w:r>
          </w:p>
        </w:tc>
        <w:tc>
          <w:tcPr>
            <w:tcW w:w="4316" w:type="dxa"/>
            <w:tcBorders>
              <w:top w:val="single" w:color="auto" w:sz="4" w:space="0"/>
              <w:left w:val="single" w:color="auto" w:sz="4" w:space="0"/>
              <w:bottom w:val="single" w:color="auto" w:sz="4" w:space="0"/>
              <w:right w:val="single" w:color="auto" w:sz="4" w:space="0"/>
            </w:tcBorders>
            <w:vAlign w:val="center"/>
          </w:tcPr>
          <w:p w14:paraId="67702673">
            <w:pPr>
              <w:pStyle w:val="10"/>
              <w:spacing w:before="179" w:line="219" w:lineRule="auto"/>
              <w:jc w:val="center"/>
              <w:rPr>
                <w:rFonts w:hint="default" w:eastAsia="宋体"/>
                <w:lang w:val="en-US" w:eastAsia="zh-CN"/>
              </w:rPr>
            </w:pPr>
            <w:r>
              <w:rPr>
                <w:rFonts w:hint="default" w:eastAsia="宋体"/>
                <w:lang w:val="en-US" w:eastAsia="zh-CN"/>
              </w:rPr>
              <w:t>人类免疫缺陷病毒(1型)核酸定量检测试剂盒(PCR-荧光法)</w:t>
            </w:r>
          </w:p>
        </w:tc>
        <w:tc>
          <w:tcPr>
            <w:tcW w:w="1329" w:type="dxa"/>
            <w:tcBorders>
              <w:top w:val="single" w:color="auto" w:sz="4" w:space="0"/>
              <w:left w:val="single" w:color="auto" w:sz="4" w:space="0"/>
              <w:bottom w:val="single" w:color="auto" w:sz="4" w:space="0"/>
              <w:right w:val="single" w:color="auto" w:sz="4" w:space="0"/>
            </w:tcBorders>
            <w:vAlign w:val="center"/>
          </w:tcPr>
          <w:p w14:paraId="6D71F955">
            <w:pPr>
              <w:pStyle w:val="10"/>
              <w:spacing w:before="271" w:line="239" w:lineRule="auto"/>
              <w:ind w:left="197"/>
              <w:jc w:val="center"/>
              <w:rPr>
                <w:rFonts w:hint="default" w:eastAsia="宋体"/>
                <w:lang w:val="en-US" w:eastAsia="zh-CN"/>
              </w:rPr>
            </w:pPr>
            <w:r>
              <w:rPr>
                <w:rFonts w:hint="eastAsia"/>
                <w:spacing w:val="-2"/>
                <w:lang w:val="en-US" w:eastAsia="zh-CN"/>
              </w:rPr>
              <w:t>≥20000</w:t>
            </w:r>
          </w:p>
        </w:tc>
        <w:tc>
          <w:tcPr>
            <w:tcW w:w="1737" w:type="dxa"/>
            <w:tcBorders>
              <w:top w:val="single" w:color="auto" w:sz="4" w:space="0"/>
              <w:left w:val="single" w:color="auto" w:sz="4" w:space="0"/>
              <w:bottom w:val="single" w:color="auto" w:sz="4" w:space="0"/>
              <w:right w:val="single" w:color="auto" w:sz="4" w:space="0"/>
            </w:tcBorders>
            <w:vAlign w:val="center"/>
          </w:tcPr>
          <w:p w14:paraId="0B7AC9E0">
            <w:pPr>
              <w:pStyle w:val="10"/>
              <w:spacing w:before="272" w:line="216" w:lineRule="auto"/>
              <w:ind w:left="174"/>
              <w:jc w:val="center"/>
              <w:rPr>
                <w:rFonts w:hint="default" w:eastAsia="宋体"/>
                <w:lang w:val="en-US" w:eastAsia="zh-CN"/>
              </w:rPr>
            </w:pPr>
            <w:r>
              <w:rPr>
                <w:rFonts w:hint="eastAsia"/>
                <w:spacing w:val="-9"/>
                <w:lang w:val="en-US" w:eastAsia="zh-CN"/>
              </w:rPr>
              <w:t>6,699,100.00</w:t>
            </w:r>
          </w:p>
        </w:tc>
        <w:tc>
          <w:tcPr>
            <w:tcW w:w="1249" w:type="dxa"/>
            <w:tcBorders>
              <w:top w:val="single" w:color="auto" w:sz="4" w:space="0"/>
              <w:left w:val="single" w:color="auto" w:sz="4" w:space="0"/>
              <w:bottom w:val="single" w:color="auto" w:sz="4" w:space="0"/>
              <w:right w:val="single" w:color="auto" w:sz="4" w:space="0"/>
            </w:tcBorders>
            <w:vAlign w:val="center"/>
          </w:tcPr>
          <w:p w14:paraId="06BFB0ED">
            <w:pPr>
              <w:pStyle w:val="10"/>
              <w:spacing w:before="271" w:line="223" w:lineRule="auto"/>
              <w:jc w:val="center"/>
            </w:pPr>
            <w:r>
              <w:t>是</w:t>
            </w:r>
          </w:p>
        </w:tc>
      </w:tr>
      <w:tr w14:paraId="3A02B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60" w:type="dxa"/>
            <w:tcBorders>
              <w:top w:val="single" w:color="auto" w:sz="4" w:space="0"/>
              <w:left w:val="single" w:color="auto" w:sz="4" w:space="0"/>
              <w:bottom w:val="single" w:color="auto" w:sz="4" w:space="0"/>
              <w:right w:val="single" w:color="auto" w:sz="4" w:space="0"/>
            </w:tcBorders>
            <w:vAlign w:val="center"/>
          </w:tcPr>
          <w:p w14:paraId="775D64BF">
            <w:pPr>
              <w:spacing w:line="269" w:lineRule="auto"/>
              <w:jc w:val="center"/>
              <w:rPr>
                <w:rFonts w:ascii="Arial"/>
                <w:sz w:val="21"/>
              </w:rPr>
            </w:pPr>
          </w:p>
          <w:p w14:paraId="51D89AEB">
            <w:pPr>
              <w:pStyle w:val="10"/>
              <w:spacing w:before="78" w:line="241" w:lineRule="auto"/>
              <w:jc w:val="center"/>
            </w:pPr>
            <w:r>
              <w:t>2</w:t>
            </w:r>
          </w:p>
        </w:tc>
        <w:tc>
          <w:tcPr>
            <w:tcW w:w="4316" w:type="dxa"/>
            <w:tcBorders>
              <w:top w:val="single" w:color="auto" w:sz="4" w:space="0"/>
              <w:left w:val="single" w:color="auto" w:sz="4" w:space="0"/>
              <w:bottom w:val="single" w:color="auto" w:sz="4" w:space="0"/>
              <w:right w:val="single" w:color="auto" w:sz="4" w:space="0"/>
            </w:tcBorders>
            <w:vAlign w:val="center"/>
          </w:tcPr>
          <w:p w14:paraId="3FF7F741">
            <w:pPr>
              <w:pStyle w:val="10"/>
              <w:spacing w:before="251" w:line="219" w:lineRule="auto"/>
              <w:jc w:val="center"/>
              <w:rPr>
                <w:rFonts w:hint="default" w:eastAsia="宋体"/>
                <w:lang w:val="en-US" w:eastAsia="zh-CN"/>
              </w:rPr>
            </w:pPr>
            <w:r>
              <w:rPr>
                <w:rFonts w:hint="default" w:eastAsia="宋体"/>
                <w:lang w:val="en-US" w:eastAsia="zh-CN"/>
              </w:rPr>
              <w:t xml:space="preserve">人类免疫缺陷病毒(1型)核酸定量检测试剂盒(PCR-荧光法) </w:t>
            </w:r>
          </w:p>
        </w:tc>
        <w:tc>
          <w:tcPr>
            <w:tcW w:w="1329" w:type="dxa"/>
            <w:tcBorders>
              <w:top w:val="single" w:color="auto" w:sz="4" w:space="0"/>
              <w:left w:val="single" w:color="auto" w:sz="4" w:space="0"/>
              <w:bottom w:val="single" w:color="auto" w:sz="4" w:space="0"/>
              <w:right w:val="single" w:color="auto" w:sz="4" w:space="0"/>
            </w:tcBorders>
            <w:vAlign w:val="center"/>
          </w:tcPr>
          <w:p w14:paraId="11B6BAD2">
            <w:pPr>
              <w:spacing w:line="269" w:lineRule="auto"/>
              <w:jc w:val="center"/>
              <w:rPr>
                <w:rFonts w:ascii="Arial"/>
                <w:sz w:val="21"/>
              </w:rPr>
            </w:pPr>
          </w:p>
          <w:p w14:paraId="068EC7E6">
            <w:pPr>
              <w:pStyle w:val="10"/>
              <w:spacing w:before="78" w:line="239" w:lineRule="auto"/>
              <w:ind w:left="199"/>
              <w:jc w:val="center"/>
              <w:rPr>
                <w:rFonts w:hint="default" w:eastAsia="宋体"/>
                <w:lang w:val="en-US" w:eastAsia="zh-CN"/>
              </w:rPr>
            </w:pPr>
            <w:r>
              <w:rPr>
                <w:rFonts w:hint="eastAsia"/>
                <w:spacing w:val="-2"/>
                <w:lang w:val="en-US" w:eastAsia="zh-CN"/>
              </w:rPr>
              <w:t>≥20000</w:t>
            </w:r>
          </w:p>
        </w:tc>
        <w:tc>
          <w:tcPr>
            <w:tcW w:w="1737" w:type="dxa"/>
            <w:tcBorders>
              <w:top w:val="single" w:color="auto" w:sz="4" w:space="0"/>
              <w:left w:val="single" w:color="auto" w:sz="4" w:space="0"/>
              <w:bottom w:val="single" w:color="auto" w:sz="4" w:space="0"/>
              <w:right w:val="single" w:color="auto" w:sz="4" w:space="0"/>
            </w:tcBorders>
            <w:vAlign w:val="center"/>
          </w:tcPr>
          <w:p w14:paraId="301C2988">
            <w:pPr>
              <w:spacing w:line="269" w:lineRule="auto"/>
              <w:jc w:val="center"/>
              <w:rPr>
                <w:rFonts w:ascii="Arial"/>
                <w:sz w:val="21"/>
              </w:rPr>
            </w:pPr>
          </w:p>
          <w:p w14:paraId="5D017599">
            <w:pPr>
              <w:pStyle w:val="10"/>
              <w:spacing w:before="78" w:line="216" w:lineRule="auto"/>
              <w:ind w:left="136"/>
              <w:jc w:val="center"/>
              <w:rPr>
                <w:rFonts w:hint="default" w:eastAsia="宋体"/>
                <w:lang w:val="en-US" w:eastAsia="zh-CN"/>
              </w:rPr>
            </w:pPr>
            <w:r>
              <w:rPr>
                <w:rFonts w:hint="eastAsia"/>
                <w:lang w:val="en-US" w:eastAsia="zh-CN"/>
              </w:rPr>
              <w:t>13,789,700.00</w:t>
            </w:r>
          </w:p>
        </w:tc>
        <w:tc>
          <w:tcPr>
            <w:tcW w:w="1249" w:type="dxa"/>
            <w:tcBorders>
              <w:top w:val="single" w:color="auto" w:sz="4" w:space="0"/>
              <w:left w:val="single" w:color="auto" w:sz="4" w:space="0"/>
              <w:bottom w:val="single" w:color="auto" w:sz="4" w:space="0"/>
              <w:right w:val="single" w:color="auto" w:sz="4" w:space="0"/>
            </w:tcBorders>
            <w:vAlign w:val="center"/>
          </w:tcPr>
          <w:p w14:paraId="7C83324E">
            <w:pPr>
              <w:pStyle w:val="10"/>
              <w:spacing w:before="78" w:line="223" w:lineRule="auto"/>
              <w:jc w:val="center"/>
              <w:rPr>
                <w:rFonts w:hint="eastAsia" w:eastAsia="宋体"/>
                <w:lang w:eastAsia="zh-CN"/>
              </w:rPr>
            </w:pPr>
            <w:r>
              <w:t>是</w:t>
            </w:r>
          </w:p>
        </w:tc>
      </w:tr>
      <w:tr w14:paraId="29298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60" w:type="dxa"/>
            <w:tcBorders>
              <w:top w:val="single" w:color="auto" w:sz="4" w:space="0"/>
              <w:left w:val="single" w:color="auto" w:sz="4" w:space="0"/>
              <w:bottom w:val="single" w:color="auto" w:sz="4" w:space="0"/>
              <w:right w:val="single" w:color="auto" w:sz="4" w:space="0"/>
            </w:tcBorders>
            <w:vAlign w:val="center"/>
          </w:tcPr>
          <w:p w14:paraId="4552E7C6">
            <w:pPr>
              <w:pStyle w:val="10"/>
              <w:spacing w:before="78" w:line="241" w:lineRule="auto"/>
              <w:jc w:val="center"/>
              <w:rPr>
                <w:rFonts w:hint="default" w:eastAsia="宋体"/>
                <w:lang w:val="en-US" w:eastAsia="zh-CN"/>
              </w:rPr>
            </w:pPr>
            <w:r>
              <w:rPr>
                <w:rFonts w:hint="eastAsia"/>
                <w:lang w:val="en-US" w:eastAsia="zh-CN"/>
              </w:rPr>
              <w:t>3</w:t>
            </w:r>
          </w:p>
        </w:tc>
        <w:tc>
          <w:tcPr>
            <w:tcW w:w="4316" w:type="dxa"/>
            <w:tcBorders>
              <w:top w:val="single" w:color="auto" w:sz="4" w:space="0"/>
              <w:left w:val="single" w:color="auto" w:sz="4" w:space="0"/>
              <w:bottom w:val="single" w:color="auto" w:sz="4" w:space="0"/>
              <w:right w:val="single" w:color="auto" w:sz="4" w:space="0"/>
            </w:tcBorders>
            <w:vAlign w:val="center"/>
          </w:tcPr>
          <w:p w14:paraId="0524E307">
            <w:pPr>
              <w:pStyle w:val="10"/>
              <w:spacing w:before="251" w:line="219" w:lineRule="auto"/>
              <w:jc w:val="center"/>
              <w:rPr>
                <w:rFonts w:hint="default"/>
                <w:spacing w:val="-1"/>
                <w:lang w:val="en-US" w:eastAsia="zh-CN"/>
              </w:rPr>
            </w:pPr>
            <w:r>
              <w:rPr>
                <w:rFonts w:hint="default"/>
                <w:spacing w:val="-1"/>
                <w:lang w:val="en-US" w:eastAsia="zh-CN"/>
              </w:rPr>
              <w:t>人类免疫缺陷病毒(1型)核酸定量检测试剂盒(PCR-荧光法)</w:t>
            </w:r>
          </w:p>
        </w:tc>
        <w:tc>
          <w:tcPr>
            <w:tcW w:w="1329" w:type="dxa"/>
            <w:tcBorders>
              <w:top w:val="single" w:color="auto" w:sz="4" w:space="0"/>
              <w:left w:val="single" w:color="auto" w:sz="4" w:space="0"/>
              <w:bottom w:val="single" w:color="auto" w:sz="4" w:space="0"/>
              <w:right w:val="single" w:color="auto" w:sz="4" w:space="0"/>
            </w:tcBorders>
            <w:vAlign w:val="center"/>
          </w:tcPr>
          <w:p w14:paraId="3BAB156D">
            <w:pPr>
              <w:pStyle w:val="10"/>
              <w:spacing w:before="78" w:line="239" w:lineRule="auto"/>
              <w:ind w:left="199"/>
              <w:jc w:val="center"/>
              <w:rPr>
                <w:rFonts w:hint="eastAsia"/>
                <w:spacing w:val="-2"/>
              </w:rPr>
            </w:pPr>
            <w:r>
              <w:rPr>
                <w:rFonts w:hint="eastAsia"/>
                <w:spacing w:val="-2"/>
                <w:lang w:val="en-US" w:eastAsia="zh-CN"/>
              </w:rPr>
              <w:t>≥20000</w:t>
            </w:r>
          </w:p>
        </w:tc>
        <w:tc>
          <w:tcPr>
            <w:tcW w:w="1737" w:type="dxa"/>
            <w:tcBorders>
              <w:top w:val="single" w:color="auto" w:sz="4" w:space="0"/>
              <w:left w:val="single" w:color="auto" w:sz="4" w:space="0"/>
              <w:bottom w:val="single" w:color="auto" w:sz="4" w:space="0"/>
              <w:right w:val="single" w:color="auto" w:sz="4" w:space="0"/>
            </w:tcBorders>
            <w:vAlign w:val="center"/>
          </w:tcPr>
          <w:p w14:paraId="7FCFE0B6">
            <w:pPr>
              <w:pStyle w:val="10"/>
              <w:spacing w:before="78" w:line="216" w:lineRule="auto"/>
              <w:ind w:left="136"/>
              <w:jc w:val="center"/>
              <w:rPr>
                <w:rFonts w:hint="default"/>
                <w:spacing w:val="-10"/>
                <w:lang w:val="en-US" w:eastAsia="zh-CN"/>
              </w:rPr>
            </w:pPr>
            <w:r>
              <w:rPr>
                <w:rFonts w:hint="eastAsia"/>
                <w:spacing w:val="-10"/>
                <w:lang w:val="en-US" w:eastAsia="zh-CN"/>
              </w:rPr>
              <w:t>4,687,900.00</w:t>
            </w:r>
          </w:p>
        </w:tc>
        <w:tc>
          <w:tcPr>
            <w:tcW w:w="1249" w:type="dxa"/>
            <w:tcBorders>
              <w:top w:val="single" w:color="auto" w:sz="4" w:space="0"/>
              <w:left w:val="single" w:color="auto" w:sz="4" w:space="0"/>
              <w:bottom w:val="single" w:color="auto" w:sz="4" w:space="0"/>
              <w:right w:val="single" w:color="auto" w:sz="4" w:space="0"/>
            </w:tcBorders>
            <w:vAlign w:val="center"/>
          </w:tcPr>
          <w:p w14:paraId="6B9D4E49">
            <w:pPr>
              <w:pStyle w:val="10"/>
              <w:spacing w:before="78" w:line="223" w:lineRule="auto"/>
              <w:jc w:val="center"/>
              <w:rPr>
                <w:rFonts w:hint="eastAsia"/>
                <w:lang w:val="en-US" w:eastAsia="zh-CN"/>
              </w:rPr>
            </w:pPr>
            <w:r>
              <w:rPr>
                <w:rFonts w:hint="eastAsia"/>
                <w:lang w:val="en-US" w:eastAsia="zh-CN"/>
              </w:rPr>
              <w:t>否</w:t>
            </w:r>
          </w:p>
        </w:tc>
      </w:tr>
      <w:bookmarkEnd w:id="1"/>
    </w:tbl>
    <w:p w14:paraId="7771F034">
      <w:pPr>
        <w:spacing w:line="394" w:lineRule="auto"/>
        <w:rPr>
          <w:rFonts w:ascii="Arial"/>
          <w:sz w:val="21"/>
        </w:rPr>
      </w:pPr>
      <w:bookmarkStart w:id="0" w:name="bookmark2"/>
      <w:bookmarkEnd w:id="0"/>
    </w:p>
    <w:p w14:paraId="23FDF5BE">
      <w:pPr>
        <w:spacing w:before="78" w:line="219" w:lineRule="auto"/>
        <w:ind w:left="120"/>
        <w:rPr>
          <w:rFonts w:ascii="Arial"/>
          <w:sz w:val="21"/>
        </w:rPr>
      </w:pPr>
      <w:r>
        <w:rPr>
          <w:rFonts w:hint="eastAsia" w:ascii="宋体" w:hAnsi="宋体" w:eastAsia="宋体" w:cs="宋体"/>
          <w:b/>
          <w:bCs/>
          <w:spacing w:val="15"/>
          <w:sz w:val="24"/>
          <w:szCs w:val="24"/>
          <w:lang w:val="en-US" w:eastAsia="zh-CN"/>
        </w:rPr>
        <w:t>二、技术参数</w:t>
      </w:r>
    </w:p>
    <w:p w14:paraId="5BDDCACB">
      <w:pPr>
        <w:spacing w:before="78" w:line="219" w:lineRule="auto"/>
        <w:ind w:left="120"/>
        <w:outlineLvl w:val="2"/>
        <w:rPr>
          <w:rFonts w:ascii="宋体" w:hAnsi="宋体" w:eastAsia="宋体" w:cs="宋体"/>
          <w:sz w:val="24"/>
          <w:szCs w:val="24"/>
        </w:rPr>
      </w:pPr>
      <w:r>
        <w:rPr>
          <w:rFonts w:ascii="宋体" w:hAnsi="宋体" w:eastAsia="宋体" w:cs="宋体"/>
          <w:b/>
          <w:bCs/>
          <w:spacing w:val="9"/>
          <w:sz w:val="24"/>
          <w:szCs w:val="24"/>
        </w:rPr>
        <w:t>包组</w:t>
      </w:r>
      <w:r>
        <w:rPr>
          <w:rFonts w:ascii="宋体" w:hAnsi="宋体" w:eastAsia="宋体" w:cs="宋体"/>
          <w:spacing w:val="-8"/>
          <w:sz w:val="24"/>
          <w:szCs w:val="24"/>
        </w:rPr>
        <w:t xml:space="preserve"> </w:t>
      </w:r>
      <w:r>
        <w:rPr>
          <w:rFonts w:ascii="宋体" w:hAnsi="宋体" w:eastAsia="宋体" w:cs="宋体"/>
          <w:b/>
          <w:bCs/>
          <w:spacing w:val="9"/>
          <w:sz w:val="24"/>
          <w:szCs w:val="24"/>
        </w:rPr>
        <w:t>1(</w:t>
      </w:r>
      <w:r>
        <w:rPr>
          <w:rFonts w:hint="eastAsia" w:ascii="宋体" w:hAnsi="宋体" w:eastAsia="宋体" w:cs="宋体"/>
          <w:b/>
          <w:bCs/>
          <w:spacing w:val="9"/>
          <w:sz w:val="24"/>
          <w:szCs w:val="24"/>
        </w:rPr>
        <w:t>人类免疫缺陷病毒(1型)核酸定量检测试剂盒(PCR-荧光法)</w:t>
      </w:r>
      <w:r>
        <w:rPr>
          <w:rFonts w:ascii="宋体" w:hAnsi="宋体" w:eastAsia="宋体" w:cs="宋体"/>
          <w:b/>
          <w:bCs/>
          <w:spacing w:val="9"/>
          <w:sz w:val="24"/>
          <w:szCs w:val="24"/>
        </w:rPr>
        <w:t>)：</w:t>
      </w:r>
    </w:p>
    <w:p w14:paraId="6B81A8EB">
      <w:pPr>
        <w:spacing w:line="68" w:lineRule="exact"/>
      </w:pPr>
    </w:p>
    <w:tbl>
      <w:tblPr>
        <w:tblStyle w:val="11"/>
        <w:tblW w:w="974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974"/>
        <w:gridCol w:w="878"/>
        <w:gridCol w:w="1097"/>
        <w:gridCol w:w="1755"/>
        <w:gridCol w:w="1755"/>
        <w:gridCol w:w="1636"/>
      </w:tblGrid>
      <w:tr w14:paraId="1FD7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45" w:type="dxa"/>
            <w:tcBorders>
              <w:top w:val="single" w:color="auto" w:sz="4" w:space="0"/>
              <w:left w:val="single" w:color="auto" w:sz="4" w:space="0"/>
              <w:bottom w:val="single" w:color="auto" w:sz="4" w:space="0"/>
              <w:right w:val="single" w:color="auto" w:sz="4" w:space="0"/>
            </w:tcBorders>
            <w:shd w:val="clear" w:color="auto" w:fill="F5F5F5"/>
            <w:textDirection w:val="tbRlV"/>
            <w:vAlign w:val="top"/>
          </w:tcPr>
          <w:p w14:paraId="5C80F65E">
            <w:pPr>
              <w:pStyle w:val="10"/>
              <w:spacing w:before="205" w:line="210" w:lineRule="auto"/>
              <w:ind w:left="246"/>
            </w:pPr>
            <w:r>
              <w:t>序 号</w:t>
            </w:r>
          </w:p>
        </w:tc>
        <w:tc>
          <w:tcPr>
            <w:tcW w:w="1974" w:type="dxa"/>
            <w:tcBorders>
              <w:top w:val="single" w:color="auto" w:sz="4" w:space="0"/>
              <w:left w:val="single" w:color="auto" w:sz="4" w:space="0"/>
              <w:bottom w:val="single" w:color="auto" w:sz="4" w:space="0"/>
              <w:right w:val="single" w:color="auto" w:sz="4" w:space="0"/>
            </w:tcBorders>
            <w:shd w:val="clear" w:color="auto" w:fill="F5F5F5"/>
            <w:vAlign w:val="top"/>
          </w:tcPr>
          <w:p w14:paraId="65A40740">
            <w:pPr>
              <w:spacing w:line="346" w:lineRule="auto"/>
              <w:rPr>
                <w:rFonts w:ascii="Arial"/>
                <w:sz w:val="21"/>
              </w:rPr>
            </w:pPr>
          </w:p>
          <w:p w14:paraId="6B1C9A8E">
            <w:pPr>
              <w:pStyle w:val="10"/>
              <w:spacing w:before="78" w:line="220" w:lineRule="auto"/>
              <w:ind w:left="481"/>
            </w:pPr>
            <w:r>
              <w:rPr>
                <w:spacing w:val="9"/>
              </w:rPr>
              <w:t>标的名称</w:t>
            </w:r>
          </w:p>
        </w:tc>
        <w:tc>
          <w:tcPr>
            <w:tcW w:w="878" w:type="dxa"/>
            <w:tcBorders>
              <w:top w:val="single" w:color="auto" w:sz="4" w:space="0"/>
              <w:left w:val="single" w:color="auto" w:sz="4" w:space="0"/>
              <w:bottom w:val="single" w:color="auto" w:sz="4" w:space="0"/>
              <w:right w:val="single" w:color="auto" w:sz="4" w:space="0"/>
            </w:tcBorders>
            <w:shd w:val="clear" w:color="auto" w:fill="F5F5F5"/>
            <w:vAlign w:val="top"/>
          </w:tcPr>
          <w:p w14:paraId="12B5F62D">
            <w:pPr>
              <w:spacing w:line="391" w:lineRule="auto"/>
              <w:rPr>
                <w:rFonts w:ascii="Arial"/>
                <w:sz w:val="21"/>
              </w:rPr>
            </w:pPr>
          </w:p>
          <w:p w14:paraId="67386F56">
            <w:pPr>
              <w:pStyle w:val="10"/>
              <w:spacing w:before="78" w:line="220" w:lineRule="auto"/>
              <w:ind w:left="202"/>
            </w:pPr>
            <w:r>
              <w:rPr>
                <w:spacing w:val="-4"/>
              </w:rPr>
              <w:t>单位</w:t>
            </w:r>
          </w:p>
        </w:tc>
        <w:tc>
          <w:tcPr>
            <w:tcW w:w="1097" w:type="dxa"/>
            <w:tcBorders>
              <w:top w:val="single" w:color="auto" w:sz="4" w:space="0"/>
              <w:left w:val="single" w:color="auto" w:sz="4" w:space="0"/>
              <w:bottom w:val="single" w:color="auto" w:sz="4" w:space="0"/>
              <w:right w:val="single" w:color="auto" w:sz="4" w:space="0"/>
            </w:tcBorders>
            <w:shd w:val="clear" w:color="auto" w:fill="F5F5F5"/>
            <w:vAlign w:val="top"/>
          </w:tcPr>
          <w:p w14:paraId="4DB407E3">
            <w:pPr>
              <w:spacing w:line="346" w:lineRule="auto"/>
              <w:rPr>
                <w:rFonts w:ascii="Arial"/>
                <w:sz w:val="21"/>
              </w:rPr>
            </w:pPr>
          </w:p>
          <w:p w14:paraId="033DF9E5">
            <w:pPr>
              <w:pStyle w:val="10"/>
              <w:spacing w:before="78" w:line="219" w:lineRule="auto"/>
              <w:ind w:left="364"/>
            </w:pPr>
            <w:r>
              <w:rPr>
                <w:spacing w:val="-4"/>
              </w:rPr>
              <w:t>数量</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33051621">
            <w:pPr>
              <w:pStyle w:val="10"/>
              <w:spacing w:before="150" w:line="218" w:lineRule="auto"/>
              <w:ind w:left="144"/>
            </w:pPr>
            <w:r>
              <w:rPr>
                <w:spacing w:val="4"/>
              </w:rPr>
              <w:t>分项预算单价</w:t>
            </w:r>
          </w:p>
          <w:p w14:paraId="6919A893">
            <w:pPr>
              <w:pStyle w:val="10"/>
              <w:spacing w:before="269" w:line="206" w:lineRule="auto"/>
              <w:ind w:left="524"/>
            </w:pPr>
            <w:r>
              <w:rPr>
                <w:spacing w:val="-5"/>
              </w:rPr>
              <w:t>（元）</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0729B8F5">
            <w:pPr>
              <w:pStyle w:val="10"/>
              <w:spacing w:before="150" w:line="218" w:lineRule="auto"/>
              <w:ind w:left="145"/>
            </w:pPr>
            <w:r>
              <w:rPr>
                <w:spacing w:val="4"/>
              </w:rPr>
              <w:t>分项预算总价</w:t>
            </w:r>
          </w:p>
          <w:p w14:paraId="287F1AAE">
            <w:pPr>
              <w:pStyle w:val="10"/>
              <w:spacing w:before="269" w:line="206" w:lineRule="auto"/>
              <w:ind w:left="526"/>
            </w:pPr>
            <w:r>
              <w:rPr>
                <w:spacing w:val="-5"/>
              </w:rPr>
              <w:t>（元）</w:t>
            </w:r>
          </w:p>
        </w:tc>
        <w:tc>
          <w:tcPr>
            <w:tcW w:w="1636" w:type="dxa"/>
            <w:tcBorders>
              <w:top w:val="single" w:color="auto" w:sz="4" w:space="0"/>
              <w:left w:val="single" w:color="auto" w:sz="4" w:space="0"/>
              <w:bottom w:val="single" w:color="auto" w:sz="4" w:space="0"/>
              <w:right w:val="single" w:color="auto" w:sz="4" w:space="0"/>
            </w:tcBorders>
            <w:shd w:val="clear" w:color="auto" w:fill="F5F5F5"/>
            <w:vAlign w:val="top"/>
          </w:tcPr>
          <w:p w14:paraId="742DA7EC">
            <w:pPr>
              <w:spacing w:line="389" w:lineRule="auto"/>
              <w:rPr>
                <w:rFonts w:ascii="Arial"/>
                <w:sz w:val="21"/>
              </w:rPr>
            </w:pPr>
          </w:p>
          <w:p w14:paraId="7E522EEE">
            <w:pPr>
              <w:pStyle w:val="10"/>
              <w:spacing w:before="78" w:line="219" w:lineRule="auto"/>
              <w:ind w:left="330"/>
            </w:pPr>
            <w:r>
              <w:rPr>
                <w:spacing w:val="3"/>
              </w:rPr>
              <w:t>技术要求</w:t>
            </w:r>
          </w:p>
        </w:tc>
      </w:tr>
      <w:tr w14:paraId="4453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5" w:type="dxa"/>
            <w:tcBorders>
              <w:top w:val="single" w:color="auto" w:sz="4" w:space="0"/>
              <w:left w:val="single" w:color="auto" w:sz="4" w:space="0"/>
              <w:bottom w:val="single" w:color="auto" w:sz="4" w:space="0"/>
              <w:right w:val="single" w:color="auto" w:sz="4" w:space="0"/>
            </w:tcBorders>
            <w:vAlign w:val="center"/>
          </w:tcPr>
          <w:p w14:paraId="543D4522">
            <w:pPr>
              <w:pStyle w:val="10"/>
              <w:spacing w:before="78" w:line="241" w:lineRule="auto"/>
              <w:jc w:val="center"/>
            </w:pPr>
            <w:r>
              <w:t>1</w:t>
            </w:r>
          </w:p>
        </w:tc>
        <w:tc>
          <w:tcPr>
            <w:tcW w:w="1974" w:type="dxa"/>
            <w:tcBorders>
              <w:top w:val="single" w:color="auto" w:sz="4" w:space="0"/>
              <w:left w:val="single" w:color="auto" w:sz="4" w:space="0"/>
              <w:bottom w:val="single" w:color="auto" w:sz="4" w:space="0"/>
              <w:right w:val="single" w:color="auto" w:sz="4" w:space="0"/>
            </w:tcBorders>
            <w:vAlign w:val="center"/>
          </w:tcPr>
          <w:p w14:paraId="3B2D1931">
            <w:pPr>
              <w:pStyle w:val="10"/>
              <w:spacing w:before="74" w:line="242" w:lineRule="auto"/>
              <w:ind w:right="86"/>
              <w:jc w:val="center"/>
            </w:pPr>
            <w:r>
              <w:rPr>
                <w:rFonts w:hint="default" w:eastAsia="宋体"/>
                <w:lang w:val="en-US" w:eastAsia="zh-CN"/>
              </w:rPr>
              <w:t>人类免疫缺陷病毒(1型)核酸定量检测试剂盒(PCR-荧光法)</w:t>
            </w:r>
          </w:p>
        </w:tc>
        <w:tc>
          <w:tcPr>
            <w:tcW w:w="878" w:type="dxa"/>
            <w:tcBorders>
              <w:top w:val="single" w:color="auto" w:sz="4" w:space="0"/>
              <w:left w:val="single" w:color="auto" w:sz="4" w:space="0"/>
              <w:bottom w:val="single" w:color="auto" w:sz="4" w:space="0"/>
              <w:right w:val="single" w:color="auto" w:sz="4" w:space="0"/>
            </w:tcBorders>
            <w:vAlign w:val="center"/>
          </w:tcPr>
          <w:p w14:paraId="3712DE2A">
            <w:pPr>
              <w:pStyle w:val="10"/>
              <w:spacing w:before="78" w:line="219" w:lineRule="auto"/>
              <w:jc w:val="center"/>
            </w:pPr>
            <w:r>
              <w:t>份</w:t>
            </w:r>
          </w:p>
        </w:tc>
        <w:tc>
          <w:tcPr>
            <w:tcW w:w="1097" w:type="dxa"/>
            <w:tcBorders>
              <w:top w:val="single" w:color="auto" w:sz="4" w:space="0"/>
              <w:left w:val="single" w:color="auto" w:sz="4" w:space="0"/>
              <w:bottom w:val="single" w:color="auto" w:sz="4" w:space="0"/>
              <w:right w:val="single" w:color="auto" w:sz="4" w:space="0"/>
            </w:tcBorders>
            <w:vAlign w:val="center"/>
          </w:tcPr>
          <w:p w14:paraId="3EDCE9E5">
            <w:pPr>
              <w:pStyle w:val="10"/>
              <w:spacing w:before="78" w:line="239" w:lineRule="auto"/>
              <w:ind w:right="7"/>
              <w:jc w:val="center"/>
            </w:pPr>
            <w:r>
              <w:rPr>
                <w:rFonts w:hint="eastAsia"/>
                <w:spacing w:val="-2"/>
                <w:lang w:val="en-US" w:eastAsia="zh-CN"/>
              </w:rPr>
              <w:t>≥20000</w:t>
            </w:r>
          </w:p>
        </w:tc>
        <w:tc>
          <w:tcPr>
            <w:tcW w:w="1755" w:type="dxa"/>
            <w:tcBorders>
              <w:top w:val="single" w:color="auto" w:sz="4" w:space="0"/>
              <w:left w:val="single" w:color="auto" w:sz="4" w:space="0"/>
              <w:bottom w:val="single" w:color="auto" w:sz="4" w:space="0"/>
              <w:right w:val="single" w:color="auto" w:sz="4" w:space="0"/>
            </w:tcBorders>
            <w:vAlign w:val="center"/>
          </w:tcPr>
          <w:p w14:paraId="749BB5C8">
            <w:pPr>
              <w:pStyle w:val="10"/>
              <w:spacing w:before="78" w:line="216" w:lineRule="auto"/>
              <w:jc w:val="center"/>
            </w:pPr>
            <w:r>
              <w:rPr>
                <w:rFonts w:hint="eastAsia"/>
                <w:spacing w:val="-9"/>
                <w:lang w:val="en-US" w:eastAsia="zh-CN"/>
              </w:rPr>
              <w:t>6,699,100.00</w:t>
            </w:r>
          </w:p>
        </w:tc>
        <w:tc>
          <w:tcPr>
            <w:tcW w:w="1755" w:type="dxa"/>
            <w:tcBorders>
              <w:top w:val="single" w:color="auto" w:sz="4" w:space="0"/>
              <w:left w:val="single" w:color="auto" w:sz="4" w:space="0"/>
              <w:bottom w:val="single" w:color="auto" w:sz="4" w:space="0"/>
              <w:right w:val="single" w:color="auto" w:sz="4" w:space="0"/>
            </w:tcBorders>
            <w:vAlign w:val="center"/>
          </w:tcPr>
          <w:p w14:paraId="0AC5F57F">
            <w:pPr>
              <w:pStyle w:val="10"/>
              <w:spacing w:before="78" w:line="216" w:lineRule="auto"/>
              <w:jc w:val="center"/>
            </w:pPr>
            <w:r>
              <w:rPr>
                <w:rFonts w:hint="eastAsia"/>
                <w:spacing w:val="-9"/>
                <w:lang w:val="en-US" w:eastAsia="zh-CN"/>
              </w:rPr>
              <w:t>6,699,100.00</w:t>
            </w:r>
          </w:p>
        </w:tc>
        <w:tc>
          <w:tcPr>
            <w:tcW w:w="1636" w:type="dxa"/>
            <w:tcBorders>
              <w:top w:val="single" w:color="auto" w:sz="4" w:space="0"/>
              <w:left w:val="single" w:color="auto" w:sz="4" w:space="0"/>
              <w:bottom w:val="single" w:color="auto" w:sz="4" w:space="0"/>
              <w:right w:val="single" w:color="auto" w:sz="4" w:space="0"/>
            </w:tcBorders>
            <w:vAlign w:val="center"/>
          </w:tcPr>
          <w:p w14:paraId="6D742D5A">
            <w:pPr>
              <w:pStyle w:val="10"/>
              <w:spacing w:before="78" w:line="219" w:lineRule="auto"/>
              <w:jc w:val="center"/>
              <w:rPr>
                <w:rFonts w:hint="eastAsia" w:eastAsia="宋体"/>
                <w:lang w:eastAsia="zh-CN"/>
              </w:rPr>
            </w:pPr>
            <w:r>
              <w:rPr>
                <w:spacing w:val="6"/>
              </w:rPr>
              <w:t>详见附</w:t>
            </w:r>
            <w:r>
              <w:rPr>
                <w:rFonts w:hint="eastAsia"/>
                <w:spacing w:val="6"/>
                <w:lang w:val="en-US" w:eastAsia="zh-CN"/>
              </w:rPr>
              <w:t>件1</w:t>
            </w:r>
          </w:p>
        </w:tc>
      </w:tr>
    </w:tbl>
    <w:p w14:paraId="6747B728">
      <w:pPr>
        <w:spacing w:line="270" w:lineRule="auto"/>
        <w:rPr>
          <w:rFonts w:ascii="Arial"/>
          <w:sz w:val="21"/>
        </w:rPr>
      </w:pPr>
    </w:p>
    <w:p w14:paraId="3E39905C">
      <w:pPr>
        <w:spacing w:before="78" w:line="211" w:lineRule="auto"/>
        <w:rPr>
          <w:rFonts w:ascii="宋体" w:hAnsi="宋体" w:eastAsia="宋体" w:cs="宋体"/>
          <w:spacing w:val="17"/>
          <w:sz w:val="24"/>
          <w:szCs w:val="24"/>
        </w:rPr>
      </w:pPr>
      <w:r>
        <w:drawing>
          <wp:anchor distT="0" distB="0" distL="0" distR="0" simplePos="0" relativeHeight="251659264" behindDoc="1" locked="0" layoutInCell="1" allowOverlap="1">
            <wp:simplePos x="0" y="0"/>
            <wp:positionH relativeFrom="column">
              <wp:posOffset>986790</wp:posOffset>
            </wp:positionH>
            <wp:positionV relativeFrom="paragraph">
              <wp:posOffset>5774055</wp:posOffset>
            </wp:positionV>
            <wp:extent cx="6350" cy="464185"/>
            <wp:effectExtent l="0" t="0" r="12700" b="12065"/>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
                    <a:stretch>
                      <a:fillRect/>
                    </a:stretch>
                  </pic:blipFill>
                  <pic:spPr>
                    <a:xfrm>
                      <a:off x="0" y="0"/>
                      <a:ext cx="6350" cy="464184"/>
                    </a:xfrm>
                    <a:prstGeom prst="rect">
                      <a:avLst/>
                    </a:prstGeom>
                  </pic:spPr>
                </pic:pic>
              </a:graphicData>
            </a:graphic>
          </wp:anchor>
        </w:drawing>
      </w:r>
      <w:r>
        <w:rPr>
          <w:rFonts w:ascii="宋体" w:hAnsi="宋体" w:eastAsia="宋体" w:cs="宋体"/>
          <w:spacing w:val="17"/>
          <w:sz w:val="24"/>
          <w:szCs w:val="24"/>
        </w:rPr>
        <w:t>附</w:t>
      </w:r>
      <w:r>
        <w:rPr>
          <w:rFonts w:hint="eastAsia" w:ascii="宋体" w:hAnsi="宋体" w:eastAsia="宋体" w:cs="宋体"/>
          <w:spacing w:val="17"/>
          <w:sz w:val="24"/>
          <w:szCs w:val="24"/>
          <w:lang w:val="en-US" w:eastAsia="zh-CN"/>
        </w:rPr>
        <w:t>件1</w:t>
      </w:r>
      <w:r>
        <w:rPr>
          <w:rFonts w:ascii="宋体" w:hAnsi="宋体" w:eastAsia="宋体" w:cs="宋体"/>
          <w:spacing w:val="-66"/>
          <w:sz w:val="24"/>
          <w:szCs w:val="24"/>
        </w:rPr>
        <w:t xml:space="preserve"> </w:t>
      </w:r>
      <w:r>
        <w:rPr>
          <w:rFonts w:ascii="宋体" w:hAnsi="宋体" w:eastAsia="宋体" w:cs="宋体"/>
          <w:spacing w:val="17"/>
          <w:sz w:val="24"/>
          <w:szCs w:val="24"/>
        </w:rPr>
        <w:t>：</w:t>
      </w:r>
    </w:p>
    <w:p w14:paraId="73991534">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 产品性能结构及组成：人类免疫缺陷病毒1型核酸定量检测试剂盒(PCR-荧光法)包含HIV-1 核酸提取试剂、HIV-1 核酸扩增试剂、内标溶液、阴性质控品和阳性质控品。</w:t>
      </w:r>
    </w:p>
    <w:p w14:paraId="070F49F0">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▲2.产品适用范围：可用于定量检测人血浆中的HIV-1 RNA。(提供说明书佐证)</w:t>
      </w:r>
    </w:p>
    <w:p w14:paraId="09372B9D">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3. 靶位选择：必须针对HIV-1基因组的高度保守区域设计提取和PCR扩增引物。支持单靶标，优先选择双靶标。</w:t>
      </w:r>
    </w:p>
    <w:p w14:paraId="1EA6C065">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▲4.线性范围：至少覆盖50copies/mL～1.00E+07copies/mL。</w:t>
      </w:r>
    </w:p>
    <w:p w14:paraId="287B4CF6">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5. 上样体积：≤700ul。</w:t>
      </w:r>
    </w:p>
    <w:p w14:paraId="29BC6ACC">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▲6.检测灵敏度、检测亚型及标本类别：检测灵敏度≤20copies/mL。HIV检测 亚型覆盖：M 组、0组和N组；样本类型：EDTA血浆。</w:t>
      </w:r>
    </w:p>
    <w:p w14:paraId="244621C5">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▲7.包装规格及储存条件：包装≥96测试/盒；储存条件：即开即用型液体试剂，无需手工配制，所有组分2～8℃保存。有效期≥18个月。(提供试剂盒说明书)</w:t>
      </w:r>
    </w:p>
    <w:p w14:paraId="07C51F68">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8.工作流程：全自动提取及PCR体系全自动配制分装，可实现过夜自动运行。</w:t>
      </w:r>
    </w:p>
    <w:p w14:paraId="1948DDC4">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9.试剂构成：扩增、质控、校准、全自动核酸提取试剂及配套耗材。</w:t>
      </w:r>
    </w:p>
    <w:p w14:paraId="4BAA430A">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▲10.定量原理：内标法定量，全程监控核酸提取和PCR扩增检测。(提供说明书佐证)</w:t>
      </w:r>
    </w:p>
    <w:p w14:paraId="72072ACF">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★11.认证要求：通过中国食品药品监督管理局认证。</w:t>
      </w:r>
    </w:p>
    <w:p w14:paraId="0F274CCB">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12.售后服务条款</w:t>
      </w:r>
    </w:p>
    <w:p w14:paraId="23BFF7BD">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12.1保证符合原厂试剂供货保存要求，供给到买方指定地点</w:t>
      </w:r>
    </w:p>
    <w:p w14:paraId="717D0B04">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12.2卖方将根据买方要求适时安排公司的相关专家前来指导仪器的操作和解决故障，介绍最新应用资讯</w:t>
      </w:r>
    </w:p>
    <w:p w14:paraId="5D0A300B">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12.3提供技术人员设备使用、培训及售后服务，并提供服务专业技术人员名单</w:t>
      </w:r>
    </w:p>
    <w:p w14:paraId="182EE048">
      <w:pPr>
        <w:pStyle w:val="3"/>
        <w:spacing w:before="190" w:line="312"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12.4提供所有相关注册文件</w:t>
      </w:r>
    </w:p>
    <w:p w14:paraId="5F685975">
      <w:pPr>
        <w:pStyle w:val="3"/>
        <w:spacing w:before="190" w:line="312" w:lineRule="auto"/>
        <w:jc w:val="left"/>
        <w:rPr>
          <w:sz w:val="24"/>
          <w:szCs w:val="24"/>
        </w:rPr>
      </w:pPr>
      <w:r>
        <w:rPr>
          <w:rFonts w:hint="eastAsia" w:ascii="宋体" w:hAnsi="宋体" w:eastAsia="宋体" w:cs="宋体"/>
          <w:spacing w:val="3"/>
          <w:sz w:val="24"/>
          <w:szCs w:val="24"/>
        </w:rPr>
        <w:t>12.5提供完整的使用手册记录：售后院方验收</w:t>
      </w:r>
    </w:p>
    <w:p w14:paraId="1E6EDE15">
      <w:pPr>
        <w:pStyle w:val="10"/>
        <w:spacing w:before="85" w:line="219" w:lineRule="auto"/>
        <w:jc w:val="left"/>
        <w:rPr>
          <w:rFonts w:hint="eastAsia" w:asciiTheme="minorEastAsia" w:hAnsiTheme="minorEastAsia" w:eastAsiaTheme="minorEastAsia" w:cstheme="minorEastAsia"/>
          <w:snapToGrid w:val="0"/>
          <w:color w:val="000000"/>
          <w:spacing w:val="15"/>
          <w:kern w:val="0"/>
          <w:sz w:val="24"/>
          <w:szCs w:val="24"/>
          <w:lang w:val="en-US" w:eastAsia="en-US" w:bidi="ar-SA"/>
        </w:rPr>
      </w:pPr>
      <w:r>
        <w:rPr>
          <w:rFonts w:hint="eastAsia" w:asciiTheme="minorEastAsia" w:hAnsiTheme="minorEastAsia" w:eastAsiaTheme="minorEastAsia" w:cstheme="minorEastAsia"/>
          <w:snapToGrid w:val="0"/>
          <w:color w:val="000000"/>
          <w:spacing w:val="15"/>
          <w:kern w:val="0"/>
          <w:sz w:val="24"/>
          <w:szCs w:val="24"/>
          <w:lang w:val="en-US" w:eastAsia="zh-CN" w:bidi="ar-SA"/>
        </w:rPr>
        <w:t>说明：</w:t>
      </w: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打“★”号条款为实质性条款，若有任何一条负偏离或不满足则导致应选无效。</w:t>
      </w:r>
    </w:p>
    <w:p w14:paraId="3DE6085E">
      <w:pPr>
        <w:spacing w:before="78" w:line="211" w:lineRule="auto"/>
        <w:jc w:val="left"/>
        <w:rPr>
          <w:rFonts w:hint="eastAsia" w:asciiTheme="minorEastAsia" w:hAnsiTheme="minorEastAsia" w:eastAsiaTheme="minorEastAsia" w:cstheme="minorEastAsia"/>
          <w:snapToGrid w:val="0"/>
          <w:color w:val="000000"/>
          <w:spacing w:val="15"/>
          <w:kern w:val="0"/>
          <w:sz w:val="24"/>
          <w:szCs w:val="24"/>
          <w:lang w:val="en-US" w:eastAsia="en-US" w:bidi="ar-SA"/>
        </w:rPr>
      </w:pP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打“▲”号条款为重要技术参数，若有部分“▲”条款未响应或不满足，将导致其响应性评审加重扣分，但不作为无效应选条款。</w:t>
      </w:r>
    </w:p>
    <w:p w14:paraId="51DD157D">
      <w:pPr>
        <w:spacing w:before="78" w:line="219" w:lineRule="auto"/>
        <w:ind w:left="120"/>
        <w:outlineLvl w:val="2"/>
        <w:rPr>
          <w:rFonts w:ascii="宋体" w:hAnsi="宋体" w:eastAsia="宋体" w:cs="宋体"/>
          <w:b/>
          <w:bCs/>
          <w:spacing w:val="9"/>
          <w:sz w:val="24"/>
          <w:szCs w:val="24"/>
        </w:rPr>
      </w:pPr>
    </w:p>
    <w:p w14:paraId="100E2534">
      <w:pPr>
        <w:spacing w:before="78" w:line="219" w:lineRule="auto"/>
        <w:ind w:left="120"/>
        <w:outlineLvl w:val="2"/>
        <w:rPr>
          <w:rFonts w:ascii="宋体" w:hAnsi="宋体" w:eastAsia="宋体" w:cs="宋体"/>
          <w:sz w:val="24"/>
          <w:szCs w:val="24"/>
        </w:rPr>
      </w:pPr>
      <w:r>
        <w:rPr>
          <w:rFonts w:ascii="宋体" w:hAnsi="宋体" w:eastAsia="宋体" w:cs="宋体"/>
          <w:b/>
          <w:bCs/>
          <w:spacing w:val="9"/>
          <w:sz w:val="24"/>
          <w:szCs w:val="24"/>
        </w:rPr>
        <w:t>包组</w:t>
      </w:r>
      <w:r>
        <w:rPr>
          <w:rFonts w:hint="eastAsia" w:ascii="宋体" w:hAnsi="宋体" w:eastAsia="宋体" w:cs="宋体"/>
          <w:b/>
          <w:bCs/>
          <w:spacing w:val="9"/>
          <w:sz w:val="24"/>
          <w:szCs w:val="24"/>
          <w:lang w:val="en-US" w:eastAsia="zh-CN"/>
        </w:rPr>
        <w:t xml:space="preserve"> </w:t>
      </w:r>
      <w:r>
        <w:rPr>
          <w:rFonts w:hint="eastAsia" w:ascii="宋体" w:hAnsi="宋体" w:eastAsia="宋体" w:cs="宋体"/>
          <w:b/>
          <w:bCs/>
          <w:spacing w:val="-8"/>
          <w:sz w:val="24"/>
          <w:szCs w:val="24"/>
          <w:lang w:val="en-US" w:eastAsia="zh-CN"/>
        </w:rPr>
        <w:t>2</w:t>
      </w:r>
      <w:r>
        <w:rPr>
          <w:rFonts w:ascii="宋体" w:hAnsi="宋体" w:eastAsia="宋体" w:cs="宋体"/>
          <w:b/>
          <w:bCs/>
          <w:spacing w:val="9"/>
          <w:sz w:val="24"/>
          <w:szCs w:val="24"/>
        </w:rPr>
        <w:t>(</w:t>
      </w:r>
      <w:r>
        <w:rPr>
          <w:rFonts w:hint="eastAsia" w:ascii="宋体" w:hAnsi="宋体" w:eastAsia="宋体" w:cs="宋体"/>
          <w:b/>
          <w:bCs/>
          <w:spacing w:val="9"/>
          <w:sz w:val="24"/>
          <w:szCs w:val="24"/>
        </w:rPr>
        <w:t>人类免疫缺陷病毒(1型)核酸定量检测试剂盒(PCR-荧光法)</w:t>
      </w:r>
      <w:r>
        <w:rPr>
          <w:rFonts w:ascii="宋体" w:hAnsi="宋体" w:eastAsia="宋体" w:cs="宋体"/>
          <w:b/>
          <w:bCs/>
          <w:spacing w:val="9"/>
          <w:sz w:val="24"/>
          <w:szCs w:val="24"/>
        </w:rPr>
        <w:t>)：</w:t>
      </w:r>
    </w:p>
    <w:p w14:paraId="0C176585">
      <w:pPr>
        <w:spacing w:line="68" w:lineRule="exact"/>
      </w:pPr>
    </w:p>
    <w:tbl>
      <w:tblPr>
        <w:tblStyle w:val="11"/>
        <w:tblW w:w="974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974"/>
        <w:gridCol w:w="878"/>
        <w:gridCol w:w="1097"/>
        <w:gridCol w:w="1755"/>
        <w:gridCol w:w="1755"/>
        <w:gridCol w:w="1636"/>
      </w:tblGrid>
      <w:tr w14:paraId="4438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45" w:type="dxa"/>
            <w:tcBorders>
              <w:top w:val="single" w:color="auto" w:sz="4" w:space="0"/>
              <w:left w:val="single" w:color="auto" w:sz="4" w:space="0"/>
              <w:bottom w:val="single" w:color="auto" w:sz="4" w:space="0"/>
              <w:right w:val="single" w:color="auto" w:sz="4" w:space="0"/>
            </w:tcBorders>
            <w:shd w:val="clear" w:color="auto" w:fill="F5F5F5"/>
            <w:textDirection w:val="tbRlV"/>
            <w:vAlign w:val="top"/>
          </w:tcPr>
          <w:p w14:paraId="04A333FD">
            <w:pPr>
              <w:pStyle w:val="10"/>
              <w:spacing w:before="205" w:line="210" w:lineRule="auto"/>
              <w:ind w:left="246"/>
            </w:pPr>
            <w:r>
              <w:t>序 号</w:t>
            </w:r>
          </w:p>
        </w:tc>
        <w:tc>
          <w:tcPr>
            <w:tcW w:w="1974" w:type="dxa"/>
            <w:tcBorders>
              <w:top w:val="single" w:color="auto" w:sz="4" w:space="0"/>
              <w:left w:val="single" w:color="auto" w:sz="4" w:space="0"/>
              <w:bottom w:val="single" w:color="auto" w:sz="4" w:space="0"/>
              <w:right w:val="single" w:color="auto" w:sz="4" w:space="0"/>
            </w:tcBorders>
            <w:shd w:val="clear" w:color="auto" w:fill="F5F5F5"/>
            <w:vAlign w:val="top"/>
          </w:tcPr>
          <w:p w14:paraId="0E23EC3D">
            <w:pPr>
              <w:spacing w:line="346" w:lineRule="auto"/>
              <w:rPr>
                <w:rFonts w:ascii="Arial"/>
                <w:sz w:val="21"/>
              </w:rPr>
            </w:pPr>
          </w:p>
          <w:p w14:paraId="070C3D86">
            <w:pPr>
              <w:pStyle w:val="10"/>
              <w:spacing w:before="78" w:line="220" w:lineRule="auto"/>
              <w:ind w:left="481"/>
            </w:pPr>
            <w:r>
              <w:rPr>
                <w:spacing w:val="9"/>
              </w:rPr>
              <w:t>标的名称</w:t>
            </w:r>
          </w:p>
        </w:tc>
        <w:tc>
          <w:tcPr>
            <w:tcW w:w="878" w:type="dxa"/>
            <w:tcBorders>
              <w:top w:val="single" w:color="auto" w:sz="4" w:space="0"/>
              <w:left w:val="single" w:color="auto" w:sz="4" w:space="0"/>
              <w:bottom w:val="single" w:color="auto" w:sz="4" w:space="0"/>
              <w:right w:val="single" w:color="auto" w:sz="4" w:space="0"/>
            </w:tcBorders>
            <w:shd w:val="clear" w:color="auto" w:fill="F5F5F5"/>
            <w:vAlign w:val="top"/>
          </w:tcPr>
          <w:p w14:paraId="012BBCDC">
            <w:pPr>
              <w:spacing w:line="391" w:lineRule="auto"/>
              <w:rPr>
                <w:rFonts w:ascii="Arial"/>
                <w:sz w:val="21"/>
              </w:rPr>
            </w:pPr>
          </w:p>
          <w:p w14:paraId="63998984">
            <w:pPr>
              <w:pStyle w:val="10"/>
              <w:spacing w:before="78" w:line="220" w:lineRule="auto"/>
              <w:ind w:left="202"/>
            </w:pPr>
            <w:r>
              <w:rPr>
                <w:spacing w:val="-4"/>
              </w:rPr>
              <w:t>单位</w:t>
            </w:r>
          </w:p>
        </w:tc>
        <w:tc>
          <w:tcPr>
            <w:tcW w:w="1097" w:type="dxa"/>
            <w:tcBorders>
              <w:top w:val="single" w:color="auto" w:sz="4" w:space="0"/>
              <w:left w:val="single" w:color="auto" w:sz="4" w:space="0"/>
              <w:bottom w:val="single" w:color="auto" w:sz="4" w:space="0"/>
              <w:right w:val="single" w:color="auto" w:sz="4" w:space="0"/>
            </w:tcBorders>
            <w:shd w:val="clear" w:color="auto" w:fill="F5F5F5"/>
            <w:vAlign w:val="top"/>
          </w:tcPr>
          <w:p w14:paraId="69070FB6">
            <w:pPr>
              <w:spacing w:line="346" w:lineRule="auto"/>
              <w:rPr>
                <w:rFonts w:ascii="Arial"/>
                <w:sz w:val="21"/>
              </w:rPr>
            </w:pPr>
          </w:p>
          <w:p w14:paraId="53154F76">
            <w:pPr>
              <w:pStyle w:val="10"/>
              <w:spacing w:before="78" w:line="219" w:lineRule="auto"/>
              <w:ind w:left="364"/>
            </w:pPr>
            <w:r>
              <w:rPr>
                <w:spacing w:val="-4"/>
              </w:rPr>
              <w:t>数量</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2D7385F8">
            <w:pPr>
              <w:pStyle w:val="10"/>
              <w:spacing w:before="150" w:line="218" w:lineRule="auto"/>
              <w:ind w:left="144"/>
            </w:pPr>
            <w:r>
              <w:rPr>
                <w:spacing w:val="4"/>
              </w:rPr>
              <w:t>分项预算单价</w:t>
            </w:r>
          </w:p>
          <w:p w14:paraId="3B511C68">
            <w:pPr>
              <w:pStyle w:val="10"/>
              <w:spacing w:before="269" w:line="206" w:lineRule="auto"/>
              <w:ind w:left="524"/>
            </w:pPr>
            <w:r>
              <w:rPr>
                <w:spacing w:val="-5"/>
              </w:rPr>
              <w:t>（元）</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5C663D01">
            <w:pPr>
              <w:pStyle w:val="10"/>
              <w:spacing w:before="150" w:line="218" w:lineRule="auto"/>
              <w:ind w:left="145"/>
            </w:pPr>
            <w:r>
              <w:rPr>
                <w:spacing w:val="4"/>
              </w:rPr>
              <w:t>分项预算总价</w:t>
            </w:r>
          </w:p>
          <w:p w14:paraId="7108D2A7">
            <w:pPr>
              <w:pStyle w:val="10"/>
              <w:spacing w:before="269" w:line="206" w:lineRule="auto"/>
              <w:ind w:left="526"/>
            </w:pPr>
            <w:r>
              <w:rPr>
                <w:spacing w:val="-5"/>
              </w:rPr>
              <w:t>（元）</w:t>
            </w:r>
          </w:p>
        </w:tc>
        <w:tc>
          <w:tcPr>
            <w:tcW w:w="1636" w:type="dxa"/>
            <w:tcBorders>
              <w:top w:val="single" w:color="auto" w:sz="4" w:space="0"/>
              <w:left w:val="single" w:color="auto" w:sz="4" w:space="0"/>
              <w:bottom w:val="single" w:color="auto" w:sz="4" w:space="0"/>
              <w:right w:val="single" w:color="auto" w:sz="4" w:space="0"/>
            </w:tcBorders>
            <w:shd w:val="clear" w:color="auto" w:fill="F5F5F5"/>
            <w:vAlign w:val="top"/>
          </w:tcPr>
          <w:p w14:paraId="1F56FCAF">
            <w:pPr>
              <w:spacing w:line="389" w:lineRule="auto"/>
              <w:rPr>
                <w:rFonts w:ascii="Arial"/>
                <w:sz w:val="21"/>
              </w:rPr>
            </w:pPr>
          </w:p>
          <w:p w14:paraId="45A85532">
            <w:pPr>
              <w:pStyle w:val="10"/>
              <w:spacing w:before="78" w:line="219" w:lineRule="auto"/>
              <w:ind w:left="330"/>
            </w:pPr>
            <w:r>
              <w:rPr>
                <w:spacing w:val="3"/>
              </w:rPr>
              <w:t>技术要求</w:t>
            </w:r>
          </w:p>
        </w:tc>
      </w:tr>
      <w:tr w14:paraId="60C39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5" w:type="dxa"/>
            <w:tcBorders>
              <w:top w:val="single" w:color="auto" w:sz="4" w:space="0"/>
              <w:left w:val="single" w:color="auto" w:sz="4" w:space="0"/>
              <w:bottom w:val="single" w:color="auto" w:sz="4" w:space="0"/>
              <w:right w:val="single" w:color="auto" w:sz="4" w:space="0"/>
            </w:tcBorders>
            <w:vAlign w:val="center"/>
          </w:tcPr>
          <w:p w14:paraId="76B3683E">
            <w:pPr>
              <w:pStyle w:val="10"/>
              <w:spacing w:before="78" w:line="241" w:lineRule="auto"/>
              <w:jc w:val="center"/>
            </w:pPr>
            <w:r>
              <w:t>1</w:t>
            </w:r>
          </w:p>
        </w:tc>
        <w:tc>
          <w:tcPr>
            <w:tcW w:w="1974" w:type="dxa"/>
            <w:tcBorders>
              <w:top w:val="single" w:color="auto" w:sz="4" w:space="0"/>
              <w:left w:val="single" w:color="auto" w:sz="4" w:space="0"/>
              <w:bottom w:val="single" w:color="auto" w:sz="4" w:space="0"/>
              <w:right w:val="single" w:color="auto" w:sz="4" w:space="0"/>
            </w:tcBorders>
            <w:vAlign w:val="center"/>
          </w:tcPr>
          <w:p w14:paraId="0A3CD6C7">
            <w:pPr>
              <w:pStyle w:val="10"/>
              <w:spacing w:before="74" w:line="242" w:lineRule="auto"/>
              <w:ind w:right="86"/>
              <w:jc w:val="center"/>
            </w:pPr>
            <w:r>
              <w:rPr>
                <w:rFonts w:hint="default" w:eastAsia="宋体"/>
                <w:lang w:val="en-US" w:eastAsia="zh-CN"/>
              </w:rPr>
              <w:t>人类免疫缺陷病毒(1型)核酸定量检测试剂盒(PCR-荧光法)</w:t>
            </w:r>
          </w:p>
        </w:tc>
        <w:tc>
          <w:tcPr>
            <w:tcW w:w="878" w:type="dxa"/>
            <w:tcBorders>
              <w:top w:val="single" w:color="auto" w:sz="4" w:space="0"/>
              <w:left w:val="single" w:color="auto" w:sz="4" w:space="0"/>
              <w:bottom w:val="single" w:color="auto" w:sz="4" w:space="0"/>
              <w:right w:val="single" w:color="auto" w:sz="4" w:space="0"/>
            </w:tcBorders>
            <w:vAlign w:val="center"/>
          </w:tcPr>
          <w:p w14:paraId="6BEB58DA">
            <w:pPr>
              <w:pStyle w:val="10"/>
              <w:spacing w:before="78" w:line="219" w:lineRule="auto"/>
              <w:jc w:val="center"/>
            </w:pPr>
            <w:r>
              <w:t>份</w:t>
            </w:r>
          </w:p>
        </w:tc>
        <w:tc>
          <w:tcPr>
            <w:tcW w:w="1097" w:type="dxa"/>
            <w:tcBorders>
              <w:top w:val="single" w:color="auto" w:sz="4" w:space="0"/>
              <w:left w:val="single" w:color="auto" w:sz="4" w:space="0"/>
              <w:bottom w:val="single" w:color="auto" w:sz="4" w:space="0"/>
              <w:right w:val="single" w:color="auto" w:sz="4" w:space="0"/>
            </w:tcBorders>
            <w:vAlign w:val="center"/>
          </w:tcPr>
          <w:p w14:paraId="0BF43F48">
            <w:pPr>
              <w:pStyle w:val="10"/>
              <w:spacing w:before="78" w:line="239" w:lineRule="auto"/>
              <w:ind w:right="7"/>
              <w:jc w:val="center"/>
            </w:pPr>
            <w:r>
              <w:rPr>
                <w:rFonts w:hint="eastAsia"/>
                <w:spacing w:val="-2"/>
                <w:lang w:val="en-US" w:eastAsia="zh-CN"/>
              </w:rPr>
              <w:t>≥20000</w:t>
            </w:r>
          </w:p>
        </w:tc>
        <w:tc>
          <w:tcPr>
            <w:tcW w:w="1755" w:type="dxa"/>
            <w:tcBorders>
              <w:top w:val="single" w:color="auto" w:sz="4" w:space="0"/>
              <w:left w:val="single" w:color="auto" w:sz="4" w:space="0"/>
              <w:bottom w:val="single" w:color="auto" w:sz="4" w:space="0"/>
              <w:right w:val="single" w:color="auto" w:sz="4" w:space="0"/>
            </w:tcBorders>
            <w:vAlign w:val="center"/>
          </w:tcPr>
          <w:p w14:paraId="615188DE">
            <w:pPr>
              <w:pStyle w:val="10"/>
              <w:spacing w:before="78" w:line="216" w:lineRule="auto"/>
              <w:jc w:val="center"/>
            </w:pPr>
            <w:r>
              <w:rPr>
                <w:rFonts w:hint="eastAsia"/>
                <w:lang w:val="en-US" w:eastAsia="zh-CN"/>
              </w:rPr>
              <w:t>13,789,700.00</w:t>
            </w:r>
          </w:p>
        </w:tc>
        <w:tc>
          <w:tcPr>
            <w:tcW w:w="1755" w:type="dxa"/>
            <w:tcBorders>
              <w:top w:val="single" w:color="auto" w:sz="4" w:space="0"/>
              <w:left w:val="single" w:color="auto" w:sz="4" w:space="0"/>
              <w:bottom w:val="single" w:color="auto" w:sz="4" w:space="0"/>
              <w:right w:val="single" w:color="auto" w:sz="4" w:space="0"/>
            </w:tcBorders>
            <w:vAlign w:val="center"/>
          </w:tcPr>
          <w:p w14:paraId="532F1F30">
            <w:pPr>
              <w:pStyle w:val="10"/>
              <w:spacing w:before="78" w:line="216" w:lineRule="auto"/>
              <w:jc w:val="center"/>
            </w:pPr>
            <w:r>
              <w:rPr>
                <w:rFonts w:hint="eastAsia"/>
                <w:lang w:val="en-US" w:eastAsia="zh-CN"/>
              </w:rPr>
              <w:t>13,789,700.00</w:t>
            </w:r>
          </w:p>
        </w:tc>
        <w:tc>
          <w:tcPr>
            <w:tcW w:w="1636" w:type="dxa"/>
            <w:tcBorders>
              <w:top w:val="single" w:color="auto" w:sz="4" w:space="0"/>
              <w:left w:val="single" w:color="auto" w:sz="4" w:space="0"/>
              <w:bottom w:val="single" w:color="auto" w:sz="4" w:space="0"/>
              <w:right w:val="single" w:color="auto" w:sz="4" w:space="0"/>
            </w:tcBorders>
            <w:vAlign w:val="center"/>
          </w:tcPr>
          <w:p w14:paraId="72342E1B">
            <w:pPr>
              <w:pStyle w:val="10"/>
              <w:spacing w:before="78" w:line="219" w:lineRule="auto"/>
              <w:jc w:val="center"/>
              <w:rPr>
                <w:rFonts w:hint="eastAsia" w:eastAsia="宋体"/>
                <w:lang w:eastAsia="zh-CN"/>
              </w:rPr>
            </w:pPr>
            <w:r>
              <w:rPr>
                <w:spacing w:val="6"/>
              </w:rPr>
              <w:t>详见附</w:t>
            </w:r>
            <w:r>
              <w:rPr>
                <w:rFonts w:hint="eastAsia"/>
                <w:spacing w:val="6"/>
                <w:lang w:val="en-US" w:eastAsia="zh-CN"/>
              </w:rPr>
              <w:t>件2</w:t>
            </w:r>
          </w:p>
        </w:tc>
      </w:tr>
    </w:tbl>
    <w:p w14:paraId="4F30E210">
      <w:pPr>
        <w:pStyle w:val="3"/>
        <w:spacing w:before="207" w:line="275" w:lineRule="auto"/>
        <w:ind w:right="158"/>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附件2：</w:t>
      </w:r>
    </w:p>
    <w:p w14:paraId="14AF2598">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1.产品性能结构及组成：人类免疫缺陷病毒1型核酸定量检测试剂盒(PCR-荧光 法)包含HIV-1核酸提取试剂、HIV-1核酸扩增试剂、内标溶液、校准品、阴性质控品和阳性质控品。</w:t>
      </w:r>
    </w:p>
    <w:p w14:paraId="5AB9EFA8">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▲2.产品适用范围：可用于定量检测人血浆中的HIV-1 RNA。(提供说明书佐证)</w:t>
      </w:r>
    </w:p>
    <w:p w14:paraId="00761523">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3.靶位选择：必须针对HIV-1基因组的高度保守区域设计提取和PCR扩增引物。支持单靶标，优先选择双靶标。</w:t>
      </w:r>
    </w:p>
    <w:p w14:paraId="0D651A6B">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▲4.线性范围：至少覆盖40copies/mL～1.00E+07copies/mL。</w:t>
      </w:r>
    </w:p>
    <w:p w14:paraId="25F2ED59">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.上样体积：0.6ml-1.0ml。</w:t>
      </w:r>
    </w:p>
    <w:p w14:paraId="54EADD16">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▲6.检测灵敏度、检测亚型及标本类别：检测下限40copies/mL;HIV检测亚型 覆盖：M组亚型A-H,N 组和0组；样本类型：ACD&amp;EDTA 血浆。</w:t>
      </w:r>
    </w:p>
    <w:p w14:paraId="48085EAE">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▲7.包装规格及储存条件：包装≥48测试/盒；储存条件：-10℃以下保存，有效期大于≥12个月。(提供试剂盒说明书)</w:t>
      </w:r>
    </w:p>
    <w:p w14:paraId="091E706A">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8.工作流程：全自动提取及PCR体系全自动配制分装，可实现过夜自动运行。</w:t>
      </w:r>
    </w:p>
    <w:p w14:paraId="358C45E6">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9.试剂构成：扩增、质控、校准、全自动核酸提取试剂及配套耗材。</w:t>
      </w:r>
    </w:p>
    <w:p w14:paraId="38C25914">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▲10.定量原理：外标定量；需要用一条校准曲线对样本和质控品中的HIV-1 RNA浓度进行定量。(提供说明书佐证)</w:t>
      </w:r>
    </w:p>
    <w:p w14:paraId="000FED55">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★11.认证要求：通过中国食品药品监督管理局认证。</w:t>
      </w:r>
    </w:p>
    <w:p w14:paraId="45CEC428">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12.售后服务条款</w:t>
      </w:r>
    </w:p>
    <w:p w14:paraId="61012FB2">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12.1保证符合原厂试剂供货保存要求，供给到买方指定地点</w:t>
      </w:r>
    </w:p>
    <w:p w14:paraId="087EC6B8">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12.2 卖方将根据买方要求适时安排公司的相关专家前来指导仪器的操作和解决故障，介绍最新应用资讯</w:t>
      </w:r>
    </w:p>
    <w:p w14:paraId="5F39FC71">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12.3提供技术人员设备使用、培训及售后服务，并提供服务专业技术人员名单</w:t>
      </w:r>
    </w:p>
    <w:p w14:paraId="4382AA6C">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12.4提供所有相关注册文件</w:t>
      </w:r>
    </w:p>
    <w:p w14:paraId="242D2354">
      <w:pPr>
        <w:pStyle w:val="3"/>
        <w:spacing w:before="207" w:line="275" w:lineRule="auto"/>
        <w:ind w:right="15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rPr>
        <w:t>5提供完整的使用手册记录：售后院方验收</w:t>
      </w:r>
    </w:p>
    <w:p w14:paraId="43CB37BC">
      <w:pPr>
        <w:pStyle w:val="10"/>
        <w:spacing w:before="85" w:line="219" w:lineRule="auto"/>
        <w:rPr>
          <w:rFonts w:hint="eastAsia" w:asciiTheme="minorEastAsia" w:hAnsiTheme="minorEastAsia" w:eastAsiaTheme="minorEastAsia" w:cstheme="minorEastAsia"/>
          <w:snapToGrid w:val="0"/>
          <w:color w:val="000000"/>
          <w:spacing w:val="15"/>
          <w:kern w:val="0"/>
          <w:sz w:val="24"/>
          <w:szCs w:val="24"/>
          <w:lang w:val="en-US" w:eastAsia="zh-CN" w:bidi="ar-SA"/>
        </w:rPr>
      </w:pPr>
    </w:p>
    <w:p w14:paraId="5E80A72C">
      <w:pPr>
        <w:pStyle w:val="10"/>
        <w:spacing w:before="85" w:line="219" w:lineRule="auto"/>
        <w:rPr>
          <w:rFonts w:hint="eastAsia" w:asciiTheme="minorEastAsia" w:hAnsiTheme="minorEastAsia" w:eastAsiaTheme="minorEastAsia" w:cstheme="minorEastAsia"/>
          <w:snapToGrid w:val="0"/>
          <w:color w:val="000000"/>
          <w:spacing w:val="15"/>
          <w:kern w:val="0"/>
          <w:sz w:val="24"/>
          <w:szCs w:val="24"/>
          <w:lang w:val="en-US" w:eastAsia="en-US" w:bidi="ar-SA"/>
        </w:rPr>
      </w:pPr>
      <w:r>
        <w:rPr>
          <w:rFonts w:hint="eastAsia" w:asciiTheme="minorEastAsia" w:hAnsiTheme="minorEastAsia" w:eastAsiaTheme="minorEastAsia" w:cstheme="minorEastAsia"/>
          <w:snapToGrid w:val="0"/>
          <w:color w:val="000000"/>
          <w:spacing w:val="15"/>
          <w:kern w:val="0"/>
          <w:sz w:val="24"/>
          <w:szCs w:val="24"/>
          <w:lang w:val="en-US" w:eastAsia="zh-CN" w:bidi="ar-SA"/>
        </w:rPr>
        <w:t>说明：</w:t>
      </w: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打“★”号条款为实质性条款，若有任何一条负偏离或不满足则导致应选无效。</w:t>
      </w:r>
    </w:p>
    <w:p w14:paraId="491156C2">
      <w:pPr>
        <w:spacing w:before="78" w:line="211" w:lineRule="auto"/>
        <w:rPr>
          <w:rFonts w:hint="eastAsia" w:asciiTheme="minorEastAsia" w:hAnsiTheme="minorEastAsia" w:eastAsiaTheme="minorEastAsia" w:cstheme="minorEastAsia"/>
          <w:snapToGrid w:val="0"/>
          <w:color w:val="000000"/>
          <w:spacing w:val="15"/>
          <w:kern w:val="0"/>
          <w:sz w:val="24"/>
          <w:szCs w:val="24"/>
          <w:lang w:val="en-US" w:eastAsia="en-US" w:bidi="ar-SA"/>
        </w:rPr>
      </w:pP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打“▲”号条款为重要技术参数，若有部分“▲”条款未响应或不满足，将导致其响应性评审加重扣分，但不作为无效应选条款。</w:t>
      </w:r>
    </w:p>
    <w:p w14:paraId="453A53EE">
      <w:pPr>
        <w:spacing w:before="78" w:line="211" w:lineRule="auto"/>
        <w:rPr>
          <w:rFonts w:hint="eastAsia" w:asciiTheme="minorEastAsia" w:hAnsiTheme="minorEastAsia" w:eastAsiaTheme="minorEastAsia" w:cstheme="minorEastAsia"/>
          <w:snapToGrid w:val="0"/>
          <w:color w:val="000000"/>
          <w:spacing w:val="15"/>
          <w:kern w:val="0"/>
          <w:sz w:val="24"/>
          <w:szCs w:val="24"/>
          <w:lang w:val="en-US" w:eastAsia="en-US" w:bidi="ar-SA"/>
        </w:rPr>
      </w:pPr>
    </w:p>
    <w:p w14:paraId="68A47A20">
      <w:pPr>
        <w:spacing w:before="78" w:line="219" w:lineRule="auto"/>
        <w:ind w:left="120"/>
        <w:outlineLvl w:val="2"/>
        <w:rPr>
          <w:rFonts w:ascii="宋体" w:hAnsi="宋体" w:eastAsia="宋体" w:cs="宋体"/>
          <w:sz w:val="24"/>
          <w:szCs w:val="24"/>
        </w:rPr>
      </w:pPr>
      <w:r>
        <w:rPr>
          <w:rFonts w:ascii="宋体" w:hAnsi="宋体" w:eastAsia="宋体" w:cs="宋体"/>
          <w:b/>
          <w:bCs/>
          <w:spacing w:val="9"/>
          <w:sz w:val="24"/>
          <w:szCs w:val="24"/>
        </w:rPr>
        <w:t>包组</w:t>
      </w:r>
      <w:r>
        <w:rPr>
          <w:rFonts w:hint="eastAsia" w:ascii="宋体" w:hAnsi="宋体" w:eastAsia="宋体" w:cs="宋体"/>
          <w:b/>
          <w:bCs/>
          <w:spacing w:val="9"/>
          <w:sz w:val="24"/>
          <w:szCs w:val="24"/>
          <w:lang w:val="en-US" w:eastAsia="zh-CN"/>
        </w:rPr>
        <w:t>3</w:t>
      </w:r>
      <w:r>
        <w:rPr>
          <w:rFonts w:ascii="宋体" w:hAnsi="宋体" w:eastAsia="宋体" w:cs="宋体"/>
          <w:b/>
          <w:bCs/>
          <w:spacing w:val="9"/>
          <w:sz w:val="24"/>
          <w:szCs w:val="24"/>
        </w:rPr>
        <w:t>(</w:t>
      </w:r>
      <w:r>
        <w:rPr>
          <w:rFonts w:hint="eastAsia" w:ascii="宋体" w:hAnsi="宋体" w:eastAsia="宋体" w:cs="宋体"/>
          <w:b/>
          <w:bCs/>
          <w:spacing w:val="9"/>
          <w:sz w:val="24"/>
          <w:szCs w:val="24"/>
        </w:rPr>
        <w:t>人类免疫缺陷病毒(1型)核酸定量检测试剂盒(PCR-荧光法)</w:t>
      </w:r>
      <w:r>
        <w:rPr>
          <w:rFonts w:ascii="宋体" w:hAnsi="宋体" w:eastAsia="宋体" w:cs="宋体"/>
          <w:b/>
          <w:bCs/>
          <w:spacing w:val="9"/>
          <w:sz w:val="24"/>
          <w:szCs w:val="24"/>
        </w:rPr>
        <w:t>)：</w:t>
      </w:r>
    </w:p>
    <w:p w14:paraId="2A25B7DB">
      <w:pPr>
        <w:spacing w:line="68" w:lineRule="exact"/>
      </w:pPr>
    </w:p>
    <w:tbl>
      <w:tblPr>
        <w:tblStyle w:val="11"/>
        <w:tblW w:w="974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974"/>
        <w:gridCol w:w="878"/>
        <w:gridCol w:w="1097"/>
        <w:gridCol w:w="1755"/>
        <w:gridCol w:w="1755"/>
        <w:gridCol w:w="1636"/>
      </w:tblGrid>
      <w:tr w14:paraId="6C39B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45" w:type="dxa"/>
            <w:tcBorders>
              <w:top w:val="single" w:color="auto" w:sz="4" w:space="0"/>
              <w:left w:val="single" w:color="auto" w:sz="4" w:space="0"/>
              <w:bottom w:val="single" w:color="auto" w:sz="4" w:space="0"/>
              <w:right w:val="single" w:color="auto" w:sz="4" w:space="0"/>
            </w:tcBorders>
            <w:shd w:val="clear" w:color="auto" w:fill="F5F5F5"/>
            <w:textDirection w:val="tbRlV"/>
            <w:vAlign w:val="top"/>
          </w:tcPr>
          <w:p w14:paraId="146B3C5A">
            <w:pPr>
              <w:pStyle w:val="10"/>
              <w:spacing w:before="205" w:line="210" w:lineRule="auto"/>
              <w:ind w:left="246"/>
            </w:pPr>
            <w:r>
              <w:t>序 号</w:t>
            </w:r>
          </w:p>
        </w:tc>
        <w:tc>
          <w:tcPr>
            <w:tcW w:w="1974" w:type="dxa"/>
            <w:tcBorders>
              <w:top w:val="single" w:color="auto" w:sz="4" w:space="0"/>
              <w:left w:val="single" w:color="auto" w:sz="4" w:space="0"/>
              <w:bottom w:val="single" w:color="auto" w:sz="4" w:space="0"/>
              <w:right w:val="single" w:color="auto" w:sz="4" w:space="0"/>
            </w:tcBorders>
            <w:shd w:val="clear" w:color="auto" w:fill="F5F5F5"/>
            <w:vAlign w:val="top"/>
          </w:tcPr>
          <w:p w14:paraId="25C94A04">
            <w:pPr>
              <w:spacing w:line="346" w:lineRule="auto"/>
              <w:rPr>
                <w:rFonts w:ascii="Arial"/>
                <w:sz w:val="21"/>
              </w:rPr>
            </w:pPr>
          </w:p>
          <w:p w14:paraId="6A3A97E6">
            <w:pPr>
              <w:pStyle w:val="10"/>
              <w:spacing w:before="78" w:line="220" w:lineRule="auto"/>
              <w:ind w:left="481"/>
            </w:pPr>
            <w:r>
              <w:rPr>
                <w:spacing w:val="9"/>
              </w:rPr>
              <w:t>标的名称</w:t>
            </w:r>
          </w:p>
        </w:tc>
        <w:tc>
          <w:tcPr>
            <w:tcW w:w="878" w:type="dxa"/>
            <w:tcBorders>
              <w:top w:val="single" w:color="auto" w:sz="4" w:space="0"/>
              <w:left w:val="single" w:color="auto" w:sz="4" w:space="0"/>
              <w:bottom w:val="single" w:color="auto" w:sz="4" w:space="0"/>
              <w:right w:val="single" w:color="auto" w:sz="4" w:space="0"/>
            </w:tcBorders>
            <w:shd w:val="clear" w:color="auto" w:fill="F5F5F5"/>
            <w:vAlign w:val="top"/>
          </w:tcPr>
          <w:p w14:paraId="530C1203">
            <w:pPr>
              <w:spacing w:line="391" w:lineRule="auto"/>
              <w:rPr>
                <w:rFonts w:ascii="Arial"/>
                <w:sz w:val="21"/>
              </w:rPr>
            </w:pPr>
          </w:p>
          <w:p w14:paraId="5EC97A91">
            <w:pPr>
              <w:pStyle w:val="10"/>
              <w:spacing w:before="78" w:line="220" w:lineRule="auto"/>
              <w:ind w:left="202"/>
            </w:pPr>
            <w:r>
              <w:rPr>
                <w:spacing w:val="-4"/>
              </w:rPr>
              <w:t>单位</w:t>
            </w:r>
          </w:p>
        </w:tc>
        <w:tc>
          <w:tcPr>
            <w:tcW w:w="1097" w:type="dxa"/>
            <w:tcBorders>
              <w:top w:val="single" w:color="auto" w:sz="4" w:space="0"/>
              <w:left w:val="single" w:color="auto" w:sz="4" w:space="0"/>
              <w:bottom w:val="single" w:color="auto" w:sz="4" w:space="0"/>
              <w:right w:val="single" w:color="auto" w:sz="4" w:space="0"/>
            </w:tcBorders>
            <w:shd w:val="clear" w:color="auto" w:fill="F5F5F5"/>
            <w:vAlign w:val="top"/>
          </w:tcPr>
          <w:p w14:paraId="56EAC69E">
            <w:pPr>
              <w:spacing w:line="346" w:lineRule="auto"/>
              <w:rPr>
                <w:rFonts w:ascii="Arial"/>
                <w:sz w:val="21"/>
              </w:rPr>
            </w:pPr>
          </w:p>
          <w:p w14:paraId="2EF2D234">
            <w:pPr>
              <w:pStyle w:val="10"/>
              <w:spacing w:before="78" w:line="219" w:lineRule="auto"/>
              <w:ind w:left="364"/>
            </w:pPr>
            <w:r>
              <w:rPr>
                <w:spacing w:val="-4"/>
              </w:rPr>
              <w:t>数量</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18B808EB">
            <w:pPr>
              <w:pStyle w:val="10"/>
              <w:spacing w:before="150" w:line="218" w:lineRule="auto"/>
              <w:ind w:left="144"/>
            </w:pPr>
            <w:r>
              <w:rPr>
                <w:spacing w:val="4"/>
              </w:rPr>
              <w:t>分项预算单价</w:t>
            </w:r>
          </w:p>
          <w:p w14:paraId="4D77FF0B">
            <w:pPr>
              <w:pStyle w:val="10"/>
              <w:spacing w:before="269" w:line="206" w:lineRule="auto"/>
              <w:ind w:left="524"/>
            </w:pPr>
            <w:r>
              <w:rPr>
                <w:spacing w:val="-5"/>
              </w:rPr>
              <w:t>（元）</w:t>
            </w:r>
          </w:p>
        </w:tc>
        <w:tc>
          <w:tcPr>
            <w:tcW w:w="1755" w:type="dxa"/>
            <w:tcBorders>
              <w:top w:val="single" w:color="auto" w:sz="4" w:space="0"/>
              <w:left w:val="single" w:color="auto" w:sz="4" w:space="0"/>
              <w:bottom w:val="single" w:color="auto" w:sz="4" w:space="0"/>
              <w:right w:val="single" w:color="auto" w:sz="4" w:space="0"/>
            </w:tcBorders>
            <w:shd w:val="clear" w:color="auto" w:fill="F5F5F5"/>
            <w:vAlign w:val="top"/>
          </w:tcPr>
          <w:p w14:paraId="344662F4">
            <w:pPr>
              <w:pStyle w:val="10"/>
              <w:spacing w:before="150" w:line="218" w:lineRule="auto"/>
              <w:ind w:left="145"/>
            </w:pPr>
            <w:r>
              <w:rPr>
                <w:spacing w:val="4"/>
              </w:rPr>
              <w:t>分项预算总价</w:t>
            </w:r>
          </w:p>
          <w:p w14:paraId="301E3238">
            <w:pPr>
              <w:pStyle w:val="10"/>
              <w:spacing w:before="269" w:line="206" w:lineRule="auto"/>
              <w:ind w:left="526"/>
            </w:pPr>
            <w:r>
              <w:rPr>
                <w:spacing w:val="-5"/>
              </w:rPr>
              <w:t>（元）</w:t>
            </w:r>
          </w:p>
        </w:tc>
        <w:tc>
          <w:tcPr>
            <w:tcW w:w="1636" w:type="dxa"/>
            <w:tcBorders>
              <w:top w:val="single" w:color="auto" w:sz="4" w:space="0"/>
              <w:left w:val="single" w:color="auto" w:sz="4" w:space="0"/>
              <w:bottom w:val="single" w:color="auto" w:sz="4" w:space="0"/>
              <w:right w:val="single" w:color="auto" w:sz="4" w:space="0"/>
            </w:tcBorders>
            <w:shd w:val="clear" w:color="auto" w:fill="F5F5F5"/>
            <w:vAlign w:val="top"/>
          </w:tcPr>
          <w:p w14:paraId="3AF4D53B">
            <w:pPr>
              <w:spacing w:line="389" w:lineRule="auto"/>
              <w:rPr>
                <w:rFonts w:ascii="Arial"/>
                <w:sz w:val="21"/>
              </w:rPr>
            </w:pPr>
          </w:p>
          <w:p w14:paraId="417EEBD5">
            <w:pPr>
              <w:pStyle w:val="10"/>
              <w:spacing w:before="78" w:line="219" w:lineRule="auto"/>
              <w:ind w:left="330"/>
            </w:pPr>
            <w:r>
              <w:rPr>
                <w:spacing w:val="3"/>
              </w:rPr>
              <w:t>技术要求</w:t>
            </w:r>
          </w:p>
        </w:tc>
      </w:tr>
      <w:tr w14:paraId="1F22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5" w:type="dxa"/>
            <w:tcBorders>
              <w:top w:val="single" w:color="auto" w:sz="4" w:space="0"/>
              <w:left w:val="single" w:color="auto" w:sz="4" w:space="0"/>
              <w:bottom w:val="single" w:color="auto" w:sz="4" w:space="0"/>
              <w:right w:val="single" w:color="auto" w:sz="4" w:space="0"/>
            </w:tcBorders>
            <w:vAlign w:val="center"/>
          </w:tcPr>
          <w:p w14:paraId="6F887953">
            <w:pPr>
              <w:pStyle w:val="10"/>
              <w:spacing w:before="78" w:line="241" w:lineRule="auto"/>
              <w:jc w:val="center"/>
            </w:pPr>
            <w:r>
              <w:t>1</w:t>
            </w:r>
          </w:p>
        </w:tc>
        <w:tc>
          <w:tcPr>
            <w:tcW w:w="1974" w:type="dxa"/>
            <w:tcBorders>
              <w:top w:val="single" w:color="auto" w:sz="4" w:space="0"/>
              <w:left w:val="single" w:color="auto" w:sz="4" w:space="0"/>
              <w:bottom w:val="single" w:color="auto" w:sz="4" w:space="0"/>
              <w:right w:val="single" w:color="auto" w:sz="4" w:space="0"/>
            </w:tcBorders>
            <w:vAlign w:val="center"/>
          </w:tcPr>
          <w:p w14:paraId="41C26F3C">
            <w:pPr>
              <w:pStyle w:val="10"/>
              <w:spacing w:before="74" w:line="242" w:lineRule="auto"/>
              <w:ind w:right="86"/>
              <w:jc w:val="center"/>
            </w:pPr>
            <w:r>
              <w:rPr>
                <w:rFonts w:hint="default" w:eastAsia="宋体"/>
                <w:lang w:val="en-US" w:eastAsia="zh-CN"/>
              </w:rPr>
              <w:t>人类免疫缺陷病毒(1型)核酸定量检测试剂盒(PCR-荧光法)</w:t>
            </w:r>
          </w:p>
        </w:tc>
        <w:tc>
          <w:tcPr>
            <w:tcW w:w="878" w:type="dxa"/>
            <w:tcBorders>
              <w:top w:val="single" w:color="auto" w:sz="4" w:space="0"/>
              <w:left w:val="single" w:color="auto" w:sz="4" w:space="0"/>
              <w:bottom w:val="single" w:color="auto" w:sz="4" w:space="0"/>
              <w:right w:val="single" w:color="auto" w:sz="4" w:space="0"/>
            </w:tcBorders>
            <w:vAlign w:val="center"/>
          </w:tcPr>
          <w:p w14:paraId="7D16C07C">
            <w:pPr>
              <w:pStyle w:val="10"/>
              <w:spacing w:before="78" w:line="219" w:lineRule="auto"/>
              <w:jc w:val="center"/>
            </w:pPr>
            <w:r>
              <w:t>份</w:t>
            </w:r>
          </w:p>
        </w:tc>
        <w:tc>
          <w:tcPr>
            <w:tcW w:w="1097" w:type="dxa"/>
            <w:tcBorders>
              <w:top w:val="single" w:color="auto" w:sz="4" w:space="0"/>
              <w:left w:val="single" w:color="auto" w:sz="4" w:space="0"/>
              <w:bottom w:val="single" w:color="auto" w:sz="4" w:space="0"/>
              <w:right w:val="single" w:color="auto" w:sz="4" w:space="0"/>
            </w:tcBorders>
            <w:vAlign w:val="center"/>
          </w:tcPr>
          <w:p w14:paraId="392BBA25">
            <w:pPr>
              <w:pStyle w:val="10"/>
              <w:spacing w:before="78" w:line="239" w:lineRule="auto"/>
              <w:ind w:right="7"/>
              <w:jc w:val="center"/>
            </w:pPr>
            <w:r>
              <w:rPr>
                <w:rFonts w:hint="eastAsia"/>
                <w:spacing w:val="-2"/>
                <w:lang w:val="en-US" w:eastAsia="zh-CN"/>
              </w:rPr>
              <w:t>≥20000</w:t>
            </w:r>
          </w:p>
        </w:tc>
        <w:tc>
          <w:tcPr>
            <w:tcW w:w="1755" w:type="dxa"/>
            <w:tcBorders>
              <w:top w:val="single" w:color="auto" w:sz="4" w:space="0"/>
              <w:left w:val="single" w:color="auto" w:sz="4" w:space="0"/>
              <w:bottom w:val="single" w:color="auto" w:sz="4" w:space="0"/>
              <w:right w:val="single" w:color="auto" w:sz="4" w:space="0"/>
            </w:tcBorders>
            <w:vAlign w:val="center"/>
          </w:tcPr>
          <w:p w14:paraId="71D8FA2F">
            <w:pPr>
              <w:pStyle w:val="10"/>
              <w:spacing w:before="78" w:line="216" w:lineRule="auto"/>
              <w:jc w:val="center"/>
            </w:pPr>
            <w:r>
              <w:rPr>
                <w:rFonts w:hint="eastAsia"/>
                <w:spacing w:val="-10"/>
                <w:lang w:val="en-US" w:eastAsia="zh-CN"/>
              </w:rPr>
              <w:t>4,687,900.00</w:t>
            </w:r>
          </w:p>
        </w:tc>
        <w:tc>
          <w:tcPr>
            <w:tcW w:w="1755" w:type="dxa"/>
            <w:tcBorders>
              <w:top w:val="single" w:color="auto" w:sz="4" w:space="0"/>
              <w:left w:val="single" w:color="auto" w:sz="4" w:space="0"/>
              <w:bottom w:val="single" w:color="auto" w:sz="4" w:space="0"/>
              <w:right w:val="single" w:color="auto" w:sz="4" w:space="0"/>
            </w:tcBorders>
            <w:vAlign w:val="center"/>
          </w:tcPr>
          <w:p w14:paraId="617D82C5">
            <w:pPr>
              <w:pStyle w:val="10"/>
              <w:spacing w:before="78" w:line="216" w:lineRule="auto"/>
              <w:jc w:val="center"/>
            </w:pPr>
            <w:r>
              <w:rPr>
                <w:rFonts w:hint="eastAsia"/>
                <w:spacing w:val="-10"/>
                <w:lang w:val="en-US" w:eastAsia="zh-CN"/>
              </w:rPr>
              <w:t>4,687,900.00</w:t>
            </w:r>
          </w:p>
        </w:tc>
        <w:tc>
          <w:tcPr>
            <w:tcW w:w="1636" w:type="dxa"/>
            <w:tcBorders>
              <w:top w:val="single" w:color="auto" w:sz="4" w:space="0"/>
              <w:left w:val="single" w:color="auto" w:sz="4" w:space="0"/>
              <w:bottom w:val="single" w:color="auto" w:sz="4" w:space="0"/>
              <w:right w:val="single" w:color="auto" w:sz="4" w:space="0"/>
            </w:tcBorders>
            <w:vAlign w:val="center"/>
          </w:tcPr>
          <w:p w14:paraId="51876D0A">
            <w:pPr>
              <w:pStyle w:val="10"/>
              <w:spacing w:before="78" w:line="219" w:lineRule="auto"/>
              <w:jc w:val="center"/>
              <w:rPr>
                <w:rFonts w:hint="default" w:eastAsia="宋体"/>
                <w:lang w:val="en-US" w:eastAsia="zh-CN"/>
              </w:rPr>
            </w:pPr>
            <w:r>
              <w:rPr>
                <w:spacing w:val="6"/>
              </w:rPr>
              <w:t>详见附</w:t>
            </w:r>
            <w:r>
              <w:rPr>
                <w:rFonts w:hint="eastAsia"/>
                <w:spacing w:val="6"/>
                <w:lang w:val="en-US" w:eastAsia="zh-CN"/>
              </w:rPr>
              <w:t>件3</w:t>
            </w:r>
          </w:p>
        </w:tc>
      </w:tr>
    </w:tbl>
    <w:p w14:paraId="32589386">
      <w:pPr>
        <w:spacing w:line="270" w:lineRule="auto"/>
        <w:rPr>
          <w:rFonts w:ascii="Arial"/>
          <w:sz w:val="21"/>
        </w:rPr>
      </w:pPr>
    </w:p>
    <w:p w14:paraId="34BFAE86">
      <w:pPr>
        <w:spacing w:before="78" w:line="211" w:lineRule="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附件3:</w:t>
      </w:r>
    </w:p>
    <w:p w14:paraId="6B4676FC">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 产品性能结构及组成：人类免疫缺陷病毒1型核酸测定试剂盒(RT-PCR荧光探 针法)包含HIV-1核酸提取试剂、HIV-1核酸扩增试剂、内标溶液、阴性质控品和阳性质控品。</w:t>
      </w:r>
    </w:p>
    <w:p w14:paraId="42CF1D35">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▲2.产品适用范围：对人血浆的HIV-1核酸定量检测，可用于HIV-1感染者的辅 助诊断及疗效评估。(提供说明书佐证)</w:t>
      </w:r>
    </w:p>
    <w:p w14:paraId="2DE999CE">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3.靶位选择：必须针对HIV-1基因组的高度保守区域设计提取和PCR扩增引物。支持单靶标，优先选择双靶标。</w:t>
      </w:r>
    </w:p>
    <w:p w14:paraId="385FE1F7">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▲4.线性范围：至少覆盖30copies/mL～5.88E+06copies/mL。</w:t>
      </w:r>
    </w:p>
    <w:p w14:paraId="0B242186">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5. 上样体积：≤0.5 ml。</w:t>
      </w:r>
    </w:p>
    <w:p w14:paraId="1AC94A39">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▲6. 检测灵敏度、检测亚型及标本类别：检测灵敏度≤18copies/mL;HIV</w:t>
      </w:r>
    </w:p>
    <w:p w14:paraId="5950A534">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检测亚型覆盖：HIV-1M组、0组和N组各亚型。样本类别：血浆。</w:t>
      </w:r>
    </w:p>
    <w:p w14:paraId="11E2801A">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▲7.包装规格及储存条件：包装≥48测试/盒；单管单人份试剂，无需配制，所有组分2～8℃保存。有效期≥12个月。(提供试剂盒说明书)</w:t>
      </w:r>
    </w:p>
    <w:p w14:paraId="56DDDB0F">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8. 工作流程：工作流程全自动化，无人工干预。PCR扩增过程可过夜自动运行。</w:t>
      </w:r>
    </w:p>
    <w:p w14:paraId="507D40C6">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9.试剂构成：扩增试剂及试剂内质控，核酸提取试剂及配套耗材。</w:t>
      </w:r>
    </w:p>
    <w:p w14:paraId="00E71272">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▲10.定量原理：内标法定量，全程监控核酸提取和PCR扩增检测。(提供说明书佐证)</w:t>
      </w:r>
    </w:p>
    <w:p w14:paraId="4FFAACB0">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★11.认证要求：通过中国食品药品监督管理局认证。</w:t>
      </w:r>
    </w:p>
    <w:p w14:paraId="60B81A6F">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12.售后服务条款</w:t>
      </w:r>
    </w:p>
    <w:p w14:paraId="534E419A">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12.1保证符合原厂试剂供货保存要求，供给到买方指定地点</w:t>
      </w:r>
    </w:p>
    <w:p w14:paraId="06C480BD">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12.2 卖方将根据买方要求适时安排公司的相关专家前来指导仪器的操作和解决故障，介绍最新应用资讯</w:t>
      </w:r>
    </w:p>
    <w:p w14:paraId="7FC4DBA0">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12.3提供技术人员设备使用、培训及售后服务，并提供服务专业技术人员名单</w:t>
      </w:r>
    </w:p>
    <w:p w14:paraId="3E6C4D68">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12.4提供所有相关注册文件</w:t>
      </w:r>
    </w:p>
    <w:p w14:paraId="61ABA3D2">
      <w:pPr>
        <w:spacing w:before="78" w:line="211" w:lineRule="auto"/>
        <w:rPr>
          <w:rFonts w:hint="default" w:asciiTheme="minorEastAsia" w:hAnsiTheme="minorEastAsia" w:eastAsiaTheme="minorEastAsia" w:cstheme="minorEastAsia"/>
          <w:spacing w:val="2"/>
          <w:sz w:val="24"/>
          <w:szCs w:val="24"/>
          <w:lang w:val="en-US" w:eastAsia="en-US"/>
        </w:rPr>
      </w:pPr>
      <w:r>
        <w:rPr>
          <w:rFonts w:hint="default" w:asciiTheme="minorEastAsia" w:hAnsiTheme="minorEastAsia" w:eastAsiaTheme="minorEastAsia" w:cstheme="minorEastAsia"/>
          <w:spacing w:val="2"/>
          <w:sz w:val="24"/>
          <w:szCs w:val="24"/>
          <w:lang w:val="en-US" w:eastAsia="en-US"/>
        </w:rPr>
        <w:t>12.5提供完整的使用手册记录：售后院方验收</w:t>
      </w:r>
    </w:p>
    <w:p w14:paraId="79B78612">
      <w:pPr>
        <w:spacing w:before="78" w:line="211" w:lineRule="auto"/>
        <w:rPr>
          <w:rFonts w:hint="default" w:asciiTheme="minorEastAsia" w:hAnsiTheme="minorEastAsia" w:eastAsiaTheme="minorEastAsia" w:cstheme="minorEastAsia"/>
          <w:spacing w:val="2"/>
          <w:sz w:val="24"/>
          <w:szCs w:val="24"/>
          <w:lang w:val="en-US" w:eastAsia="en-US"/>
        </w:rPr>
      </w:pPr>
    </w:p>
    <w:p w14:paraId="5E53559C">
      <w:pPr>
        <w:pStyle w:val="10"/>
        <w:spacing w:before="85" w:line="219" w:lineRule="auto"/>
        <w:rPr>
          <w:rFonts w:hint="eastAsia" w:asciiTheme="minorEastAsia" w:hAnsiTheme="minorEastAsia" w:eastAsiaTheme="minorEastAsia" w:cstheme="minorEastAsia"/>
          <w:snapToGrid w:val="0"/>
          <w:color w:val="000000"/>
          <w:spacing w:val="15"/>
          <w:kern w:val="0"/>
          <w:sz w:val="24"/>
          <w:szCs w:val="24"/>
          <w:lang w:val="en-US" w:eastAsia="en-US" w:bidi="ar-SA"/>
        </w:rPr>
      </w:pPr>
      <w:r>
        <w:rPr>
          <w:rFonts w:hint="eastAsia" w:asciiTheme="minorEastAsia" w:hAnsiTheme="minorEastAsia" w:eastAsiaTheme="minorEastAsia" w:cstheme="minorEastAsia"/>
          <w:snapToGrid w:val="0"/>
          <w:color w:val="000000"/>
          <w:spacing w:val="15"/>
          <w:kern w:val="0"/>
          <w:sz w:val="24"/>
          <w:szCs w:val="24"/>
          <w:lang w:val="en-US" w:eastAsia="zh-CN" w:bidi="ar-SA"/>
        </w:rPr>
        <w:t>说明：</w:t>
      </w: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打“★”号条款为实质性条款，若有任何一条负偏离或不满足则导致应选无效。</w:t>
      </w:r>
    </w:p>
    <w:p w14:paraId="491FCD03">
      <w:pPr>
        <w:spacing w:before="78" w:line="211" w:lineRule="auto"/>
        <w:rPr>
          <w:rFonts w:hint="default" w:asciiTheme="minorEastAsia" w:hAnsiTheme="minorEastAsia" w:eastAsiaTheme="minorEastAsia" w:cstheme="minorEastAsia"/>
          <w:spacing w:val="2"/>
          <w:sz w:val="24"/>
          <w:szCs w:val="24"/>
          <w:lang w:val="en-US" w:eastAsia="en-US"/>
        </w:rPr>
      </w:pPr>
      <w:r>
        <w:rPr>
          <w:rFonts w:hint="eastAsia" w:asciiTheme="minorEastAsia" w:hAnsiTheme="minorEastAsia" w:eastAsiaTheme="minorEastAsia" w:cstheme="minorEastAsia"/>
          <w:snapToGrid w:val="0"/>
          <w:color w:val="000000"/>
          <w:spacing w:val="15"/>
          <w:kern w:val="0"/>
          <w:sz w:val="24"/>
          <w:szCs w:val="24"/>
          <w:lang w:val="en-US" w:eastAsia="en-US" w:bidi="ar-SA"/>
        </w:rPr>
        <w:t>打“▲”号条款为重要技术参数，若有部分“▲”条款未响应或不满足，将导致其响应性评审加重扣分，但不作为无效应选条款。</w:t>
      </w:r>
    </w:p>
    <w:p w14:paraId="57142CDA"/>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DE41">
    <w:pPr>
      <w:spacing w:line="201" w:lineRule="auto"/>
      <w:ind w:left="11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6E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626E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04506"/>
    <w:rsid w:val="049F098B"/>
    <w:rsid w:val="2029033A"/>
    <w:rsid w:val="257D388A"/>
    <w:rsid w:val="28255989"/>
    <w:rsid w:val="362D6EF4"/>
    <w:rsid w:val="46C04506"/>
    <w:rsid w:val="50290A0F"/>
    <w:rsid w:val="57EC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25"/>
      <w:szCs w:val="25"/>
      <w:lang w:val="en-US" w:eastAsia="en-US" w:bidi="ar-SA"/>
    </w:rPr>
  </w:style>
  <w:style w:type="paragraph" w:styleId="4">
    <w:name w:val="Body Text Indent"/>
    <w:basedOn w:val="1"/>
    <w:qFormat/>
    <w:uiPriority w:val="0"/>
    <w:pPr>
      <w:ind w:firstLine="700" w:firstLineChars="250"/>
    </w:pPr>
    <w:rPr>
      <w:rFonts w:ascii="楷体_GB2312" w:hAnsi="宋体" w:eastAsia="楷体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1827</Words>
  <Characters>2228</Characters>
  <Lines>0</Lines>
  <Paragraphs>0</Paragraphs>
  <TotalTime>0</TotalTime>
  <ScaleCrop>false</ScaleCrop>
  <LinksUpToDate>false</LinksUpToDate>
  <CharactersWithSpaces>2267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2025-08-26T01:39:00Z</dcterms:created>
  <dc:creator>Administrator</dc:creator>
  <cp:lastModifiedBy>华伦</cp:lastModifiedBy>
  <cp:lastPrinted>2025-08-26T03:00:00Z</cp:lastPrinted>
  <dcterms:modified xsi:type="dcterms:W3CDTF">2025-09-04T10:12:14Z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CB9C0BB7BD5F49959EF935F5A6B0A1B0_13</vt:lpwstr>
  </property>
  <property fmtid="{D5CDD505-2E9C-101B-9397-08002B2CF9AE}" pid="4" name="KSOTemplateDocerSaveRecord">
    <vt:lpwstr>eyJoZGlkIjoiM2RhZWE0MjFkMTUwZjgxY2RmZTE4ODg3NTQ3NWQ4NWQiLCJ1c2VySWQiOiIyMzYyNDU4MjkifQ==</vt:lpwstr>
  </property>
</Properties>
</file>