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75ED932D">
      <w:pPr>
        <w:pStyle w:val="22"/>
        <w:rPr>
          <w:rFonts w:hint="eastAsia"/>
          <w:lang w:val="en-US" w:eastAsia="zh-CN"/>
        </w:rPr>
      </w:pPr>
    </w:p>
    <w:p w14:paraId="60474EC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374433D">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7C0F962B">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78FBC823">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17F4F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ZCB-2025134</w:t>
      </w:r>
    </w:p>
    <w:p w14:paraId="1C02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74432C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北院区检验科、南院区逸仙楼四楼消毒供应中心</w:t>
      </w:r>
    </w:p>
    <w:p w14:paraId="456956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宋体" w:hAnsi="宋体" w:cs="宋体"/>
          <w:b/>
          <w:bCs/>
          <w:color w:val="000000"/>
          <w:highlight w:val="none"/>
        </w:rPr>
      </w:pPr>
      <w:r>
        <w:rPr>
          <w:rFonts w:hint="eastAsia" w:ascii="方正仿宋简体" w:hAnsi="方正仿宋简体" w:eastAsia="方正仿宋简体" w:cs="方正仿宋简体"/>
          <w:b/>
          <w:bCs/>
          <w:color w:val="000000"/>
          <w:sz w:val="28"/>
          <w:szCs w:val="28"/>
          <w:highlight w:val="none"/>
          <w:u w:val="single"/>
          <w:lang w:val="en-US" w:eastAsia="zh-CN"/>
        </w:rPr>
        <w:t>空调系统升级改造服务项目（第二次）</w:t>
      </w:r>
    </w:p>
    <w:p w14:paraId="2C67FB63">
      <w:pPr>
        <w:pStyle w:val="22"/>
        <w:rPr>
          <w:rFonts w:hint="eastAsia"/>
        </w:rPr>
      </w:pPr>
    </w:p>
    <w:p w14:paraId="2139562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5695D97">
      <w:pPr>
        <w:pStyle w:val="3"/>
        <w:rPr>
          <w:rFonts w:hint="eastAsia"/>
          <w:color w:val="auto"/>
          <w:highlight w:val="none"/>
        </w:rPr>
      </w:pPr>
    </w:p>
    <w:p w14:paraId="10B562C3">
      <w:pPr>
        <w:rPr>
          <w:rFonts w:hint="eastAsia"/>
        </w:rPr>
      </w:pPr>
    </w:p>
    <w:p w14:paraId="58A89BF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E086D66">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14:paraId="2FE40527">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14:paraId="6786FDB4">
      <w:pPr>
        <w:pageBreakBefore w:val="0"/>
        <w:kinsoku/>
        <w:wordWrap/>
        <w:overflowPunct/>
        <w:topLinePunct w:val="0"/>
        <w:bidi w:val="0"/>
        <w:spacing w:line="360" w:lineRule="auto"/>
        <w:ind w:right="0" w:right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 xml:space="preserve">5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11</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20日</w:t>
      </w:r>
    </w:p>
    <w:p w14:paraId="32DAB876">
      <w:pPr>
        <w:pStyle w:val="24"/>
        <w:rPr>
          <w:rFonts w:hint="eastAsia" w:ascii="宋体" w:hAnsi="宋体" w:cs="宋体"/>
          <w:b/>
          <w:bCs/>
          <w:color w:val="auto"/>
          <w:sz w:val="28"/>
          <w:szCs w:val="28"/>
          <w:highlight w:val="none"/>
        </w:rPr>
      </w:pPr>
    </w:p>
    <w:p w14:paraId="1B57B2C6">
      <w:pPr>
        <w:pStyle w:val="24"/>
        <w:rPr>
          <w:rFonts w:hint="eastAsia" w:ascii="宋体" w:hAnsi="宋体" w:cs="宋体"/>
          <w:b/>
          <w:bCs/>
          <w:color w:val="auto"/>
          <w:sz w:val="28"/>
          <w:szCs w:val="28"/>
          <w:highlight w:val="none"/>
        </w:rPr>
      </w:pPr>
    </w:p>
    <w:p w14:paraId="04DE7C7F">
      <w:pPr>
        <w:pStyle w:val="24"/>
        <w:rPr>
          <w:rFonts w:hint="eastAsia" w:ascii="宋体" w:hAnsi="宋体" w:cs="宋体"/>
          <w:b/>
          <w:bCs/>
          <w:color w:val="auto"/>
          <w:sz w:val="28"/>
          <w:szCs w:val="28"/>
          <w:highlight w:val="none"/>
        </w:rPr>
      </w:pPr>
    </w:p>
    <w:p w14:paraId="7E247553">
      <w:pPr>
        <w:pStyle w:val="24"/>
        <w:rPr>
          <w:rFonts w:hint="eastAsia" w:ascii="宋体" w:hAnsi="宋体" w:cs="宋体"/>
          <w:b/>
          <w:bCs/>
          <w:color w:val="auto"/>
          <w:sz w:val="28"/>
          <w:szCs w:val="28"/>
          <w:highlight w:val="none"/>
        </w:rPr>
      </w:pPr>
    </w:p>
    <w:p w14:paraId="4A894D04">
      <w:pPr>
        <w:pStyle w:val="24"/>
        <w:rPr>
          <w:rFonts w:hint="eastAsia" w:ascii="宋体" w:hAnsi="宋体" w:cs="宋体"/>
          <w:b/>
          <w:bCs/>
          <w:color w:val="auto"/>
          <w:sz w:val="28"/>
          <w:szCs w:val="28"/>
          <w:highlight w:val="none"/>
        </w:rPr>
      </w:pPr>
    </w:p>
    <w:p w14:paraId="084DD094">
      <w:pPr>
        <w:pStyle w:val="24"/>
        <w:rPr>
          <w:rFonts w:hint="eastAsia" w:ascii="宋体" w:hAnsi="宋体" w:cs="宋体"/>
          <w:b/>
          <w:bCs/>
          <w:color w:val="auto"/>
          <w:sz w:val="28"/>
          <w:szCs w:val="28"/>
          <w:highlight w:val="none"/>
        </w:rPr>
      </w:pPr>
    </w:p>
    <w:p w14:paraId="07825709">
      <w:pPr>
        <w:pStyle w:val="24"/>
        <w:rPr>
          <w:rFonts w:hint="eastAsia" w:ascii="宋体" w:hAnsi="宋体" w:cs="宋体"/>
          <w:b/>
          <w:bCs/>
          <w:color w:val="auto"/>
          <w:sz w:val="28"/>
          <w:szCs w:val="28"/>
          <w:highlight w:val="none"/>
        </w:rPr>
      </w:pPr>
    </w:p>
    <w:p w14:paraId="425ECDA2">
      <w:pPr>
        <w:pStyle w:val="24"/>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第一章</w:t>
      </w:r>
      <w:r>
        <w:rPr>
          <w:rStyle w:val="21"/>
          <w:rFonts w:hint="eastAsia" w:ascii="仿宋" w:hAnsi="仿宋" w:eastAsia="仿宋" w:cs="仿宋"/>
          <w:b/>
          <w:color w:val="auto"/>
          <w:sz w:val="32"/>
          <w:szCs w:val="32"/>
          <w:highlight w:val="none"/>
          <w:lang w:val="en-US" w:eastAsia="zh-CN"/>
        </w:rPr>
        <w:t xml:space="preserve"> 比选邀请</w:t>
      </w:r>
      <w:r>
        <w:rPr>
          <w:rStyle w:val="21"/>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第二章</w:t>
      </w:r>
      <w:r>
        <w:rPr>
          <w:rStyle w:val="21"/>
          <w:rFonts w:hint="eastAsia" w:ascii="仿宋" w:hAnsi="仿宋" w:eastAsia="仿宋" w:cs="仿宋"/>
          <w:b/>
          <w:color w:val="auto"/>
          <w:sz w:val="32"/>
          <w:szCs w:val="32"/>
          <w:highlight w:val="none"/>
          <w:lang w:val="en-US" w:eastAsia="zh-CN"/>
        </w:rPr>
        <w:t xml:space="preserve"> </w:t>
      </w:r>
      <w:r>
        <w:rPr>
          <w:rStyle w:val="21"/>
          <w:rFonts w:hint="eastAsia" w:ascii="仿宋" w:hAnsi="仿宋" w:eastAsia="仿宋" w:cs="仿宋"/>
          <w:b/>
          <w:color w:val="auto"/>
          <w:sz w:val="32"/>
          <w:szCs w:val="32"/>
          <w:highlight w:val="none"/>
          <w:lang w:eastAsia="zh-CN"/>
        </w:rPr>
        <w:t>用户</w:t>
      </w:r>
      <w:r>
        <w:rPr>
          <w:rStyle w:val="21"/>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第三章</w:t>
      </w:r>
      <w:r>
        <w:rPr>
          <w:rStyle w:val="21"/>
          <w:rFonts w:hint="eastAsia" w:ascii="仿宋" w:hAnsi="仿宋" w:eastAsia="仿宋" w:cs="仿宋"/>
          <w:b/>
          <w:color w:val="auto"/>
          <w:sz w:val="32"/>
          <w:szCs w:val="32"/>
          <w:highlight w:val="none"/>
          <w:lang w:val="en-US" w:eastAsia="zh-CN"/>
        </w:rPr>
        <w:t xml:space="preserve"> 响应</w:t>
      </w:r>
      <w:r>
        <w:rPr>
          <w:rStyle w:val="21"/>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4"/>
        <w:rPr>
          <w:color w:val="auto"/>
          <w:highlight w:val="none"/>
        </w:rPr>
      </w:pPr>
    </w:p>
    <w:p w14:paraId="0A15806B">
      <w:pPr>
        <w:pStyle w:val="24"/>
        <w:rPr>
          <w:color w:val="auto"/>
          <w:highlight w:val="none"/>
        </w:rPr>
      </w:pPr>
    </w:p>
    <w:p w14:paraId="3DCA7AD5">
      <w:pPr>
        <w:pStyle w:val="24"/>
        <w:rPr>
          <w:color w:val="auto"/>
          <w:highlight w:val="none"/>
        </w:rPr>
      </w:pPr>
    </w:p>
    <w:p w14:paraId="6E14FAB4">
      <w:pPr>
        <w:pStyle w:val="24"/>
        <w:rPr>
          <w:color w:val="auto"/>
          <w:highlight w:val="none"/>
        </w:rPr>
      </w:pPr>
    </w:p>
    <w:p w14:paraId="64575E93">
      <w:pPr>
        <w:pStyle w:val="24"/>
        <w:rPr>
          <w:color w:val="auto"/>
          <w:highlight w:val="none"/>
        </w:rPr>
      </w:pPr>
    </w:p>
    <w:p w14:paraId="2C222BBF">
      <w:pPr>
        <w:pStyle w:val="24"/>
        <w:rPr>
          <w:color w:val="auto"/>
          <w:highlight w:val="none"/>
        </w:rPr>
      </w:pPr>
    </w:p>
    <w:p w14:paraId="09C05EDD">
      <w:pPr>
        <w:pStyle w:val="24"/>
        <w:rPr>
          <w:color w:val="auto"/>
          <w:highlight w:val="none"/>
        </w:rPr>
      </w:pPr>
    </w:p>
    <w:p w14:paraId="78BEBE66">
      <w:pPr>
        <w:pStyle w:val="24"/>
        <w:rPr>
          <w:color w:val="auto"/>
          <w:highlight w:val="none"/>
        </w:rPr>
      </w:pPr>
    </w:p>
    <w:p w14:paraId="7FFB3F36">
      <w:pPr>
        <w:pStyle w:val="24"/>
        <w:rPr>
          <w:color w:val="auto"/>
          <w:highlight w:val="none"/>
        </w:rPr>
      </w:pPr>
    </w:p>
    <w:p w14:paraId="3DF6BD4F">
      <w:pPr>
        <w:pStyle w:val="24"/>
        <w:rPr>
          <w:color w:val="auto"/>
          <w:highlight w:val="none"/>
        </w:rPr>
      </w:pPr>
    </w:p>
    <w:p w14:paraId="2734705C">
      <w:pPr>
        <w:pStyle w:val="24"/>
        <w:rPr>
          <w:color w:val="auto"/>
          <w:highlight w:val="none"/>
        </w:rPr>
      </w:pPr>
    </w:p>
    <w:p w14:paraId="4314B196">
      <w:pPr>
        <w:pStyle w:val="24"/>
        <w:rPr>
          <w:color w:val="auto"/>
          <w:highlight w:val="none"/>
        </w:rPr>
      </w:pPr>
    </w:p>
    <w:p w14:paraId="3A1D323C">
      <w:pPr>
        <w:pStyle w:val="24"/>
        <w:ind w:left="0" w:leftChars="0" w:firstLine="0" w:firstLineChars="0"/>
        <w:rPr>
          <w:color w:val="auto"/>
          <w:highlight w:val="none"/>
        </w:rPr>
      </w:pPr>
    </w:p>
    <w:p w14:paraId="28873E3D">
      <w:pPr>
        <w:pStyle w:val="24"/>
        <w:rPr>
          <w:color w:val="auto"/>
          <w:highlight w:val="none"/>
        </w:rPr>
      </w:pPr>
    </w:p>
    <w:p w14:paraId="50FA7ED8">
      <w:pPr>
        <w:pStyle w:val="24"/>
        <w:rPr>
          <w:color w:val="auto"/>
          <w:highlight w:val="none"/>
        </w:rPr>
      </w:pPr>
    </w:p>
    <w:p w14:paraId="6B2899CF">
      <w:pPr>
        <w:pStyle w:val="24"/>
        <w:rPr>
          <w:color w:val="auto"/>
          <w:highlight w:val="none"/>
        </w:rPr>
      </w:pPr>
    </w:p>
    <w:p w14:paraId="33C44C0F">
      <w:pPr>
        <w:pStyle w:val="24"/>
        <w:rPr>
          <w:color w:val="auto"/>
          <w:highlight w:val="none"/>
        </w:rPr>
      </w:pPr>
    </w:p>
    <w:p w14:paraId="42E0C72B">
      <w:pPr>
        <w:pStyle w:val="24"/>
        <w:rPr>
          <w:color w:val="auto"/>
          <w:highlight w:val="none"/>
        </w:rPr>
      </w:pPr>
    </w:p>
    <w:p w14:paraId="605B6840">
      <w:pPr>
        <w:pStyle w:val="24"/>
        <w:rPr>
          <w:color w:val="auto"/>
          <w:highlight w:val="none"/>
        </w:rPr>
      </w:pPr>
    </w:p>
    <w:p w14:paraId="67B723F3">
      <w:pPr>
        <w:pStyle w:val="24"/>
        <w:rPr>
          <w:color w:val="auto"/>
          <w:highlight w:val="none"/>
        </w:rPr>
      </w:pPr>
    </w:p>
    <w:p w14:paraId="42B8087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6465"/>
      <w:bookmarkStart w:id="1" w:name="_Toc50737285"/>
      <w:bookmarkStart w:id="2" w:name="_Toc50691018"/>
      <w:bookmarkStart w:id="3" w:name="_Toc50737317"/>
      <w:bookmarkStart w:id="4" w:name="_Toc385940868"/>
      <w:bookmarkStart w:id="5" w:name="_Toc76354913"/>
      <w:bookmarkStart w:id="6" w:name="_Toc385939527"/>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比选邀请</w:t>
      </w:r>
      <w:r>
        <w:rPr>
          <w:rFonts w:hint="eastAsia" w:ascii="微软雅黑" w:hAnsi="微软雅黑" w:eastAsia="微软雅黑" w:cs="微软雅黑"/>
          <w:color w:val="auto"/>
          <w:highlight w:val="none"/>
        </w:rPr>
        <w:t>函</w:t>
      </w:r>
      <w:bookmarkEnd w:id="7"/>
    </w:p>
    <w:p w14:paraId="09A011E9">
      <w:pPr>
        <w:pStyle w:val="24"/>
        <w:rPr>
          <w:color w:val="auto"/>
          <w:highlight w:val="none"/>
        </w:rPr>
      </w:pPr>
    </w:p>
    <w:p w14:paraId="0E1E6DAA">
      <w:pPr>
        <w:pStyle w:val="24"/>
        <w:rPr>
          <w:color w:val="auto"/>
          <w:highlight w:val="none"/>
        </w:rPr>
      </w:pPr>
    </w:p>
    <w:p w14:paraId="3BA9C6FC">
      <w:pPr>
        <w:pStyle w:val="24"/>
        <w:rPr>
          <w:color w:val="auto"/>
          <w:highlight w:val="none"/>
        </w:rPr>
      </w:pPr>
    </w:p>
    <w:p w14:paraId="785CAE00">
      <w:pPr>
        <w:pStyle w:val="24"/>
        <w:rPr>
          <w:color w:val="auto"/>
          <w:highlight w:val="none"/>
        </w:rPr>
      </w:pPr>
    </w:p>
    <w:p w14:paraId="39EE392B">
      <w:pPr>
        <w:pStyle w:val="24"/>
        <w:rPr>
          <w:color w:val="auto"/>
          <w:highlight w:val="none"/>
        </w:rPr>
      </w:pPr>
    </w:p>
    <w:p w14:paraId="706178C8">
      <w:pPr>
        <w:pStyle w:val="24"/>
        <w:rPr>
          <w:color w:val="auto"/>
          <w:highlight w:val="none"/>
        </w:rPr>
      </w:pPr>
    </w:p>
    <w:p w14:paraId="772CC2BD">
      <w:pPr>
        <w:pStyle w:val="24"/>
        <w:rPr>
          <w:color w:val="auto"/>
          <w:highlight w:val="none"/>
        </w:rPr>
      </w:pPr>
    </w:p>
    <w:p w14:paraId="67FC31CB">
      <w:pPr>
        <w:pStyle w:val="24"/>
        <w:rPr>
          <w:color w:val="auto"/>
          <w:highlight w:val="none"/>
        </w:rPr>
      </w:pPr>
    </w:p>
    <w:p w14:paraId="386EC698">
      <w:pPr>
        <w:pStyle w:val="24"/>
        <w:rPr>
          <w:color w:val="auto"/>
          <w:highlight w:val="none"/>
        </w:rPr>
      </w:pPr>
    </w:p>
    <w:p w14:paraId="2C1A4281">
      <w:pPr>
        <w:pStyle w:val="24"/>
        <w:rPr>
          <w:color w:val="auto"/>
          <w:highlight w:val="none"/>
        </w:rPr>
      </w:pPr>
    </w:p>
    <w:p w14:paraId="5F86BCBC">
      <w:pPr>
        <w:pStyle w:val="24"/>
        <w:rPr>
          <w:color w:val="auto"/>
          <w:highlight w:val="none"/>
        </w:rPr>
      </w:pPr>
    </w:p>
    <w:p w14:paraId="455E259F">
      <w:pPr>
        <w:pStyle w:val="24"/>
        <w:rPr>
          <w:color w:val="auto"/>
          <w:highlight w:val="none"/>
        </w:rPr>
      </w:pPr>
    </w:p>
    <w:p w14:paraId="2CAB1CE8">
      <w:pPr>
        <w:pStyle w:val="24"/>
        <w:rPr>
          <w:color w:val="auto"/>
          <w:highlight w:val="none"/>
        </w:rPr>
      </w:pPr>
    </w:p>
    <w:p w14:paraId="4886323E">
      <w:pPr>
        <w:pStyle w:val="24"/>
        <w:rPr>
          <w:color w:val="auto"/>
          <w:highlight w:val="none"/>
        </w:rPr>
      </w:pPr>
    </w:p>
    <w:p w14:paraId="70322BB7">
      <w:pPr>
        <w:pStyle w:val="24"/>
        <w:rPr>
          <w:color w:val="auto"/>
          <w:highlight w:val="none"/>
        </w:rPr>
      </w:pPr>
    </w:p>
    <w:p w14:paraId="3AB65DC5">
      <w:pPr>
        <w:pStyle w:val="24"/>
        <w:rPr>
          <w:color w:val="auto"/>
          <w:highlight w:val="none"/>
        </w:rPr>
      </w:pPr>
    </w:p>
    <w:p w14:paraId="35ACE013">
      <w:pPr>
        <w:pStyle w:val="24"/>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比选邀请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val="en-US" w:eastAsia="zh-CN"/>
        </w:rPr>
        <w:t>我院北院区检验科、南院区逸仙楼四楼消毒供应中心空调系统升级改造服务项目</w:t>
      </w:r>
      <w:r>
        <w:rPr>
          <w:rFonts w:hint="eastAsia" w:ascii="仿宋" w:hAnsi="仿宋" w:eastAsia="仿宋" w:cs="仿宋"/>
          <w:bCs/>
          <w:color w:val="auto"/>
          <w:sz w:val="24"/>
          <w:szCs w:val="24"/>
          <w:highlight w:val="none"/>
          <w:lang w:eastAsia="zh-CN"/>
        </w:rPr>
        <w:t>公开挂网</w:t>
      </w:r>
      <w:r>
        <w:rPr>
          <w:rFonts w:hint="eastAsia" w:ascii="仿宋" w:hAnsi="仿宋" w:eastAsia="仿宋" w:cs="仿宋"/>
          <w:bCs/>
          <w:color w:val="auto"/>
          <w:sz w:val="24"/>
          <w:szCs w:val="24"/>
          <w:highlight w:val="none"/>
        </w:rPr>
        <w:t>采购，欢迎符合条件的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ZCB-2025134</w:t>
      </w:r>
    </w:p>
    <w:p w14:paraId="0C0A337C">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：中山大学孙逸仙纪念医院北院区检验科、南院区逸仙楼四楼消毒供应中心</w:t>
      </w:r>
    </w:p>
    <w:p w14:paraId="0C09B74B">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空调系统升级改造服务项目（第二次）</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bookmarkStart w:id="22" w:name="_GoBack"/>
      <w:bookmarkEnd w:id="22"/>
    </w:p>
    <w:tbl>
      <w:tblPr>
        <w:tblStyle w:val="17"/>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2760"/>
        <w:gridCol w:w="2717"/>
        <w:gridCol w:w="1939"/>
      </w:tblGrid>
      <w:tr w14:paraId="5109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017" w:type="dxa"/>
            <w:vAlign w:val="center"/>
          </w:tcPr>
          <w:p w14:paraId="0EDFC7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采购标的</w:t>
            </w:r>
          </w:p>
        </w:tc>
        <w:tc>
          <w:tcPr>
            <w:tcW w:w="2760" w:type="dxa"/>
            <w:vAlign w:val="top"/>
          </w:tcPr>
          <w:p w14:paraId="586AC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c>
          <w:tcPr>
            <w:tcW w:w="2717" w:type="dxa"/>
            <w:vAlign w:val="top"/>
          </w:tcPr>
          <w:p w14:paraId="69D03E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技术规格、参数及要求</w:t>
            </w:r>
          </w:p>
        </w:tc>
        <w:tc>
          <w:tcPr>
            <w:tcW w:w="1939" w:type="dxa"/>
          </w:tcPr>
          <w:p w14:paraId="57F6DC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采购预算</w:t>
            </w:r>
          </w:p>
          <w:p w14:paraId="0F4A1F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w:t>
            </w:r>
          </w:p>
        </w:tc>
      </w:tr>
      <w:tr w14:paraId="221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017" w:type="dxa"/>
            <w:vAlign w:val="center"/>
          </w:tcPr>
          <w:p w14:paraId="50816D4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rPr>
              <w:t>北院区检验科、南院区逸仙楼四楼消毒供应中心空调系统升级改造服务</w:t>
            </w:r>
          </w:p>
        </w:tc>
        <w:tc>
          <w:tcPr>
            <w:tcW w:w="2760" w:type="dxa"/>
            <w:shd w:val="clear" w:color="auto" w:fill="auto"/>
            <w:vAlign w:val="center"/>
          </w:tcPr>
          <w:p w14:paraId="61B1A7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auto"/>
                <w:sz w:val="24"/>
                <w:szCs w:val="24"/>
                <w:highlight w:val="none"/>
                <w:lang w:eastAsia="zh-CN"/>
              </w:rPr>
              <w:t>北院区检验科、南院区逸仙楼四楼消毒供应中心空调系统升级改造服务的时间，分别自</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通知之日起按45日计算。施工工作可能同时开展，也可能先后分别进行</w:t>
            </w:r>
          </w:p>
        </w:tc>
        <w:tc>
          <w:tcPr>
            <w:tcW w:w="2717" w:type="dxa"/>
            <w:vAlign w:val="center"/>
          </w:tcPr>
          <w:p w14:paraId="12A50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详见附件1比选文件</w:t>
            </w:r>
          </w:p>
          <w:p w14:paraId="30D464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第二部分用户需求书</w:t>
            </w:r>
          </w:p>
        </w:tc>
        <w:tc>
          <w:tcPr>
            <w:tcW w:w="1939" w:type="dxa"/>
            <w:vAlign w:val="center"/>
          </w:tcPr>
          <w:p w14:paraId="4D0D42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人民币</w:t>
            </w:r>
            <w:r>
              <w:rPr>
                <w:rFonts w:hint="eastAsia" w:ascii="仿宋" w:hAnsi="仿宋" w:eastAsia="仿宋" w:cs="仿宋"/>
                <w:color w:val="auto"/>
                <w:sz w:val="24"/>
                <w:szCs w:val="24"/>
                <w:highlight w:val="none"/>
                <w:lang w:val="en-US" w:eastAsia="zh-CN"/>
              </w:rPr>
              <w:t>836204.22元</w:t>
            </w:r>
          </w:p>
        </w:tc>
      </w:tr>
    </w:tbl>
    <w:p w14:paraId="53B4DA9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auto"/>
          <w:sz w:val="24"/>
          <w:szCs w:val="24"/>
          <w:highlight w:val="none"/>
        </w:rPr>
        <w:t>详细技术规范请参阅</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中的“用户需求书”。</w:t>
      </w:r>
    </w:p>
    <w:p w14:paraId="15EC561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项目时间：按采购人要求；</w:t>
      </w:r>
    </w:p>
    <w:p w14:paraId="03CDC3B1">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r>
        <w:rPr>
          <w:rFonts w:hint="eastAsia" w:ascii="仿宋" w:hAnsi="仿宋" w:eastAsia="仿宋" w:cs="仿宋"/>
          <w:bCs/>
          <w:color w:val="auto"/>
          <w:sz w:val="24"/>
          <w:szCs w:val="24"/>
          <w:highlight w:val="none"/>
          <w:lang w:val="en-US" w:eastAsia="zh-CN"/>
        </w:rPr>
        <w:t>实施</w:t>
      </w:r>
      <w:r>
        <w:rPr>
          <w:rFonts w:hint="eastAsia" w:ascii="仿宋" w:hAnsi="仿宋" w:eastAsia="仿宋" w:cs="仿宋"/>
          <w:color w:val="auto"/>
          <w:sz w:val="24"/>
          <w:szCs w:val="24"/>
          <w:highlight w:val="none"/>
          <w:lang w:eastAsia="zh-CN"/>
        </w:rPr>
        <w:t>地点：中山大学孙逸仙纪念医院北院区检验科、南院区逸仙楼四楼消毒供应中心。</w:t>
      </w:r>
    </w:p>
    <w:p w14:paraId="4708FC1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p>
    <w:p w14:paraId="77EB30F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0"/>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0"/>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0"/>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color w:val="auto"/>
          <w:kern w:val="0"/>
          <w:sz w:val="24"/>
          <w:highlight w:val="none"/>
          <w:lang w:val="en-US" w:eastAsia="zh-CN"/>
        </w:rPr>
        <w:t>空调系统升级改造服务（第二次）</w:t>
      </w:r>
      <w:r>
        <w:rPr>
          <w:rFonts w:hint="eastAsia" w:ascii="仿宋" w:hAnsi="仿宋" w:eastAsia="仿宋" w:cs="仿宋"/>
          <w:i w:val="0"/>
          <w:iCs w:val="0"/>
          <w:caps w:val="0"/>
          <w:color w:val="auto"/>
          <w:spacing w:val="0"/>
          <w:sz w:val="24"/>
          <w:szCs w:val="24"/>
          <w:highlight w:val="none"/>
          <w:u w:val="none"/>
          <w:vertAlign w:val="baseline"/>
        </w:rPr>
        <w:t>-某某公司</w:t>
      </w:r>
    </w:p>
    <w:p w14:paraId="672392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5</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11</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26</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0"/>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eastAsia="zh-CN"/>
        </w:rPr>
        <w:t>比选环节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1C3DD8FB">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p>
    <w:p w14:paraId="24EE84B3">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注：供应商若不能同时满足以上条件则视为响应参与无效。（如发现提供虚假材料者，取消其参加比选资格，并列入采购人失信供应商名单。）</w:t>
      </w:r>
    </w:p>
    <w:p w14:paraId="48A115A5">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7308D0D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highlight w:val="yellow"/>
          <w:lang w:val="en-US" w:eastAsia="zh-CN"/>
        </w:rPr>
        <w:t>八</w:t>
      </w:r>
      <w:r>
        <w:rPr>
          <w:rFonts w:hint="eastAsia" w:ascii="仿宋" w:hAnsi="仿宋" w:eastAsia="仿宋" w:cs="仿宋"/>
          <w:b/>
          <w:bCs/>
          <w:color w:val="auto"/>
          <w:sz w:val="24"/>
          <w:szCs w:val="24"/>
          <w:highlight w:val="yellow"/>
          <w:lang w:eastAsia="zh-CN"/>
        </w:rPr>
        <w:t>、</w:t>
      </w:r>
      <w:r>
        <w:rPr>
          <w:rFonts w:hint="eastAsia" w:ascii="仿宋" w:hAnsi="仿宋" w:eastAsia="仿宋" w:cs="仿宋"/>
          <w:b/>
          <w:bCs/>
          <w:color w:val="auto"/>
          <w:sz w:val="24"/>
          <w:szCs w:val="24"/>
          <w:highlight w:val="yellow"/>
          <w:lang w:val="en-US" w:eastAsia="zh-CN"/>
        </w:rPr>
        <w:t>踏勘要求</w:t>
      </w:r>
    </w:p>
    <w:p w14:paraId="4CCEBDD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为方便各供应商了解项目实况，我院组织集中踏勘现场，具体时间地点如下：</w:t>
      </w:r>
    </w:p>
    <w:p w14:paraId="2549DE5D">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①集合时间：2025年11月27日上午9:00（过时不候），集合地点：中山大学孙逸仙纪念医院北院区大门口（广州市越秀区沿江西路107号）；</w:t>
      </w:r>
    </w:p>
    <w:p w14:paraId="6D660B81">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②集合时间：2025年11月27日下午15:00（过时不候），集合地点：中山大学孙逸仙纪念医院南院区大门口（广州市海珠区盈丰路33号）；</w:t>
      </w:r>
    </w:p>
    <w:p w14:paraId="133D60C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现场联系人：蔡老师，联系电话：020-81332786、13650843471。</w:t>
      </w:r>
    </w:p>
    <w:p w14:paraId="064DEB2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鉴于场地存在限制条件，</w:t>
      </w:r>
      <w:r>
        <w:rPr>
          <w:rFonts w:hint="eastAsia" w:ascii="仿宋" w:hAnsi="仿宋" w:eastAsia="仿宋" w:cs="仿宋"/>
          <w:b/>
          <w:bCs/>
          <w:color w:val="FF0000"/>
          <w:sz w:val="24"/>
          <w:szCs w:val="24"/>
          <w:highlight w:val="yellow"/>
          <w:lang w:val="en-US" w:eastAsia="zh-CN"/>
        </w:rPr>
        <w:t>参与踏勘的供应商仅需安排一名人员参加，且不得超过一人</w:t>
      </w:r>
      <w:r>
        <w:rPr>
          <w:rFonts w:hint="eastAsia" w:ascii="仿宋" w:hAnsi="仿宋" w:eastAsia="仿宋" w:cs="仿宋"/>
          <w:b w:val="0"/>
          <w:bCs w:val="0"/>
          <w:color w:val="auto"/>
          <w:sz w:val="24"/>
          <w:szCs w:val="24"/>
          <w:highlight w:val="yellow"/>
          <w:lang w:val="en-US" w:eastAsia="zh-CN"/>
        </w:rPr>
        <w:t>。上述两次踏勘的场地及内容均有所不同，供应商应积极参与。</w:t>
      </w:r>
    </w:p>
    <w:p w14:paraId="486E8E5B">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如供应商没有到现场踏勘视为自动放弃踏勘现场的权利，任何因忽视或误解项目现场情况而导致的项目延误或费用增加等一切风险均由供应商自行承担。不管供应商是否考察过现场，均被认为在递交响应文件前已经了解现场情况。出席踏勘的供应商应承担踏勘现场自身所发生的费用。</w:t>
      </w:r>
    </w:p>
    <w:p w14:paraId="2E6A002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lang w:eastAsia="zh-CN"/>
        </w:rPr>
        <w:t>响应文件提交的截止时间、地点：202</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中午12:00，广州市越秀区长堤大马路171号一方长堤健康产业中心（原威力斯大楼）907室。</w:t>
      </w:r>
    </w:p>
    <w:p w14:paraId="1DFAF2A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val="en-US" w:eastAsia="zh-CN"/>
        </w:rPr>
        <w:t>1、响应文件仅受理纸质，</w:t>
      </w:r>
      <w:r>
        <w:rPr>
          <w:rFonts w:hint="eastAsia" w:ascii="仿宋" w:hAnsi="仿宋" w:eastAsia="仿宋" w:cs="仿宋"/>
          <w:color w:val="auto"/>
          <w:sz w:val="24"/>
          <w:szCs w:val="24"/>
          <w:highlight w:val="none"/>
          <w:u w:val="single"/>
        </w:rPr>
        <w:t>纸质材料一式叁份（正本1份/副本2份），具体要求详见格式《</w:t>
      </w:r>
      <w:r>
        <w:rPr>
          <w:rFonts w:hint="eastAsia" w:ascii="仿宋" w:hAnsi="仿宋" w:eastAsia="仿宋" w:cs="仿宋"/>
          <w:color w:val="auto"/>
          <w:sz w:val="24"/>
          <w:szCs w:val="24"/>
          <w:highlight w:val="none"/>
          <w:u w:val="single"/>
          <w:lang w:val="en-US" w:eastAsia="zh-CN"/>
        </w:rPr>
        <w:t>公开比选文件</w:t>
      </w:r>
      <w:r>
        <w:rPr>
          <w:rFonts w:hint="eastAsia" w:ascii="仿宋" w:hAnsi="仿宋" w:eastAsia="仿宋" w:cs="仿宋"/>
          <w:color w:val="auto"/>
          <w:sz w:val="24"/>
          <w:szCs w:val="24"/>
          <w:highlight w:val="none"/>
          <w:u w:val="single"/>
        </w:rPr>
        <w:t>》的第五章</w:t>
      </w:r>
      <w:r>
        <w:rPr>
          <w:rFonts w:hint="eastAsia" w:ascii="仿宋" w:hAnsi="仿宋" w:eastAsia="仿宋" w:cs="仿宋"/>
          <w:color w:val="auto"/>
          <w:sz w:val="24"/>
          <w:szCs w:val="24"/>
          <w:highlight w:val="none"/>
          <w:u w:val="single"/>
          <w:lang w:eastAsia="zh-CN"/>
        </w:rPr>
        <w:t>响应</w:t>
      </w:r>
      <w:r>
        <w:rPr>
          <w:rFonts w:hint="eastAsia" w:ascii="仿宋" w:hAnsi="仿宋" w:eastAsia="仿宋" w:cs="仿宋"/>
          <w:color w:val="auto"/>
          <w:sz w:val="24"/>
          <w:szCs w:val="24"/>
          <w:highlight w:val="none"/>
          <w:u w:val="single"/>
        </w:rPr>
        <w:t>文件</w:t>
      </w:r>
      <w:r>
        <w:rPr>
          <w:rFonts w:hint="eastAsia" w:ascii="仿宋" w:hAnsi="仿宋" w:eastAsia="仿宋" w:cs="仿宋"/>
          <w:color w:val="auto"/>
          <w:sz w:val="24"/>
          <w:szCs w:val="24"/>
          <w:highlight w:val="none"/>
          <w:u w:val="single"/>
          <w:lang w:val="en-US" w:eastAsia="zh-CN"/>
        </w:rPr>
        <w:t>编制要求</w:t>
      </w:r>
      <w:r>
        <w:rPr>
          <w:rFonts w:hint="eastAsia" w:ascii="仿宋" w:hAnsi="仿宋" w:eastAsia="仿宋" w:cs="仿宋"/>
          <w:color w:val="auto"/>
          <w:sz w:val="24"/>
          <w:szCs w:val="24"/>
          <w:highlight w:val="none"/>
          <w:u w:val="single"/>
          <w:lang w:eastAsia="zh-CN"/>
        </w:rPr>
        <w:t>；</w:t>
      </w:r>
    </w:p>
    <w:p w14:paraId="6D501D70">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2、纸质响应文件原则上接受快递寄送形式递交。</w:t>
      </w:r>
      <w:r>
        <w:rPr>
          <w:rFonts w:hint="eastAsia" w:ascii="仿宋" w:hAnsi="仿宋" w:eastAsia="仿宋" w:cs="仿宋"/>
          <w:b/>
          <w:bCs/>
          <w:color w:val="auto"/>
          <w:sz w:val="24"/>
          <w:szCs w:val="24"/>
          <w:highlight w:val="none"/>
          <w:u w:val="single"/>
          <w:lang w:val="en-US" w:eastAsia="zh-CN"/>
        </w:rPr>
        <w:t>如若采取快递寄送，请务必于响应文件提交截止时间前寄达。</w:t>
      </w:r>
    </w:p>
    <w:p w14:paraId="6FD59AC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十、比选会议时间、地点：待定</w:t>
      </w:r>
      <w:r>
        <w:rPr>
          <w:rFonts w:hint="eastAsia" w:ascii="仿宋" w:hAnsi="仿宋" w:eastAsia="仿宋" w:cs="仿宋"/>
          <w:b w:val="0"/>
          <w:bCs w:val="0"/>
          <w:color w:val="auto"/>
          <w:sz w:val="24"/>
          <w:szCs w:val="24"/>
          <w:highlight w:val="none"/>
          <w:lang w:val="en-US" w:eastAsia="zh-CN"/>
        </w:rPr>
        <w:t>（根据医院工作安排开展评审，供应商无需出席比选现场）</w:t>
      </w:r>
      <w:r>
        <w:rPr>
          <w:rFonts w:hint="eastAsia" w:ascii="仿宋" w:hAnsi="仿宋" w:eastAsia="仿宋" w:cs="仿宋"/>
          <w:b/>
          <w:bCs/>
          <w:color w:val="auto"/>
          <w:sz w:val="24"/>
          <w:szCs w:val="24"/>
          <w:highlight w:val="none"/>
        </w:rPr>
        <w:t>。</w:t>
      </w:r>
    </w:p>
    <w:p w14:paraId="307D7A02">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3E3AE264">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43FC838B">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24"/>
        <w:keepNext w:val="0"/>
        <w:keepLines w:val="0"/>
        <w:pageBreakBefore w:val="0"/>
        <w:kinsoku/>
        <w:wordWrap/>
        <w:overflowPunct/>
        <w:topLinePunct w:val="0"/>
        <w:bidi w:val="0"/>
        <w:adjustRightInd w:val="0"/>
        <w:snapToGrid w:val="0"/>
        <w:spacing w:line="360" w:lineRule="exact"/>
        <w:ind w:leftChars="3400" w:firstLine="480" w:firstLineChars="200"/>
        <w:jc w:val="left"/>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lang w:eastAsia="zh-CN"/>
        </w:rPr>
        <w:t>日</w:t>
      </w:r>
    </w:p>
    <w:p w14:paraId="3B75403C">
      <w:pPr>
        <w:pStyle w:val="24"/>
        <w:rPr>
          <w:color w:val="000000"/>
          <w:highlight w:val="none"/>
        </w:rPr>
      </w:pPr>
    </w:p>
    <w:p w14:paraId="523B7E81">
      <w:pPr>
        <w:pStyle w:val="24"/>
        <w:rPr>
          <w:color w:val="000000"/>
          <w:highlight w:val="none"/>
        </w:rPr>
      </w:pPr>
    </w:p>
    <w:p w14:paraId="7B08AE2A">
      <w:pPr>
        <w:pStyle w:val="24"/>
        <w:rPr>
          <w:color w:val="000000"/>
          <w:highlight w:val="none"/>
        </w:rPr>
      </w:pPr>
    </w:p>
    <w:p w14:paraId="763C632D">
      <w:pPr>
        <w:pStyle w:val="24"/>
        <w:rPr>
          <w:color w:val="000000"/>
          <w:highlight w:val="none"/>
        </w:rPr>
      </w:pPr>
    </w:p>
    <w:p w14:paraId="1C8374F1">
      <w:pPr>
        <w:pStyle w:val="24"/>
        <w:rPr>
          <w:color w:val="000000"/>
          <w:highlight w:val="none"/>
        </w:rPr>
      </w:pPr>
    </w:p>
    <w:p w14:paraId="73391BE5">
      <w:pPr>
        <w:pStyle w:val="24"/>
        <w:rPr>
          <w:color w:val="000000"/>
          <w:highlight w:val="none"/>
        </w:rPr>
      </w:pPr>
    </w:p>
    <w:p w14:paraId="74C9205F">
      <w:pPr>
        <w:pStyle w:val="24"/>
        <w:rPr>
          <w:color w:val="000000"/>
          <w:highlight w:val="none"/>
        </w:rPr>
      </w:pPr>
    </w:p>
    <w:p w14:paraId="2CFB9821">
      <w:pPr>
        <w:pStyle w:val="24"/>
        <w:rPr>
          <w:color w:val="000000"/>
          <w:highlight w:val="none"/>
        </w:rPr>
      </w:pPr>
    </w:p>
    <w:p w14:paraId="0E775D1F">
      <w:pPr>
        <w:pStyle w:val="24"/>
        <w:rPr>
          <w:color w:val="000000"/>
          <w:highlight w:val="none"/>
        </w:rPr>
      </w:pPr>
    </w:p>
    <w:p w14:paraId="5D95D69A">
      <w:pPr>
        <w:pStyle w:val="24"/>
        <w:rPr>
          <w:color w:val="000000"/>
          <w:highlight w:val="none"/>
        </w:rPr>
      </w:pPr>
    </w:p>
    <w:p w14:paraId="7B9A53FE">
      <w:pPr>
        <w:pStyle w:val="24"/>
        <w:rPr>
          <w:color w:val="000000"/>
          <w:highlight w:val="none"/>
        </w:rPr>
      </w:pPr>
    </w:p>
    <w:p w14:paraId="4DE491E1">
      <w:pPr>
        <w:pStyle w:val="24"/>
        <w:rPr>
          <w:color w:val="000000"/>
          <w:highlight w:val="none"/>
        </w:rPr>
      </w:pPr>
    </w:p>
    <w:p w14:paraId="2FFC76BA">
      <w:pPr>
        <w:pStyle w:val="24"/>
        <w:rPr>
          <w:color w:val="000000"/>
          <w:highlight w:val="none"/>
        </w:rPr>
      </w:pPr>
    </w:p>
    <w:p w14:paraId="73BF78BD">
      <w:pPr>
        <w:pStyle w:val="24"/>
        <w:rPr>
          <w:color w:val="000000"/>
          <w:highlight w:val="none"/>
        </w:rPr>
      </w:pPr>
    </w:p>
    <w:p w14:paraId="3A79C033">
      <w:pPr>
        <w:pStyle w:val="24"/>
        <w:rPr>
          <w:color w:val="000000"/>
          <w:highlight w:val="none"/>
        </w:rPr>
      </w:pPr>
    </w:p>
    <w:p w14:paraId="2608664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76354916"/>
      <w:bookmarkStart w:id="9" w:name="_Toc50736468"/>
      <w:bookmarkStart w:id="10" w:name="_Toc50691021"/>
      <w:bookmarkStart w:id="11" w:name="_Toc50737320"/>
      <w:bookmarkStart w:id="12" w:name="_Toc50737288"/>
      <w:bookmarkStart w:id="13" w:name="_Toc385939528"/>
      <w:bookmarkStart w:id="14" w:name="_Toc385940869"/>
      <w:bookmarkStart w:id="15" w:name="_Toc417914518"/>
    </w:p>
    <w:p w14:paraId="5ECF1A33">
      <w:pPr>
        <w:rPr>
          <w:rFonts w:hint="eastAsia"/>
        </w:rPr>
      </w:pPr>
    </w:p>
    <w:p w14:paraId="70CA6FA1">
      <w:pPr>
        <w:rPr>
          <w:rFonts w:hint="eastAsia" w:ascii="微软雅黑" w:hAnsi="微软雅黑" w:eastAsia="微软雅黑" w:cs="微软雅黑"/>
          <w:color w:val="000000"/>
          <w:highlight w:val="none"/>
        </w:rPr>
      </w:pPr>
    </w:p>
    <w:p w14:paraId="68121AFE">
      <w:pPr>
        <w:pStyle w:val="5"/>
        <w:rPr>
          <w:rFonts w:hint="eastAsia"/>
        </w:rPr>
      </w:pPr>
    </w:p>
    <w:p w14:paraId="0BC59BB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5CF41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8ADA8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7DAAC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4"/>
        <w:rPr>
          <w:color w:val="000000"/>
          <w:highlight w:val="none"/>
        </w:rPr>
      </w:pPr>
    </w:p>
    <w:p w14:paraId="7B5409AB">
      <w:pPr>
        <w:pStyle w:val="24"/>
        <w:rPr>
          <w:color w:val="000000"/>
          <w:highlight w:val="none"/>
        </w:rPr>
      </w:pPr>
    </w:p>
    <w:p w14:paraId="579A73DC">
      <w:pPr>
        <w:pStyle w:val="24"/>
        <w:rPr>
          <w:color w:val="000000"/>
          <w:highlight w:val="none"/>
        </w:rPr>
      </w:pPr>
    </w:p>
    <w:p w14:paraId="0105CC83">
      <w:pPr>
        <w:pStyle w:val="24"/>
        <w:rPr>
          <w:color w:val="000000"/>
          <w:highlight w:val="none"/>
        </w:rPr>
      </w:pPr>
    </w:p>
    <w:p w14:paraId="0C7D97FD">
      <w:pPr>
        <w:pStyle w:val="24"/>
        <w:rPr>
          <w:color w:val="000000"/>
          <w:highlight w:val="none"/>
        </w:rPr>
      </w:pPr>
    </w:p>
    <w:p w14:paraId="41FB5545">
      <w:pPr>
        <w:pStyle w:val="24"/>
        <w:rPr>
          <w:color w:val="000000"/>
          <w:highlight w:val="none"/>
        </w:rPr>
      </w:pPr>
    </w:p>
    <w:p w14:paraId="5110413C">
      <w:pPr>
        <w:pStyle w:val="24"/>
        <w:rPr>
          <w:color w:val="000000"/>
          <w:highlight w:val="none"/>
        </w:rPr>
      </w:pPr>
    </w:p>
    <w:p w14:paraId="212397A4">
      <w:pPr>
        <w:pStyle w:val="24"/>
        <w:rPr>
          <w:color w:val="000000"/>
          <w:highlight w:val="none"/>
        </w:rPr>
      </w:pPr>
    </w:p>
    <w:p w14:paraId="39ADDE77">
      <w:pPr>
        <w:pStyle w:val="24"/>
        <w:rPr>
          <w:color w:val="000000"/>
          <w:highlight w:val="none"/>
        </w:rPr>
      </w:pPr>
    </w:p>
    <w:p w14:paraId="1E0BE797">
      <w:pPr>
        <w:pStyle w:val="24"/>
        <w:rPr>
          <w:color w:val="000000"/>
          <w:highlight w:val="none"/>
        </w:rPr>
      </w:pPr>
    </w:p>
    <w:p w14:paraId="7E8721E1">
      <w:pPr>
        <w:pStyle w:val="24"/>
        <w:rPr>
          <w:color w:val="000000"/>
          <w:highlight w:val="none"/>
        </w:rPr>
      </w:pPr>
    </w:p>
    <w:p w14:paraId="3F61F534">
      <w:pPr>
        <w:pStyle w:val="24"/>
        <w:rPr>
          <w:color w:val="000000"/>
          <w:highlight w:val="none"/>
        </w:rPr>
      </w:pPr>
    </w:p>
    <w:p w14:paraId="708FE55D">
      <w:pPr>
        <w:pStyle w:val="24"/>
        <w:rPr>
          <w:color w:val="000000"/>
          <w:highlight w:val="none"/>
        </w:rPr>
      </w:pPr>
    </w:p>
    <w:p w14:paraId="05468A54">
      <w:pPr>
        <w:pStyle w:val="24"/>
        <w:rPr>
          <w:color w:val="000000"/>
          <w:highlight w:val="none"/>
        </w:rPr>
      </w:pPr>
    </w:p>
    <w:p w14:paraId="253A6C82">
      <w:pPr>
        <w:pStyle w:val="24"/>
        <w:rPr>
          <w:color w:val="000000"/>
          <w:highlight w:val="none"/>
        </w:rPr>
      </w:pPr>
    </w:p>
    <w:p w14:paraId="7C6DA5A1">
      <w:pPr>
        <w:pStyle w:val="24"/>
        <w:rPr>
          <w:color w:val="000000"/>
          <w:highlight w:val="none"/>
        </w:rPr>
      </w:pPr>
    </w:p>
    <w:p w14:paraId="7FC74A6A">
      <w:pPr>
        <w:pStyle w:val="24"/>
        <w:rPr>
          <w:color w:val="000000"/>
          <w:highlight w:val="none"/>
        </w:rPr>
      </w:pPr>
    </w:p>
    <w:p w14:paraId="4130B247">
      <w:pPr>
        <w:pStyle w:val="24"/>
        <w:rPr>
          <w:color w:val="000000"/>
          <w:highlight w:val="none"/>
        </w:rPr>
      </w:pPr>
    </w:p>
    <w:p w14:paraId="091D03A4">
      <w:pPr>
        <w:pStyle w:val="24"/>
        <w:rPr>
          <w:color w:val="000000"/>
          <w:highlight w:val="none"/>
        </w:rPr>
      </w:pPr>
    </w:p>
    <w:p w14:paraId="5D7CDA4D">
      <w:pPr>
        <w:pStyle w:val="24"/>
        <w:rPr>
          <w:color w:val="000000"/>
          <w:highlight w:val="none"/>
        </w:rPr>
      </w:pPr>
    </w:p>
    <w:p w14:paraId="62D34784">
      <w:pPr>
        <w:pStyle w:val="24"/>
        <w:rPr>
          <w:color w:val="000000"/>
          <w:highlight w:val="none"/>
        </w:rPr>
      </w:pPr>
    </w:p>
    <w:p w14:paraId="253F0BCA">
      <w:pPr>
        <w:pStyle w:val="24"/>
        <w:rPr>
          <w:color w:val="000000"/>
          <w:highlight w:val="none"/>
        </w:rPr>
      </w:pPr>
    </w:p>
    <w:p w14:paraId="3B55D060">
      <w:pPr>
        <w:pStyle w:val="24"/>
        <w:rPr>
          <w:color w:val="000000"/>
          <w:highlight w:val="none"/>
        </w:rPr>
      </w:pPr>
    </w:p>
    <w:p w14:paraId="7BB87EC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9B58D0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7A719BD">
      <w:pPr>
        <w:pStyle w:val="24"/>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bookmarkStart w:id="16" w:name="_Toc385940875"/>
      <w:bookmarkStart w:id="17" w:name="_Toc417914519"/>
      <w:bookmarkStart w:id="18" w:name="_Toc385939529"/>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17"/>
        <w:tblW w:w="36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7"/>
        <w:gridCol w:w="2720"/>
        <w:gridCol w:w="2621"/>
      </w:tblGrid>
      <w:tr w14:paraId="38AE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采购内容</w:t>
            </w:r>
          </w:p>
        </w:tc>
        <w:tc>
          <w:tcPr>
            <w:tcW w:w="1825" w:type="pct"/>
            <w:tcBorders>
              <w:top w:val="single" w:color="000000" w:sz="8" w:space="0"/>
              <w:left w:val="single" w:color="000000" w:sz="8" w:space="0"/>
              <w:bottom w:val="single" w:color="000000" w:sz="8" w:space="0"/>
              <w:right w:val="single" w:color="000000" w:sz="8" w:space="0"/>
            </w:tcBorders>
            <w:shd w:val="clear" w:color="auto" w:fill="auto"/>
            <w:vAlign w:val="top"/>
          </w:tcPr>
          <w:p w14:paraId="04303CA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shd w:val="clear" w:color="auto" w:fill="auto"/>
            <w:vAlign w:val="top"/>
          </w:tcPr>
          <w:p w14:paraId="354D3F4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采购预算（最高限价）</w:t>
            </w:r>
          </w:p>
        </w:tc>
      </w:tr>
      <w:tr w14:paraId="58A1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1414" w:type="pct"/>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color w:val="auto"/>
                <w:sz w:val="24"/>
                <w:szCs w:val="24"/>
                <w:highlight w:val="none"/>
                <w:vertAlign w:val="baseline"/>
              </w:rPr>
              <w:t>北院区检验科、南院区逸仙楼四楼消毒供应中心空调系统升级改造服务</w:t>
            </w:r>
          </w:p>
        </w:tc>
        <w:tc>
          <w:tcPr>
            <w:tcW w:w="1825" w:type="pct"/>
            <w:tcBorders>
              <w:top w:val="nil"/>
              <w:left w:val="single" w:color="000000" w:sz="8" w:space="0"/>
              <w:bottom w:val="single" w:color="000000" w:sz="8" w:space="0"/>
              <w:right w:val="single" w:color="000000" w:sz="8" w:space="0"/>
            </w:tcBorders>
            <w:shd w:val="clear" w:color="auto" w:fill="auto"/>
            <w:vAlign w:val="center"/>
          </w:tcPr>
          <w:p w14:paraId="796A6B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color w:val="auto"/>
                <w:sz w:val="24"/>
                <w:szCs w:val="24"/>
                <w:highlight w:val="none"/>
                <w:lang w:eastAsia="zh-CN"/>
              </w:rPr>
              <w:t>北院区检验科、南院区逸仙楼四楼消毒供应中心空调系统升级改造服务的时间，分别自</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通知之日起按45日计算。施工工作可能同时开展，也可能先后分别进行</w:t>
            </w:r>
          </w:p>
        </w:tc>
        <w:tc>
          <w:tcPr>
            <w:tcW w:w="1759" w:type="pct"/>
            <w:tcBorders>
              <w:top w:val="nil"/>
              <w:left w:val="single" w:color="000000" w:sz="8" w:space="0"/>
              <w:bottom w:val="single" w:color="000000" w:sz="8" w:space="0"/>
              <w:right w:val="single" w:color="000000" w:sz="8" w:space="0"/>
            </w:tcBorders>
            <w:shd w:val="clear" w:color="auto" w:fill="auto"/>
            <w:vAlign w:val="center"/>
          </w:tcPr>
          <w:p w14:paraId="390AB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人民币836204.22元</w:t>
            </w:r>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BCBBFD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6DFB94B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1.项目概况</w:t>
      </w:r>
    </w:p>
    <w:p w14:paraId="7E69D9D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采购内容为中山大学孙逸仙纪念医院北院区检验科、南院区逸仙楼四楼消毒供应中心空调系统升级改造服务采购，要求供应商的货物必须是合格的、未曾使用过的全新产品，所采用的材料优良、质量上乘，原材料、辅料、成品均须符合相应的国家标准和行业标准，要求美观、牢固、耐用。空调机组要符合国家节能产品要求，能效等级需达到一级。</w:t>
      </w:r>
    </w:p>
    <w:p w14:paraId="5EE9123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2.设备清单、单价最高限价及安装要求</w:t>
      </w:r>
    </w:p>
    <w:tbl>
      <w:tblPr>
        <w:tblStyle w:val="17"/>
        <w:tblW w:w="10943" w:type="dxa"/>
        <w:tblInd w:w="-3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1500"/>
        <w:gridCol w:w="2332"/>
        <w:gridCol w:w="618"/>
        <w:gridCol w:w="575"/>
        <w:gridCol w:w="1212"/>
        <w:gridCol w:w="1413"/>
        <w:gridCol w:w="2825"/>
      </w:tblGrid>
      <w:tr w14:paraId="2E3A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45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9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名称</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0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单位</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B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B6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单价限价（元）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D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小计（元）</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0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品牌/项目说明</w:t>
            </w:r>
          </w:p>
        </w:tc>
      </w:tr>
      <w:tr w14:paraId="2FBD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1B07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一、北院区检验科中央空调系统升级改造服务</w:t>
            </w:r>
          </w:p>
        </w:tc>
      </w:tr>
      <w:tr w14:paraId="54BE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1C7D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一楼设备部分</w:t>
            </w:r>
          </w:p>
        </w:tc>
      </w:tr>
      <w:tr w14:paraId="6470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E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A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A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A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7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80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30441.80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5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30441.80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F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D13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8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9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35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DC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16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25538.66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B9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25538.66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E5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748E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66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D5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F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0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D8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087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2938.93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B4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23511.44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B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DAE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C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E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1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4E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937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3083.37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F6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3083.37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08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2DB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1B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24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88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详见“四、设备主要技术参数要求”序号15的技术要求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D0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DB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0A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3501.75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5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3501.75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6227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1B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A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E6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详见“四、设备主要技术参数要求”序号6的技术要求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4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4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8DD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2488.63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72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4977.26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9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BCB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87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4B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详见“四、设备主要技术参数要求”序号8的技术要求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DB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3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3B5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2871.67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AF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5743.34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D7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247E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C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4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1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F4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3C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BF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24135.54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8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A31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8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F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46C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A0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18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52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E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C26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FFDF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一楼安装材料部分</w:t>
            </w:r>
          </w:p>
        </w:tc>
      </w:tr>
      <w:tr w14:paraId="7179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7B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45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F6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01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4E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6DF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8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3512.30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5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6FE7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C8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72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97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F6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E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6AB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F2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5674.68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46B3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CD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E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2E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Φ19.05(保温厚：19mm）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C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D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10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9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3005.28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6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51DA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8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7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E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Φ31.8(保温厚：19mm）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A0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CB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4B1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151.85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CD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2429.60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EE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7D23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8A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E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BE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6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CD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DB4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CC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7032.60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D0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6FC5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80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45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14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3B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A4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D2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1564.50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5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20A0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6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F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EF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9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8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7F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82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1894.20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8D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B2C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27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F2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镀锌线槽</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5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120×100mm（桥架）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86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7F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DD7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110.40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E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5520.00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F2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F2A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42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CB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配电箱</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4B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含控制面板、智控装置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1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2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14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2718.19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47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2718.19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58E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378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67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68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空气开关等元器件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含漏保、空开、保险</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00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92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D1A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200.16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3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200.16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正泰或同等级别品牌</w:t>
            </w:r>
          </w:p>
        </w:tc>
      </w:tr>
      <w:tr w14:paraId="15BF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DF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4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8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4B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0B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D2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B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AA1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A78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1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A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528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72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5EC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2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1669.20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53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20E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0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0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202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2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2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D8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1915.20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F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AE7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8A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C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B9D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DA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A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216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4C0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98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31987.44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4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DCA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16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95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63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71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3B5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251.33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251.33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B2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C17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07D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二楼设备部分</w:t>
            </w:r>
          </w:p>
        </w:tc>
      </w:tr>
      <w:tr w14:paraId="5271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FD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1F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6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C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C6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D8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31833.74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4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31833.74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EC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A22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F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8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AB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51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304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2938.93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11755.72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F9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7663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5C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44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A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2D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96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01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3010.75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0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6021.50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A6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EB5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E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62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E1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详见“四、设备主要技术参数要求”序号7的技术要求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2A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A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760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2595.45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E6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2595.45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3D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DC3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5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CA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9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91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E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99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1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24135.54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0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69E0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4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0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348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6D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AFC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65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3869.32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99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187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FF7C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二楼安装材料部分</w:t>
            </w:r>
          </w:p>
        </w:tc>
      </w:tr>
      <w:tr w14:paraId="12AB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6F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E4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F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63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526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8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2267.03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A6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6230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12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9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15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8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9D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A00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61.00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7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3660.00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E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1897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57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DC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00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54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B8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E3D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E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1468.28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C3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4D17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C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3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BD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79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62B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EA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D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25BC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8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A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4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59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B1E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2E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6251.20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1C22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D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A0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8E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A3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0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260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90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1341.00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78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A3B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FE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72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8D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E0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1A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9D4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06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1725.00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6A6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5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9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85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350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90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146.12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C73">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6B3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DD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2F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44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E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4A5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F7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1084.98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AE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701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7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8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D3A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A1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58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4A3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2E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1504.80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93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029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5A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D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064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DA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1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179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D99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3D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26508.11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CEC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AE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8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912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28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73B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223.43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7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223.43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4B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074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47DB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三楼设备部分</w:t>
            </w:r>
          </w:p>
        </w:tc>
      </w:tr>
      <w:tr w14:paraId="5C21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D8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D7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详见“四、设备主要技术参数要求”序号4的技术要求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CA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C5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857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35675.54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B3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35675.54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E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D1B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3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55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E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F8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F6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2D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2948.85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5B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2948.85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9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AA8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6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8E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D9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8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0F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F02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3010.75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18064.50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87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9A4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E0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03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92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详见“四、设备主要技术参数要求”序号14的技术要求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49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9C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E9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3434.83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07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13739.32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0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CB7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33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12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B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74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04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74C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3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8045.18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E5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DDA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0A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B7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详见“四、设备主要技术参数要求”序号10的技术要求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A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98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D91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4119.49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82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8238.98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496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45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5B5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0E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4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44C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D5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4464.60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A8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73A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C13F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三楼安装材料部分</w:t>
            </w:r>
          </w:p>
        </w:tc>
      </w:tr>
      <w:tr w14:paraId="6669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9E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B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64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B3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5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77</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0D0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46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2458.61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5F2C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5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8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8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3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8B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4D2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61.00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B6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4209.00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38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F13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53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BD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E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3D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78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4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2202.42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AB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995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58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B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BE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A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B12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6A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2401.60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D0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97B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6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01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A5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C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E20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D6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6563.76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0A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1332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25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D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07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11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F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574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2F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1385.70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10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109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99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D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41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23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C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69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7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1782.50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04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0EE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9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24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5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9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6F6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9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168.60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7D0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6D5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A8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56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23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C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EE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529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90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1168.44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C3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91C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EC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6B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6F2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0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0F1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C5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1641.60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B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2F0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9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56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3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CC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E2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9E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27989.01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92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E86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4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户外栅栏</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6EB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56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616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148.20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6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8892.00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4C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4DC2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B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25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A1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5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7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E0F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234.60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8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234.60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B1E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89B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7201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二、南院区逸仙楼四楼消毒供应中心空调系统升级改造服务</w:t>
            </w:r>
          </w:p>
        </w:tc>
      </w:tr>
      <w:tr w14:paraId="4F3B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2225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（一）恒温恒湿空调系统改造</w:t>
            </w:r>
          </w:p>
        </w:tc>
      </w:tr>
      <w:tr w14:paraId="74E8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69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D5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3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989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7B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3F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46CC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1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1B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9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16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2B3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55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CD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72D3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6F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0E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1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9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E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F6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8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F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0F7E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74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C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12匹蒸发器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6E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定制表冷器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AF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1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2CF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9057.74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4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18115.48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9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英创或同等级别品牌</w:t>
            </w:r>
          </w:p>
        </w:tc>
      </w:tr>
      <w:tr w14:paraId="19A4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68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5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6匹室外外机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4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制冷量≥14000W</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F5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9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FE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9239.30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9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36957.20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英创或同等级别品牌</w:t>
            </w:r>
          </w:p>
        </w:tc>
      </w:tr>
      <w:tr w14:paraId="4516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61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8D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33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Φ9.52(厚：19mm）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D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B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00E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49.70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63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3081.40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246B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7F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A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7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Φ15.9(厚：19mm）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0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9E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8B6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54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4137.88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C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74C4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76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DE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冷凝水管(PVC)及保温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91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DN32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77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15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C3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3F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781.40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D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3B5C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DA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2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室内电源</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5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F2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D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75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E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157.08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4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1DF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CE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DB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主机电源</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A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4*6mm2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01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A3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A47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6.22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36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186.60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1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525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B3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A0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A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9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D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DAA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A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169.48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D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829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3F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6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9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B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86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38C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C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F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D7C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7C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A4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B4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含漏保、继电器、熔断开关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6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21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0E7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7A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EA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34FC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AD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制冷系统补加冷媒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4F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R410A</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A2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5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A3A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2D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4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DE8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84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DB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10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6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04A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6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41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675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70D2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（二）室内二次新风除湿系统改造</w:t>
            </w:r>
          </w:p>
        </w:tc>
      </w:tr>
      <w:tr w14:paraId="7F6C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75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D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多联机空调主机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C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0B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6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B88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35560.32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F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35560.32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FD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5F8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室内二次除湿风管机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59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制冷能力≥25000W</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77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2A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7A3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8897.71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10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17795.42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C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1F7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43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B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47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线控</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3D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1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D2A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F9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7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2A9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4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D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镀锌风管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800*1200cm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8E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8C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34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140.21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0F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5468.19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B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200A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49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90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橡塑保温板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5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φ29</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C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F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224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434.32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A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16938.48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D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福乐斯或同等级别品牌</w:t>
            </w:r>
          </w:p>
        </w:tc>
      </w:tr>
      <w:tr w14:paraId="0ECE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0F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08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回风口</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BC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8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3EA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C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136.58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AB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1BCD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06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送风口</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05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C0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AF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136.58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FF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6E60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36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C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原管道改造修复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A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水管、线管、冷冻管</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8B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E8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79E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53.89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2E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1401.14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939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07F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D2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FC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原风道改造修复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C2B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D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2E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26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694.76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CF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20842.80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3BB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4F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A0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C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5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4A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1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C0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A3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2135.68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CE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4721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BD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E4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8B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3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44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419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2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4044.80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CD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4CC1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17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6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冷凝水管(PVC)及保温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EF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6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3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679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70.49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704.90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6E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185E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3C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E5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分歧管(2分歧)</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6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Φ15.9(厚：19mm）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5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AF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1E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197.58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2E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197.58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27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6498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3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C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系统补加冷媒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B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R410A</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27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1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F9A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5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615.60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71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F8D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2D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9D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风压调节控制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ABS阻燃VAV变量调节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73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25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AB5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1069.97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EF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1069.97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0A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057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EC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模块并联组件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B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大功率开关SC</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3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9BD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4712.94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9425.88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0B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SCN</w:t>
            </w:r>
          </w:p>
        </w:tc>
      </w:tr>
      <w:tr w14:paraId="333D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0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7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配电箱</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2E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含漏保、继电器、熔断开关、智控装置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5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23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00C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3856.24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F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3856.24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2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含智控装置</w:t>
            </w:r>
          </w:p>
        </w:tc>
      </w:tr>
      <w:tr w14:paraId="3BBB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9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D4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空气开关等元器件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6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触摸控制仪</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F0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30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320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879.67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C8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879.67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774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2236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6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6A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2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2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CA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806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303.96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3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9AD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5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38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A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36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1E2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D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18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1C3A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C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室内电源线 </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3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6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1D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BA0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76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224.40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F1F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0C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83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室外电源线 </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9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WDZ-YJV 4*25+1*25mm2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0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84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96.18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9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7213.50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B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14A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0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7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PVC电线管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B0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DN25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51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D6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27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97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1635.70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0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F3F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C8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C9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配电金属软管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B8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ф32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60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FE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87F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71.82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B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574.56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B6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4F8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F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13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镀锌线槽</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0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120×100mm（桥架）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97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76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C70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110.41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5B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2870.66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F3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656B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0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5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95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7C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85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D6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49.08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E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49.08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2C8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F02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4551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（三）智控系统改造</w:t>
            </w:r>
          </w:p>
        </w:tc>
      </w:tr>
      <w:tr w14:paraId="5D27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C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控制技术工艺检测</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9E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程序检测工况（运营软硬件工作状态）</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D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9DE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2358.98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B3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9435.92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821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22B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98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D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单联情报面板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C65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6E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5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833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4142.94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77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8285.88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F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4D26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39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E7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远程10触摸屏监控系统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2D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4F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555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15113.39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4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15113.39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1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50B6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45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7D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旧控制箱现场程序升级</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93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含技术、材料</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E3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2A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DFD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5665.19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1A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22660.76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3C4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7A3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48E4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（四）室内天花内保温更换以及空气湿度处理</w:t>
            </w:r>
          </w:p>
        </w:tc>
      </w:tr>
      <w:tr w14:paraId="5873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6C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A1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天花内吊顶除湿机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128L/D除湿</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54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9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79B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4652.39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3E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18609.56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83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工业商用</w:t>
            </w:r>
          </w:p>
        </w:tc>
      </w:tr>
      <w:tr w14:paraId="4709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11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77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除湿机电源线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7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E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24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350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97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336.60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C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26F5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77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06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9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3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25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1C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44.96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E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59A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2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D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除湿机排水系统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53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DN32（含保温）</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6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1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6C8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54.12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09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7685.04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F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63BC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7D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1B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除湿机排风系统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4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φ300通风管件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3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0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5B1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813.19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6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3252.76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0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现场制作</w:t>
            </w:r>
          </w:p>
        </w:tc>
      </w:tr>
      <w:tr w14:paraId="7E7C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1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9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漏水系统排查</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A9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测漏仪</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B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DE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3A7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5459.22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0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5459.22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30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含人工、仪器</w:t>
            </w:r>
          </w:p>
        </w:tc>
      </w:tr>
      <w:tr w14:paraId="59D8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27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原空调保温拆除</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6B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天花内施工</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DA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5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D8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17.84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58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1355.84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0A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323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D3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D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水管除锈喷粉</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4B0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03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8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26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32.48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8B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2468.48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F8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D9B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B1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B4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楼面开孔及修复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EA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管井水钻</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36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65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CD3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1282.04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1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6410.20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5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F10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99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7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室外机散热通风改造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通风百叶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61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AE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3BF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9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341.45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C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829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4F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F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69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CD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30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2D4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3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198.29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07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9A6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7FC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项目总限价</w:t>
            </w:r>
          </w:p>
        </w:tc>
        <w:tc>
          <w:tcPr>
            <w:tcW w:w="4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8DE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836204.22</w:t>
            </w:r>
          </w:p>
        </w:tc>
      </w:tr>
    </w:tbl>
    <w:p w14:paraId="3DBE1E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3.供应商必须承诺提供厂商原装全新、型号、性能及指标符合国家及比选文件提出的有关技术、质量、安全标准、要求的货物，序列号、包装箱号与出厂批号一致，并可追索查阅。</w:t>
      </w:r>
    </w:p>
    <w:p w14:paraId="1B3928F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4.所投货物必须符合国家质量检测标准和专业设备检测标准。</w:t>
      </w:r>
    </w:p>
    <w:p w14:paraId="21648E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5.设备包装均应有良好的防湿、防锈、防潮、防雨、防腐及防碰撞的措施。凡由于包装不良造成的损失和由此产生的费用均由供应商承担。</w:t>
      </w:r>
    </w:p>
    <w:p w14:paraId="33EF464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6.若供应商报名响应时所采用的设备如在实际供货时已经废型（不列入该厂家当时的产品系统），则在供货时应使用该厂家的最新产品提供给采购人，其性能指标不得低于所投设备，并且价格不变。</w:t>
      </w:r>
    </w:p>
    <w:p w14:paraId="146A713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★7.供应商应确保设备及所有配套件的完整性和可靠性。对于比选文件没有列出但对维持该设备的正常运行及维护必不可少的部件、配件等，供应商有责任给予补充。</w:t>
      </w:r>
    </w:p>
    <w:p w14:paraId="03C0977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8.供应商应将关键材料设备的质量合格证明文件、检测报告、产品质量认证或生产许可证及配备件、随机工具等交付给采购人，使用操作及安全须知等重要资料应附有中文说明。</w:t>
      </w:r>
    </w:p>
    <w:p w14:paraId="70CFF1C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三、施工要求</w:t>
      </w:r>
    </w:p>
    <w:p w14:paraId="41F0636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本项目涉及施工，因本项目服务地点位于医院公共区域内，因此供应商须严格遵守以下约定：</w:t>
      </w:r>
    </w:p>
    <w:p w14:paraId="0194AA6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1．采用预约施工形式，施工前应当与主管职能部门和相关区域所在科室商议好施工时间才可开展，不得在未经允许的时间段内施工。</w:t>
      </w:r>
    </w:p>
    <w:p w14:paraId="6BE46A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2．施工期间，供应商须做好设备吊装搬运与电梯使用的保护、场地的围蔽与地面墙身保护工作，每次施工完毕后需清理施工现场，不得影响医院业务正常运作。</w:t>
      </w:r>
    </w:p>
    <w:p w14:paraId="7AD738C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3．供应商所提供的所有设备、材料均应符合国标的优质产品。安装前，需会同采购人相关管理人员共同校对配件的品牌、产地、规格、数量后方可安装。</w:t>
      </w:r>
    </w:p>
    <w:p w14:paraId="753DD29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须严格按照施工规范开展安全文明施工，应严格按国家相关法律、法规及采购人相关规定采取必要的安全防护措施。供应商人员须具备开展相应工作的资质或资格。如在施工过程中发生责任事故，或因操作不当引起意外的，由供应商负一切责任。</w:t>
      </w:r>
    </w:p>
    <w:p w14:paraId="18519EC8">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四、设备主要技术参数要求</w:t>
      </w:r>
    </w:p>
    <w:tbl>
      <w:tblPr>
        <w:tblStyle w:val="17"/>
        <w:tblW w:w="7599" w:type="dxa"/>
        <w:jc w:val="center"/>
        <w:tblLayout w:type="fixed"/>
        <w:tblCellMar>
          <w:top w:w="0" w:type="dxa"/>
          <w:left w:w="108" w:type="dxa"/>
          <w:bottom w:w="0" w:type="dxa"/>
          <w:right w:w="108" w:type="dxa"/>
        </w:tblCellMar>
      </w:tblPr>
      <w:tblGrid>
        <w:gridCol w:w="774"/>
        <w:gridCol w:w="2349"/>
        <w:gridCol w:w="4476"/>
      </w:tblGrid>
      <w:tr w14:paraId="79DCE2B8">
        <w:tblPrEx>
          <w:tblCellMar>
            <w:top w:w="0" w:type="dxa"/>
            <w:left w:w="108" w:type="dxa"/>
            <w:bottom w:w="0" w:type="dxa"/>
            <w:right w:w="108" w:type="dxa"/>
          </w:tblCellMar>
        </w:tblPrEx>
        <w:trPr>
          <w:trHeight w:val="23" w:hRule="atLeast"/>
          <w:tblHeade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2F1A5A2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eastAsia="zh-CN"/>
              </w:rPr>
              <w:t>序号</w:t>
            </w:r>
          </w:p>
        </w:tc>
        <w:tc>
          <w:tcPr>
            <w:tcW w:w="2349"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08C1CD49">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设备</w:t>
            </w:r>
            <w:r>
              <w:rPr>
                <w:rFonts w:hint="eastAsia" w:ascii="仿宋" w:hAnsi="仿宋" w:eastAsia="仿宋" w:cs="仿宋"/>
                <w:b/>
                <w:bCs w:val="0"/>
                <w:color w:val="000000"/>
                <w:sz w:val="24"/>
                <w:szCs w:val="24"/>
                <w:highlight w:val="none"/>
                <w:lang w:eastAsia="zh-CN"/>
              </w:rPr>
              <w:t>名称</w:t>
            </w:r>
          </w:p>
        </w:tc>
        <w:tc>
          <w:tcPr>
            <w:tcW w:w="4476"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44CABD12">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eastAsia="zh-CN"/>
              </w:rPr>
              <w:t>技术要求</w:t>
            </w:r>
          </w:p>
        </w:tc>
      </w:tr>
      <w:tr w14:paraId="0780D3B5">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03D9D05C">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6A340CB5">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8E69CA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制热量≥37.5kW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制冷耗电量≤8.05kW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风量≥13500m³/h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噪音≤59dB(A)</w:t>
            </w:r>
          </w:p>
        </w:tc>
      </w:tr>
      <w:tr w14:paraId="66418CC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3F8F1E4">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12962F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5858995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制冷耗电量≤9.85kW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风量≥18000m³/h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噪音≤59dB(A)</w:t>
            </w:r>
          </w:p>
        </w:tc>
      </w:tr>
      <w:tr w14:paraId="249BEEC2">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69BB9A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C137AA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67450A3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制冷量≥50.4kW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制热量≥56.5kW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制冷耗电量≤12.75kW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风量≥19000m³/h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噪音≤60dB(A)</w:t>
            </w:r>
          </w:p>
        </w:tc>
      </w:tr>
      <w:tr w14:paraId="797F620C">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0929E2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2B46865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0BE265A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制热量≥63kW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制冷耗电量≤14.6kW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风量≥19000m³/h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噪音≤60dB(A)</w:t>
            </w:r>
          </w:p>
        </w:tc>
      </w:tr>
      <w:tr w14:paraId="42830171">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6DFCA3A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580C5F4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1F24AE8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制冷量≥2.8kW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制冷耗电量≤0.016kW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风量≥520m³/h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噪音≤30dB(A)</w:t>
            </w:r>
          </w:p>
        </w:tc>
      </w:tr>
      <w:tr w14:paraId="4911563F">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AD05C2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4D8BA07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898752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风量≥670m³/h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r w14:paraId="66782889">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0AF32C6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09B7DE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1037671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风量≥670m³/h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r w14:paraId="1160C249">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2E362C9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590057CD">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40F86A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风量≥780m³/h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噪音≤39dB(A)</w:t>
            </w:r>
          </w:p>
        </w:tc>
      </w:tr>
      <w:tr w14:paraId="1A84FB1B">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388C99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6168983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95DDC5A">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制热量≥6.3kW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风量≥780m³/h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噪音≤39dB(A)</w:t>
            </w:r>
          </w:p>
        </w:tc>
      </w:tr>
      <w:tr w14:paraId="31C82D26">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89DAEA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01F3FA14">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3DDFAFAC">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制冷量≥7.1kW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制热量≥8.0kW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风量≥910m³/h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噪音≤43dB(A)</w:t>
            </w:r>
          </w:p>
        </w:tc>
      </w:tr>
      <w:tr w14:paraId="2C12860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E1F59B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1</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45E7B13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25DEE65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制热量≥2.6kW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噪音≤30dB(A)</w:t>
            </w:r>
          </w:p>
        </w:tc>
      </w:tr>
      <w:tr w14:paraId="7B2F5A61">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E70223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2</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72CB18F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073F5E60">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制冷量≥2.8kW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噪音≤31dB(A)</w:t>
            </w:r>
          </w:p>
        </w:tc>
      </w:tr>
      <w:tr w14:paraId="7153263E">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6335003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3</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3A78F2C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8981972">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噪音≤33dB(A)</w:t>
            </w:r>
          </w:p>
        </w:tc>
      </w:tr>
      <w:tr w14:paraId="3D86BBF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F40188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4</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04674F0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3F989FE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噪音≤34dB(A)</w:t>
            </w:r>
          </w:p>
        </w:tc>
      </w:tr>
      <w:tr w14:paraId="0E2D3E0A">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90D706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5</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521012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9250790">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风量≥800m³/h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bl>
    <w:p w14:paraId="0A7BD4F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★本项目所涉及的</w:t>
      </w:r>
      <w:r>
        <w:rPr>
          <w:rFonts w:hint="eastAsia" w:ascii="仿宋" w:hAnsi="仿宋" w:eastAsia="仿宋" w:cs="仿宋"/>
          <w:b w:val="0"/>
          <w:bCs/>
          <w:color w:val="000000"/>
          <w:sz w:val="24"/>
          <w:szCs w:val="24"/>
          <w:highlight w:val="none"/>
          <w:lang w:val="en-US" w:eastAsia="zh-CN"/>
        </w:rPr>
        <w:t>多联式室外机以及出风嵌入机，均归属于多联式空调（热泵）机组（制冷量＞14000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属于节能产品政府采购品目清单中的强制采购品目产品。供应商需提供由国家确定的认证机构出具的、处于有效期限内的节能产品认证证书（复印件应加盖供应商公章），若未能提供，将按无效响应处理。认证机构以中国政府采购网最新公布的《市场监管总局关于发布参与实施政府采购节能产品、环境标志产品认证机构名录的公告》中所列机构为准。</w:t>
      </w:r>
    </w:p>
    <w:p w14:paraId="4F2ADE0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供应商所响应本项目的多联机产品的压缩机需采用喷气增焓压缩机，并且采用环保冷媒R410A。</w:t>
      </w:r>
    </w:p>
    <w:p w14:paraId="4708852B">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3．</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供应商提供的设备应适应采购人所在地的气象条件，且能够在采购人所在地的极端天气状况下，室外机应确保正常运行。</w:t>
      </w:r>
    </w:p>
    <w:p w14:paraId="2B588C85">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4．</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室外机需具备静音运转功能，夜间可启动静音运转，以降低室外机的运转噪音。</w:t>
      </w:r>
    </w:p>
    <w:p w14:paraId="1F06D17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5．</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室外机电脑控制板采用SMT封固技术，保护电脑主板不受风沙及高湿天气影响。</w:t>
      </w:r>
    </w:p>
    <w:p w14:paraId="2827620E">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6．</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停电再启动功能，遇到意外断电情况，系统记录运行前的运转模式，待电源恢复后，系统自动恢复至断电前状态。</w:t>
      </w:r>
    </w:p>
    <w:p w14:paraId="4F8EE303">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7．</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▲电控电路中增加放电管以及压敏电阻设计，可在机组发生雷击时有效吸收瞬间较高的雷击电压，保护电路后端重要电器部件免受损失。</w:t>
      </w:r>
    </w:p>
    <w:p w14:paraId="52D7FB47">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8．</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多联式室外机应采用一体式四面热交换器，提高系统的换热效率。 </w:t>
      </w:r>
    </w:p>
    <w:p w14:paraId="5A76CFB6">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9．</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机组控制器及通讯线应为安全特低电压供电，与强电间应有安全隔离变压器且符合加强绝缘要求。</w:t>
      </w:r>
    </w:p>
    <w:p w14:paraId="2F83F4F7">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▲为保证多联机设备使用效果及延长使用寿命，所投设备具有自动除尘高温除菌清洁功能。</w:t>
      </w:r>
    </w:p>
    <w:p w14:paraId="10941779">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多联式室内机应具有智能风量调节技术，当空调的进、出风口滤网或风道被堵塞时，机器可依据检测到的静压变化来自动调节电机转速，维持空调出风风量恒定，不影响制冷或制热效果。</w:t>
      </w:r>
    </w:p>
    <w:p w14:paraId="6F5DBCF8">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为保障多联式空调机组使用过程中电器部件节能高效，所投多联机室外机具备应机组应采用高效直流变速电机，电机可实现无级变频调节。</w:t>
      </w:r>
    </w:p>
    <w:p w14:paraId="4A3E6CAA">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13．</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为保障机组使用过程中电器部件节能高效，所投多联式室外机应采用高效直流变速电机，电机可实现无级变频调节，且电机效率应不低于88%。（响应文件中须提供具备CMA或CNAS认证的第三方检测机构出具的检测报告扫描件或复印件） </w:t>
      </w:r>
    </w:p>
    <w:p w14:paraId="7EC42DAA">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14．</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▲为确保多联式空调机组在使用过程中系统设计具备高效性，要求所投产品在设计时考虑采取有效降低系统低压侧压力损失的措施，以提升机组的能源利用效率。</w:t>
      </w:r>
    </w:p>
    <w:p w14:paraId="4E1F671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15．</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所投多联式室外机采用多组换热器设计方案，通过多电子膨胀阀控制，使得系统保持合适的压力，增加系统运行稳定性。</w:t>
      </w:r>
    </w:p>
    <w:p w14:paraId="6A5646F5">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16．</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机组具备恒温抑霜功能：在高湿度环境下，启用恒温抑霜模式时，机组周期制热量能够提升幅度达5%以上；在低湿度环境下，启用恒温抑霜模式时，除霜周期延长幅度能够达10%以上，可实现良好的制热效果。（响应文件中须提供具备CMA或CNAS认证的第三方检测机构出具的检测报告扫描件或复印件） </w:t>
      </w:r>
    </w:p>
    <w:p w14:paraId="52583E59">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17．</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为体现多联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机组节能性，所投多联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机组的最大全年性能系数APF值≥5.5。</w:t>
      </w:r>
    </w:p>
    <w:p w14:paraId="75FBCD73">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18．</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所投变频多联空调机组具有通信实时可靠性一级、内机断电通信、断电控阀、通信线任意拓扑能力。</w:t>
      </w:r>
    </w:p>
    <w:p w14:paraId="603B9102">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default"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五、商务要求</w:t>
      </w:r>
    </w:p>
    <w:p w14:paraId="3E2292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1.运输及保管、保险</w:t>
      </w:r>
    </w:p>
    <w:p w14:paraId="49412FF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(1)供应商负责根据各设备或系统不同的安装地点，负责将设备材料送到指定现场过程中的全部运输：包括装卸车、货物现场的搬运、设备或系统的安装、调试等。</w:t>
      </w:r>
    </w:p>
    <w:p w14:paraId="0A4B76D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(2)各种设备必须提供装箱清单，按装箱清单验收货物。</w:t>
      </w:r>
    </w:p>
    <w:p w14:paraId="5C09B14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(3)设备在现场的保管由供应商负责，直至项目安装、验收完毕。</w:t>
      </w:r>
    </w:p>
    <w:p w14:paraId="54440DC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(4)设备在安装调试验收合格前的保险由供应商负责，供应商负责其派出的现场服务人员人身意外保险。</w:t>
      </w:r>
    </w:p>
    <w:p w14:paraId="5E256CB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2.安装调试：</w:t>
      </w:r>
    </w:p>
    <w:p w14:paraId="183975A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(1)安装：供应商负责到安装地点进行安装调试。供应商应提交详细安装进度表，设安装负责人，负责安装协调管理工作。</w:t>
      </w:r>
    </w:p>
    <w:p w14:paraId="027610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(2)供应商必须按计划安排，派出恰当的技术人员到安装现场安装和负责调试工作（该项服务包含在响应报价内）。</w:t>
      </w:r>
    </w:p>
    <w:p w14:paraId="3346611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调试：按国家相关施工验收规范进行，分阶段进行调试。设备的拆箱、安装、通电、调试等各项工作由供应商负责，但必须在采购人指定人员的参与下进行。调试的原始记录须经各方签字后作为验收的文件之一。</w:t>
      </w:r>
    </w:p>
    <w:p w14:paraId="4FD6C20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eastAsia="宋体"/>
          <w:lang w:eastAsia="zh-CN"/>
        </w:rPr>
      </w:pPr>
      <w:r>
        <w:rPr>
          <w:rFonts w:hint="eastAsia" w:ascii="仿宋" w:hAnsi="仿宋" w:eastAsia="仿宋" w:cs="仿宋"/>
          <w:b w:val="0"/>
          <w:bCs/>
          <w:color w:val="000000"/>
          <w:sz w:val="24"/>
          <w:szCs w:val="24"/>
          <w:highlight w:val="none"/>
          <w:lang w:val="en-US" w:eastAsia="zh-CN"/>
        </w:rPr>
        <w:t xml:space="preserve">3.服务时间要求：自合同签订后，应在采购人发出通知之日起45日内，完成设备的供货、安装、调试及验收工作，并将设备交付采购人投入正常使用。北院区检验科、南院区逸仙楼四楼消毒供应中心空调系统升级改造服务的时间，分别自采购人通知之日起按45日计算。施工工作可能同时开展，也可能先后分别进行。 </w:t>
      </w:r>
    </w:p>
    <w:p w14:paraId="53B3950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4.售后服务</w:t>
      </w:r>
    </w:p>
    <w:p w14:paraId="2743E51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合同设备质保期为2年，自设备验收合格并交付使用之日起算。</w:t>
      </w:r>
    </w:p>
    <w:p w14:paraId="1CDC1F0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质保期内非因采购人人为原因而出现产品质量及安装问题，由供应商负责包修、包换或包退，供应商承担因此而产生的一切费用。供应商应在收到采购人通知后1小时内响应，2小时内派员到现场维修(技术要求另有规定除外)，8小时内处理完毕。如在12小时内无法处理完毕，供应商应提供合理解决方案，否则采购人有权委托第三方机构及时处理，因此发生的一切费用由供应商承担。  </w:t>
      </w:r>
    </w:p>
    <w:p w14:paraId="5312412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质保期后，供应商对合同设备提供终身保修服务，如需更换零配件，供应商只能收取零配件费。</w:t>
      </w:r>
    </w:p>
    <w:p w14:paraId="7F9C184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5.培训要求</w:t>
      </w:r>
    </w:p>
    <w:p w14:paraId="4ED6B9C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为了使得采购人指定的员工熟练操作设备，保证设备良好运作，供应商应当提供培训服务计划，包括设备的基本结构、性能、主要部件的构造及原理、设备日常使用操作、保养维护与管理，常见故障的排除，紧急情况的处理等。培训地点、人数、时间由双方协商安排。（该项服务包含在响应报价内）</w:t>
      </w:r>
    </w:p>
    <w:p w14:paraId="4BCAB52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sz w:val="24"/>
          <w:szCs w:val="24"/>
          <w:highlight w:val="none"/>
          <w:lang w:eastAsia="zh-CN"/>
        </w:rPr>
        <w:t>.验收要求</w:t>
      </w:r>
    </w:p>
    <w:p w14:paraId="10FA94F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（1）交付验收标准依次序对照适用标准为：①符合中华人民共和国国家安全质量标准、环保标准或行业标准；②符合</w:t>
      </w:r>
      <w:r>
        <w:rPr>
          <w:rFonts w:hint="eastAsia" w:ascii="仿宋" w:hAnsi="仿宋" w:eastAsia="仿宋" w:cs="仿宋"/>
          <w:b w:val="0"/>
          <w:bCs/>
          <w:color w:val="000000"/>
          <w:sz w:val="24"/>
          <w:szCs w:val="24"/>
          <w:highlight w:val="none"/>
          <w:lang w:val="en-US" w:eastAsia="zh-CN"/>
        </w:rPr>
        <w:t>比选</w:t>
      </w:r>
      <w:r>
        <w:rPr>
          <w:rFonts w:hint="eastAsia" w:ascii="仿宋" w:hAnsi="仿宋" w:eastAsia="仿宋" w:cs="仿宋"/>
          <w:b w:val="0"/>
          <w:bCs/>
          <w:color w:val="000000"/>
          <w:sz w:val="24"/>
          <w:szCs w:val="24"/>
          <w:highlight w:val="none"/>
          <w:lang w:eastAsia="zh-CN"/>
        </w:rPr>
        <w:t>文件和响应承诺中</w:t>
      </w:r>
      <w:r>
        <w:rPr>
          <w:rFonts w:hint="eastAsia" w:ascii="仿宋" w:hAnsi="仿宋" w:eastAsia="仿宋" w:cs="仿宋"/>
          <w:b w:val="0"/>
          <w:bCs/>
          <w:color w:val="000000"/>
          <w:sz w:val="24"/>
          <w:szCs w:val="24"/>
          <w:highlight w:val="none"/>
          <w:lang w:val="en-US" w:eastAsia="zh-CN"/>
        </w:rPr>
        <w:t>采购人</w:t>
      </w:r>
      <w:r>
        <w:rPr>
          <w:rFonts w:hint="eastAsia" w:ascii="仿宋" w:hAnsi="仿宋" w:eastAsia="仿宋" w:cs="仿宋"/>
          <w:b w:val="0"/>
          <w:bCs/>
          <w:color w:val="000000"/>
          <w:sz w:val="24"/>
          <w:szCs w:val="24"/>
          <w:highlight w:val="none"/>
          <w:lang w:eastAsia="zh-CN"/>
        </w:rPr>
        <w:t>认可的合理最佳配置、参数及各项要求。</w:t>
      </w:r>
    </w:p>
    <w:p w14:paraId="596919D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000000"/>
          <w:sz w:val="24"/>
          <w:szCs w:val="24"/>
          <w:highlight w:val="none"/>
          <w:lang w:val="en-US" w:eastAsia="zh-CN"/>
        </w:rPr>
        <w:t>采购人依照</w:t>
      </w:r>
      <w:r>
        <w:rPr>
          <w:rFonts w:hint="eastAsia" w:ascii="仿宋" w:hAnsi="仿宋" w:eastAsia="仿宋" w:cs="仿宋"/>
          <w:b w:val="0"/>
          <w:bCs/>
          <w:color w:val="000000"/>
          <w:sz w:val="24"/>
          <w:szCs w:val="24"/>
          <w:highlight w:val="none"/>
          <w:lang w:eastAsia="zh-CN"/>
        </w:rPr>
        <w:t>验收标准开展验收</w:t>
      </w:r>
      <w:r>
        <w:rPr>
          <w:rFonts w:hint="eastAsia" w:ascii="仿宋" w:hAnsi="仿宋" w:eastAsia="仿宋" w:cs="仿宋"/>
          <w:b w:val="0"/>
          <w:bCs/>
          <w:color w:val="000000"/>
          <w:sz w:val="24"/>
          <w:szCs w:val="24"/>
          <w:highlight w:val="none"/>
          <w:lang w:val="en-US" w:eastAsia="zh-CN"/>
        </w:rPr>
        <w:t>，必要时邀请相关的专业人员或机构参与验收。</w:t>
      </w:r>
      <w:r>
        <w:rPr>
          <w:rFonts w:hint="eastAsia" w:ascii="仿宋" w:hAnsi="仿宋" w:eastAsia="仿宋" w:cs="仿宋"/>
          <w:b w:val="0"/>
          <w:bCs/>
          <w:color w:val="000000"/>
          <w:sz w:val="24"/>
          <w:szCs w:val="24"/>
          <w:highlight w:val="none"/>
          <w:lang w:eastAsia="zh-CN"/>
        </w:rPr>
        <w:t>验收测试的过程和结果须详细记录，测试中如发现材料设备性能指标或功能上不符合比选文件和合同要求时，将被看作性能不合格，采购人有权拒收并要求赔偿。</w:t>
      </w:r>
    </w:p>
    <w:p w14:paraId="1EFB19B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7.知识产权</w:t>
      </w:r>
    </w:p>
    <w:p w14:paraId="5181AA7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供应商须保证所提供的货物不侵犯任何第三方的专利权、商标权或其它知识产权。否则，供应商须承担对第三方的专利权、商标权或其它知识产权的侵权责任并承担因此而发生的所有费用及给采购人造成的损失。</w:t>
      </w:r>
    </w:p>
    <w:p w14:paraId="4B7B27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8.报价要求</w:t>
      </w:r>
    </w:p>
    <w:p w14:paraId="2B2DB3C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应按照采购项目需求书的内容、范围、条款等进行报价，包含完成本项目的所有费用，含货物采购、包装、装卸、检测、运输、安装、调试、资料费、服务费、税费和伴随货物服务的其他所有费用。供应商报价的综合单价均应包含材料设备安装的辅材、辅料、配件，确保提供的产品及所有配套件的完整性，采购人不再对此另行支付任何费用。</w:t>
      </w:r>
    </w:p>
    <w:p w14:paraId="48F487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auto"/>
          <w:sz w:val="24"/>
          <w:szCs w:val="24"/>
          <w:highlight w:val="none"/>
          <w:lang w:val="en-US" w:eastAsia="zh-CN"/>
        </w:rPr>
        <w:t>供应商应在充分考虑可能发生的突发状况的基础上合理报价，在合同执行期间保持不变，供应商不得再以其它任何形式向采购人索要增加任何的费用。</w:t>
      </w:r>
    </w:p>
    <w:p w14:paraId="3964927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★9.履约保证金</w:t>
      </w:r>
    </w:p>
    <w:p w14:paraId="6326073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（1）履约保证金为合同总额的</w:t>
      </w:r>
      <w:r>
        <w:rPr>
          <w:rFonts w:hint="eastAsia" w:ascii="仿宋" w:hAnsi="仿宋" w:eastAsia="仿宋" w:cs="仿宋"/>
          <w:b w:val="0"/>
          <w:bCs/>
          <w:color w:val="000000"/>
          <w:sz w:val="24"/>
          <w:szCs w:val="24"/>
          <w:highlight w:val="none"/>
          <w:lang w:val="en-US" w:eastAsia="zh-CN"/>
        </w:rPr>
        <w:t>10</w:t>
      </w:r>
      <w:r>
        <w:rPr>
          <w:rFonts w:hint="eastAsia" w:ascii="仿宋" w:hAnsi="仿宋" w:eastAsia="仿宋" w:cs="仿宋"/>
          <w:b w:val="0"/>
          <w:bCs/>
          <w:color w:val="000000"/>
          <w:sz w:val="24"/>
          <w:szCs w:val="24"/>
          <w:highlight w:val="none"/>
          <w:lang w:eastAsia="zh-CN"/>
        </w:rPr>
        <w:t>%，须在合同签订后7个工作日内</w:t>
      </w:r>
      <w:r>
        <w:rPr>
          <w:rFonts w:hint="eastAsia" w:ascii="仿宋" w:hAnsi="仿宋" w:eastAsia="仿宋" w:cs="仿宋"/>
          <w:b w:val="0"/>
          <w:bCs/>
          <w:color w:val="000000"/>
          <w:sz w:val="24"/>
          <w:szCs w:val="24"/>
          <w:highlight w:val="none"/>
          <w:lang w:val="en-US" w:eastAsia="zh-CN"/>
        </w:rPr>
        <w:t>以银行转账方式</w:t>
      </w:r>
      <w:r>
        <w:rPr>
          <w:rFonts w:hint="eastAsia" w:ascii="仿宋" w:hAnsi="仿宋" w:eastAsia="仿宋" w:cs="仿宋"/>
          <w:b w:val="0"/>
          <w:bCs/>
          <w:color w:val="000000"/>
          <w:sz w:val="24"/>
          <w:szCs w:val="24"/>
          <w:highlight w:val="none"/>
          <w:lang w:eastAsia="zh-CN"/>
        </w:rPr>
        <w:t>缴纳。若供应商没有违约行为，履约保证金在交付验收合格并提供完整的验收技术档案资料后30日内由采购人无息退还供应商。</w:t>
      </w:r>
    </w:p>
    <w:p w14:paraId="43CD56F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（2）履约保证金不予退还的情形：</w:t>
      </w:r>
    </w:p>
    <w:p w14:paraId="0D579F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①供应商违反合同条款的，应扣除违约金后再退还履约保证金；履约保证金不足赔偿违约金时，采购人向供应商追付。</w:t>
      </w:r>
    </w:p>
    <w:p w14:paraId="5977C75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②供应商如没有按合同规定履行售后服务承诺，采购人可自行安排第三方单位修复，其费用全部由供应商支付，否则将没收供应商的履约保证金。</w:t>
      </w:r>
    </w:p>
    <w:p w14:paraId="380559D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③供应商无正当理由单方面解除合同的，履约保证金不予退还。</w:t>
      </w:r>
    </w:p>
    <w:p w14:paraId="0EF0E6C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10.结算方式</w:t>
      </w:r>
    </w:p>
    <w:p w14:paraId="16F3B2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（1）在供应商完成</w:t>
      </w:r>
      <w:r>
        <w:rPr>
          <w:rFonts w:hint="eastAsia" w:ascii="仿宋" w:hAnsi="仿宋" w:eastAsia="仿宋" w:cs="仿宋"/>
          <w:b w:val="0"/>
          <w:bCs/>
          <w:color w:val="000000"/>
          <w:sz w:val="24"/>
          <w:szCs w:val="24"/>
          <w:highlight w:val="none"/>
          <w:lang w:val="en-US" w:eastAsia="zh-CN"/>
        </w:rPr>
        <w:t>本项目</w:t>
      </w:r>
      <w:r>
        <w:rPr>
          <w:rFonts w:hint="eastAsia" w:ascii="仿宋" w:hAnsi="仿宋" w:eastAsia="仿宋" w:cs="仿宋"/>
          <w:b w:val="0"/>
          <w:bCs/>
          <w:color w:val="000000"/>
          <w:sz w:val="24"/>
          <w:szCs w:val="24"/>
          <w:highlight w:val="none"/>
          <w:lang w:eastAsia="zh-CN"/>
        </w:rPr>
        <w:t>服务后，供应商</w:t>
      </w:r>
      <w:r>
        <w:rPr>
          <w:rFonts w:hint="eastAsia" w:ascii="仿宋" w:hAnsi="仿宋" w:eastAsia="仿宋" w:cs="仿宋"/>
          <w:b w:val="0"/>
          <w:bCs/>
          <w:color w:val="000000"/>
          <w:sz w:val="24"/>
          <w:szCs w:val="24"/>
          <w:highlight w:val="none"/>
          <w:lang w:val="en-US" w:eastAsia="zh-CN"/>
        </w:rPr>
        <w:t>凭</w:t>
      </w:r>
      <w:r>
        <w:rPr>
          <w:rFonts w:hint="eastAsia" w:ascii="仿宋" w:hAnsi="仿宋" w:eastAsia="仿宋" w:cs="仿宋"/>
          <w:b w:val="0"/>
          <w:bCs/>
          <w:color w:val="000000"/>
          <w:sz w:val="24"/>
          <w:szCs w:val="24"/>
          <w:highlight w:val="none"/>
          <w:lang w:eastAsia="zh-CN"/>
        </w:rPr>
        <w:t>发票</w:t>
      </w: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val="0"/>
          <w:bCs/>
          <w:color w:val="000000"/>
          <w:sz w:val="24"/>
          <w:szCs w:val="24"/>
          <w:highlight w:val="none"/>
          <w:lang w:eastAsia="zh-CN"/>
        </w:rPr>
        <w:t>空调系统升级改造服务清单（须经采购人确认）向采购人申请付款，采购人验收通过的，支付供应商</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费用。如服务过程中发现有不达标情况，采购人可拒绝验收通过。</w:t>
      </w:r>
    </w:p>
    <w:p w14:paraId="13D17E8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（2）在采购人确定本项目北院区检验科、南院区逸仙楼四楼消毒供应中心空调系统升级改造服务工作的具体内容后，供应商需编制相关改造施工方案及材料清单的工程量清单，经采购人确认同意后方可实施。</w:t>
      </w:r>
      <w:r>
        <w:rPr>
          <w:rFonts w:hint="eastAsia" w:ascii="仿宋" w:hAnsi="仿宋" w:eastAsia="仿宋" w:cs="仿宋"/>
          <w:b w:val="0"/>
          <w:bCs/>
          <w:color w:val="000000"/>
          <w:sz w:val="24"/>
          <w:szCs w:val="24"/>
          <w:highlight w:val="none"/>
          <w:lang w:val="en-US" w:eastAsia="zh-CN"/>
        </w:rPr>
        <w:t>相关费用已包含在响应报价内，</w:t>
      </w:r>
      <w:r>
        <w:rPr>
          <w:rFonts w:hint="eastAsia" w:ascii="仿宋" w:hAnsi="仿宋" w:eastAsia="仿宋" w:cs="仿宋"/>
          <w:b w:val="0"/>
          <w:bCs/>
          <w:color w:val="000000"/>
          <w:sz w:val="24"/>
          <w:szCs w:val="24"/>
          <w:highlight w:val="none"/>
          <w:lang w:eastAsia="zh-CN"/>
        </w:rPr>
        <w:t>未经采购人同意的改造施工内容所产生的</w:t>
      </w:r>
      <w:r>
        <w:rPr>
          <w:rFonts w:hint="eastAsia" w:ascii="仿宋" w:hAnsi="仿宋" w:eastAsia="仿宋" w:cs="仿宋"/>
          <w:b w:val="0"/>
          <w:bCs/>
          <w:color w:val="000000"/>
          <w:sz w:val="24"/>
          <w:szCs w:val="24"/>
          <w:highlight w:val="none"/>
          <w:lang w:val="en-US" w:eastAsia="zh-CN"/>
        </w:rPr>
        <w:t>额外</w:t>
      </w:r>
      <w:r>
        <w:rPr>
          <w:rFonts w:hint="eastAsia" w:ascii="仿宋" w:hAnsi="仿宋" w:eastAsia="仿宋" w:cs="仿宋"/>
          <w:b w:val="0"/>
          <w:bCs/>
          <w:color w:val="000000"/>
          <w:sz w:val="24"/>
          <w:szCs w:val="24"/>
          <w:highlight w:val="none"/>
          <w:lang w:eastAsia="zh-CN"/>
        </w:rPr>
        <w:t>费用，采购人不予支付。</w:t>
      </w:r>
    </w:p>
    <w:p w14:paraId="35BC931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（3）采购人在收到供应商开具等额合法发票</w:t>
      </w:r>
      <w:r>
        <w:rPr>
          <w:rFonts w:hint="eastAsia" w:ascii="仿宋" w:hAnsi="仿宋" w:eastAsia="仿宋" w:cs="仿宋"/>
          <w:b w:val="0"/>
          <w:bCs/>
          <w:color w:val="000000"/>
          <w:sz w:val="24"/>
          <w:szCs w:val="24"/>
          <w:highlight w:val="none"/>
          <w:lang w:val="en-US" w:eastAsia="zh-CN"/>
        </w:rPr>
        <w:t>且满足支付条件</w:t>
      </w:r>
      <w:r>
        <w:rPr>
          <w:rFonts w:hint="eastAsia" w:ascii="仿宋" w:hAnsi="仿宋" w:eastAsia="仿宋" w:cs="仿宋"/>
          <w:b w:val="0"/>
          <w:bCs/>
          <w:color w:val="000000"/>
          <w:sz w:val="24"/>
          <w:szCs w:val="24"/>
          <w:highlight w:val="none"/>
          <w:lang w:eastAsia="zh-CN"/>
        </w:rPr>
        <w:t>后的30日内支付结算价款。</w:t>
      </w:r>
    </w:p>
    <w:p w14:paraId="5D31371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支付方式：银行转账。</w:t>
      </w:r>
    </w:p>
    <w:p w14:paraId="12ED753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11.其他</w:t>
      </w:r>
    </w:p>
    <w:p w14:paraId="2ACCA45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（1）采购人有权监督供应商的服务质量，若采购人对服务工作不满或有疑问，供应商应整改调整。</w:t>
      </w:r>
    </w:p>
    <w:p w14:paraId="416CD65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（2）供应商的工作成果须满足现行国家、行业及地区的规范、规程、标准、规定。</w:t>
      </w:r>
    </w:p>
    <w:p w14:paraId="38B20B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（3）供应商须按合同约定的需求完成技术服务，并向采购人汇报服务情况。</w:t>
      </w:r>
    </w:p>
    <w:p w14:paraId="660E932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（4）供应商应成立由各专业技术人员组成的稳定的工作组，保证有效、持续地开展工作。</w:t>
      </w:r>
    </w:p>
    <w:p w14:paraId="52DAF49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供应商对与本项目有关的采购人提供的技术文件及数据有保密义务，未经采购人书面允许不得将该项目有关的技术文件及数据提供给其他单位或个人，不得用于商业用途。供应商若发生泄密事件，采购人将追究法律责任。</w:t>
      </w:r>
    </w:p>
    <w:p w14:paraId="139034B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（6）供应商须按要求参加采购人组织的会议、技术研讨会、专家审查会等。</w:t>
      </w:r>
    </w:p>
    <w:p w14:paraId="0000A00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12.违约责任</w:t>
      </w:r>
    </w:p>
    <w:p w14:paraId="7C1DDBA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（1）项目实施改造内容过程中，若出现因供应商不按施工规范与合同条款导致采购人发生事故的情况，由供应商承担全部责任，并赔偿采购人一切损失。该情况下，采购人同时享有单方解除合同的权利。</w:t>
      </w:r>
    </w:p>
    <w:p w14:paraId="7A853FD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（2）双方有一方无法继续履行合同的（因供应商未能按约定履约导致采购人主动解约的情况除外），应当提前30天正式通知另一方，并向对方支付该项目合同费用总金额</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0%的违约金。</w:t>
      </w:r>
    </w:p>
    <w:p w14:paraId="6249A9E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（3）若供应商未能按照合同规定时间内完成本项目实施改造内容的，超出规定时间的按每日合同总金额的</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％向采购人支付违约金。</w:t>
      </w:r>
      <w:r>
        <w:rPr>
          <w:rFonts w:hint="eastAsia" w:ascii="仿宋" w:hAnsi="仿宋" w:eastAsia="仿宋" w:cs="仿宋"/>
          <w:b w:val="0"/>
          <w:bCs/>
          <w:color w:val="000000"/>
          <w:sz w:val="24"/>
          <w:szCs w:val="24"/>
          <w:highlight w:val="none"/>
          <w:lang w:val="en-US" w:eastAsia="zh-CN"/>
        </w:rPr>
        <w:t>如供应商对单个服务内容（</w:t>
      </w:r>
      <w:r>
        <w:rPr>
          <w:rFonts w:hint="eastAsia" w:ascii="仿宋" w:hAnsi="仿宋" w:eastAsia="仿宋" w:cs="仿宋"/>
          <w:color w:val="auto"/>
          <w:sz w:val="24"/>
          <w:szCs w:val="24"/>
          <w:highlight w:val="none"/>
          <w:lang w:eastAsia="zh-CN"/>
        </w:rPr>
        <w:t>北院区检验科空调系统升级改造服务</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eastAsia="zh-CN"/>
        </w:rPr>
        <w:t>南院区逸仙楼四楼消毒供应中心空调系统升级改造服务</w:t>
      </w:r>
      <w:r>
        <w:rPr>
          <w:rFonts w:hint="eastAsia" w:ascii="仿宋" w:hAnsi="仿宋" w:eastAsia="仿宋" w:cs="仿宋"/>
          <w:b w:val="0"/>
          <w:bCs/>
          <w:color w:val="000000"/>
          <w:sz w:val="24"/>
          <w:szCs w:val="24"/>
          <w:highlight w:val="none"/>
          <w:lang w:val="en-US" w:eastAsia="zh-CN"/>
        </w:rPr>
        <w:t>）超出规定工期10天的，</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lang w:val="en-US" w:eastAsia="zh-CN"/>
        </w:rPr>
        <w:t>没收履约保证金，且</w:t>
      </w:r>
      <w:r>
        <w:rPr>
          <w:rFonts w:hint="eastAsia" w:ascii="仿宋" w:hAnsi="仿宋" w:eastAsia="仿宋" w:cs="仿宋"/>
          <w:b w:val="0"/>
          <w:bCs/>
          <w:color w:val="000000"/>
          <w:sz w:val="24"/>
          <w:szCs w:val="24"/>
          <w:highlight w:val="none"/>
          <w:lang w:eastAsia="zh-CN"/>
        </w:rPr>
        <w:t>同时享有单方解除合同的权利。</w:t>
      </w:r>
    </w:p>
    <w:p w14:paraId="39AA172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在本项目实施改造内容时，若供应商交付的货品规格、型号、技术参数不符，或无法供应其承诺的指定型号、规格、技术参数的货物时，采购人有权拒收。若出现3次此类情况，采购人有权利终止合同，供应商不得有异议。</w:t>
      </w:r>
    </w:p>
    <w:p w14:paraId="642F07E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（5）双方在货物质量上存在异议，协商不成时，由广东省质检部门质量鉴定。</w:t>
      </w:r>
      <w:r>
        <w:rPr>
          <w:rFonts w:hint="eastAsia" w:ascii="仿宋" w:hAnsi="仿宋" w:eastAsia="仿宋" w:cs="仿宋"/>
          <w:b w:val="0"/>
          <w:bCs/>
          <w:color w:val="000000"/>
          <w:sz w:val="24"/>
          <w:szCs w:val="24"/>
          <w:highlight w:val="none"/>
          <w:lang w:val="en-US" w:eastAsia="zh-CN"/>
        </w:rPr>
        <w:t>鉴定结果如</w:t>
      </w:r>
      <w:r>
        <w:rPr>
          <w:rFonts w:hint="eastAsia" w:ascii="仿宋" w:hAnsi="仿宋" w:eastAsia="仿宋" w:cs="仿宋"/>
          <w:b w:val="0"/>
          <w:bCs/>
          <w:color w:val="000000"/>
          <w:sz w:val="24"/>
          <w:szCs w:val="24"/>
          <w:highlight w:val="none"/>
          <w:lang w:eastAsia="zh-CN"/>
        </w:rPr>
        <w:t>符合质量标准的，鉴定费用由采购人承担；经鉴定后供应商所供货品确为伪劣商品或不符合比选文件要求的，采购人有权利终止合同，供应商应承担货品的检测费用及违约费用，并承担相应法律责任。</w:t>
      </w:r>
    </w:p>
    <w:p w14:paraId="3A54F1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若供应商在合同期内，若发生未按合同规定的服务要求完成相关升级改造服务，经采购人3次提醒或警告不改正，且造成采购人损失情况的，由供应商承担全部责任，且赔偿采购人一切损失。该情况下，采购人同时享有单方解除合同的权利。</w:t>
      </w:r>
    </w:p>
    <w:p w14:paraId="54F385C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（7）若其中一方违约，对方有权提前解除本合同并追索相应之损失。</w:t>
      </w:r>
    </w:p>
    <w:p w14:paraId="335A87D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8</w:t>
      </w:r>
      <w:r>
        <w:rPr>
          <w:rFonts w:hint="eastAsia" w:ascii="仿宋" w:hAnsi="仿宋" w:eastAsia="仿宋" w:cs="仿宋"/>
          <w:b w:val="0"/>
          <w:bCs/>
          <w:color w:val="000000"/>
          <w:sz w:val="24"/>
          <w:szCs w:val="24"/>
          <w:highlight w:val="none"/>
          <w:lang w:eastAsia="zh-CN"/>
        </w:rPr>
        <w:t>）其它违约责任按合同其他条款约定及《中华人民共和国民法典》规定处理。</w:t>
      </w:r>
    </w:p>
    <w:p w14:paraId="0DD6675B">
      <w:pPr>
        <w:pStyle w:val="22"/>
        <w:rPr>
          <w:rFonts w:hint="eastAsia"/>
          <w:highlight w:val="none"/>
        </w:rPr>
      </w:pPr>
    </w:p>
    <w:p w14:paraId="5BA0842F">
      <w:pPr>
        <w:pStyle w:val="22"/>
        <w:rPr>
          <w:rFonts w:hint="eastAsia"/>
          <w:highlight w:val="none"/>
        </w:rPr>
      </w:pPr>
    </w:p>
    <w:p w14:paraId="269407E0">
      <w:pPr>
        <w:pStyle w:val="22"/>
        <w:rPr>
          <w:rFonts w:hint="eastAsia"/>
          <w:highlight w:val="none"/>
        </w:rPr>
      </w:pPr>
    </w:p>
    <w:p w14:paraId="09B3F94F">
      <w:pPr>
        <w:pStyle w:val="22"/>
        <w:rPr>
          <w:rFonts w:hint="eastAsia"/>
          <w:highlight w:val="none"/>
        </w:rPr>
      </w:pPr>
    </w:p>
    <w:p w14:paraId="7E8760EE">
      <w:pPr>
        <w:pStyle w:val="22"/>
        <w:rPr>
          <w:rFonts w:hint="eastAsia"/>
          <w:highlight w:val="none"/>
        </w:rPr>
      </w:pPr>
    </w:p>
    <w:p w14:paraId="2680F638">
      <w:pPr>
        <w:pStyle w:val="22"/>
        <w:rPr>
          <w:rFonts w:hint="eastAsia"/>
          <w:highlight w:val="none"/>
        </w:rPr>
      </w:pPr>
    </w:p>
    <w:p w14:paraId="3F158CD3">
      <w:pPr>
        <w:pStyle w:val="22"/>
        <w:rPr>
          <w:rFonts w:hint="eastAsia"/>
          <w:highlight w:val="none"/>
        </w:rPr>
      </w:pPr>
    </w:p>
    <w:p w14:paraId="0A7D7D7F">
      <w:pPr>
        <w:pStyle w:val="22"/>
        <w:rPr>
          <w:rFonts w:hint="eastAsia"/>
          <w:highlight w:val="none"/>
        </w:rPr>
      </w:pPr>
    </w:p>
    <w:p w14:paraId="2D27E64D">
      <w:pPr>
        <w:pStyle w:val="22"/>
        <w:rPr>
          <w:rFonts w:hint="eastAsia"/>
          <w:highlight w:val="none"/>
        </w:rPr>
      </w:pPr>
    </w:p>
    <w:p w14:paraId="2742CF50">
      <w:pPr>
        <w:pStyle w:val="22"/>
        <w:rPr>
          <w:rFonts w:hint="eastAsia"/>
          <w:highlight w:val="none"/>
        </w:rPr>
      </w:pPr>
    </w:p>
    <w:p w14:paraId="7BF6D56C">
      <w:pPr>
        <w:pStyle w:val="22"/>
        <w:rPr>
          <w:rFonts w:hint="eastAsia"/>
          <w:highlight w:val="none"/>
        </w:rPr>
      </w:pPr>
    </w:p>
    <w:p w14:paraId="3E3A4571">
      <w:pPr>
        <w:pStyle w:val="16"/>
        <w:rPr>
          <w:rFonts w:hint="eastAsia" w:ascii="微软雅黑" w:hAnsi="微软雅黑" w:eastAsia="微软雅黑" w:cs="微软雅黑"/>
          <w:color w:val="000000"/>
          <w:highlight w:val="none"/>
        </w:rPr>
      </w:pPr>
    </w:p>
    <w:p w14:paraId="791ED1C8">
      <w:pPr>
        <w:pStyle w:val="16"/>
        <w:rPr>
          <w:rFonts w:hint="eastAsia" w:ascii="微软雅黑" w:hAnsi="微软雅黑" w:eastAsia="微软雅黑" w:cs="微软雅黑"/>
          <w:color w:val="000000"/>
          <w:highlight w:val="none"/>
        </w:rPr>
      </w:pPr>
    </w:p>
    <w:p w14:paraId="04AC42F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61C06C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CB6045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95A98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67224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4"/>
        <w:rPr>
          <w:rFonts w:hint="eastAsia"/>
          <w:color w:val="000000"/>
          <w:highlight w:val="none"/>
        </w:rPr>
      </w:pPr>
    </w:p>
    <w:p w14:paraId="711D7E37">
      <w:pPr>
        <w:pStyle w:val="24"/>
        <w:rPr>
          <w:rFonts w:hint="eastAsia"/>
          <w:color w:val="000000"/>
          <w:highlight w:val="none"/>
        </w:rPr>
      </w:pPr>
    </w:p>
    <w:p w14:paraId="69F5DBD4">
      <w:pPr>
        <w:pStyle w:val="24"/>
        <w:rPr>
          <w:rFonts w:hint="eastAsia"/>
          <w:color w:val="000000"/>
          <w:highlight w:val="none"/>
        </w:rPr>
      </w:pPr>
    </w:p>
    <w:p w14:paraId="60344E0F">
      <w:pPr>
        <w:pStyle w:val="24"/>
        <w:rPr>
          <w:rFonts w:hint="eastAsia"/>
          <w:color w:val="000000"/>
          <w:highlight w:val="none"/>
        </w:rPr>
      </w:pPr>
    </w:p>
    <w:p w14:paraId="4890433F">
      <w:pPr>
        <w:pStyle w:val="24"/>
        <w:rPr>
          <w:rFonts w:hint="eastAsia"/>
          <w:color w:val="000000"/>
          <w:highlight w:val="none"/>
        </w:rPr>
      </w:pPr>
    </w:p>
    <w:p w14:paraId="25F80A85">
      <w:pPr>
        <w:pStyle w:val="24"/>
        <w:rPr>
          <w:rFonts w:hint="eastAsia"/>
          <w:color w:val="000000"/>
          <w:highlight w:val="none"/>
        </w:rPr>
      </w:pPr>
    </w:p>
    <w:p w14:paraId="713F8C25">
      <w:pPr>
        <w:pStyle w:val="24"/>
        <w:rPr>
          <w:rFonts w:hint="eastAsia"/>
          <w:color w:val="000000"/>
          <w:highlight w:val="none"/>
        </w:rPr>
      </w:pPr>
    </w:p>
    <w:p w14:paraId="7BF76161">
      <w:pPr>
        <w:pStyle w:val="24"/>
        <w:rPr>
          <w:rFonts w:hint="eastAsia"/>
          <w:color w:val="000000"/>
          <w:highlight w:val="none"/>
        </w:rPr>
      </w:pPr>
    </w:p>
    <w:p w14:paraId="0B091919">
      <w:pPr>
        <w:pStyle w:val="24"/>
        <w:rPr>
          <w:rFonts w:hint="eastAsia"/>
          <w:color w:val="000000"/>
          <w:highlight w:val="none"/>
        </w:rPr>
      </w:pPr>
    </w:p>
    <w:p w14:paraId="68C98261">
      <w:pPr>
        <w:pStyle w:val="24"/>
        <w:rPr>
          <w:rFonts w:hint="eastAsia"/>
          <w:color w:val="000000"/>
          <w:highlight w:val="none"/>
        </w:rPr>
      </w:pPr>
    </w:p>
    <w:p w14:paraId="6F6AD690">
      <w:pPr>
        <w:pStyle w:val="24"/>
        <w:rPr>
          <w:rFonts w:hint="eastAsia"/>
          <w:color w:val="000000"/>
          <w:highlight w:val="none"/>
        </w:rPr>
      </w:pPr>
    </w:p>
    <w:p w14:paraId="6EAB4FC9">
      <w:pPr>
        <w:pStyle w:val="24"/>
        <w:rPr>
          <w:rFonts w:hint="eastAsia"/>
          <w:color w:val="000000"/>
          <w:highlight w:val="none"/>
        </w:rPr>
      </w:pPr>
    </w:p>
    <w:p w14:paraId="0A2BB9E2">
      <w:pPr>
        <w:pStyle w:val="24"/>
        <w:rPr>
          <w:rFonts w:hint="eastAsia"/>
          <w:color w:val="000000"/>
          <w:highlight w:val="none"/>
        </w:rPr>
      </w:pPr>
    </w:p>
    <w:p w14:paraId="0CFBF047">
      <w:pPr>
        <w:pStyle w:val="24"/>
        <w:rPr>
          <w:rFonts w:hint="eastAsia"/>
          <w:color w:val="000000"/>
          <w:highlight w:val="none"/>
        </w:rPr>
      </w:pPr>
    </w:p>
    <w:p w14:paraId="0C75579C">
      <w:pPr>
        <w:pStyle w:val="24"/>
        <w:rPr>
          <w:rFonts w:hint="eastAsia"/>
          <w:color w:val="000000"/>
          <w:highlight w:val="none"/>
        </w:rPr>
      </w:pPr>
    </w:p>
    <w:p w14:paraId="19B892A5">
      <w:pPr>
        <w:pStyle w:val="24"/>
        <w:rPr>
          <w:rFonts w:hint="eastAsia"/>
          <w:color w:val="000000"/>
          <w:highlight w:val="none"/>
        </w:rPr>
      </w:pPr>
    </w:p>
    <w:p w14:paraId="5D9772DF">
      <w:pPr>
        <w:pStyle w:val="24"/>
        <w:rPr>
          <w:rFonts w:hint="eastAsia"/>
          <w:color w:val="000000"/>
          <w:highlight w:val="none"/>
        </w:rPr>
      </w:pPr>
    </w:p>
    <w:p w14:paraId="706DAF68">
      <w:pPr>
        <w:pStyle w:val="24"/>
        <w:rPr>
          <w:rFonts w:hint="eastAsia"/>
          <w:color w:val="000000"/>
          <w:highlight w:val="none"/>
        </w:rPr>
      </w:pPr>
    </w:p>
    <w:p w14:paraId="4155099F">
      <w:pPr>
        <w:pStyle w:val="24"/>
        <w:rPr>
          <w:rFonts w:hint="eastAsia"/>
          <w:color w:val="000000"/>
          <w:highlight w:val="none"/>
        </w:rPr>
      </w:pPr>
    </w:p>
    <w:p w14:paraId="67FF39B6">
      <w:pPr>
        <w:pStyle w:val="24"/>
        <w:rPr>
          <w:rFonts w:hint="eastAsia"/>
          <w:color w:val="000000"/>
          <w:highlight w:val="none"/>
        </w:rPr>
      </w:pPr>
    </w:p>
    <w:p w14:paraId="1FB2C232">
      <w:pPr>
        <w:pStyle w:val="24"/>
        <w:rPr>
          <w:rFonts w:hint="eastAsia"/>
          <w:color w:val="000000"/>
          <w:highlight w:val="none"/>
        </w:rPr>
      </w:pPr>
    </w:p>
    <w:p w14:paraId="2BB9883B">
      <w:pPr>
        <w:pStyle w:val="24"/>
        <w:rPr>
          <w:rFonts w:hint="eastAsia"/>
          <w:color w:val="000000"/>
          <w:highlight w:val="none"/>
        </w:rPr>
      </w:pPr>
    </w:p>
    <w:p w14:paraId="020E775D">
      <w:pPr>
        <w:pStyle w:val="24"/>
        <w:rPr>
          <w:rFonts w:hint="eastAsia"/>
          <w:color w:val="000000"/>
          <w:highlight w:val="none"/>
        </w:rPr>
      </w:pPr>
    </w:p>
    <w:p w14:paraId="1D5B48B5">
      <w:pPr>
        <w:pStyle w:val="24"/>
        <w:rPr>
          <w:rFonts w:hint="eastAsia"/>
          <w:color w:val="000000"/>
          <w:highlight w:val="none"/>
        </w:rPr>
      </w:pPr>
    </w:p>
    <w:p w14:paraId="2EB240AB">
      <w:pPr>
        <w:pStyle w:val="24"/>
        <w:rPr>
          <w:rFonts w:hint="eastAsia"/>
          <w:color w:val="000000"/>
          <w:highlight w:val="none"/>
        </w:rPr>
      </w:pPr>
    </w:p>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678BC65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4A6FCBA">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67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A95E9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2B0CD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75C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3CBB79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65A120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37054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90002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1232C1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59CB7E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D38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C0B5C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487BEC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099DDB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69B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D0669E5">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44CCF8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405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7EB56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60EBF0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7E40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12F11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53C0DC8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3EB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B340E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70A0B24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8ED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9E543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C139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313D311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60D6CE8C">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423F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FFA55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74A22824">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3423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B5F3FA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C18C78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D310BB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4ADAB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00425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3F534DB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18DDB9E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2F853D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582D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77ED9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73823C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243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ABE41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0059E73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43A6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734D3E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2846D71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541027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520E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65CF79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38D2F9B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521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88BA0A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0843DAD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7F2598D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2399EF6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61D6D8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5BFB8F5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3B65E7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16B2D5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评分（60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77AAF773">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945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F881FD0">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D4ECC6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2C71F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60分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1A0D34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20分</w:t>
            </w:r>
          </w:p>
        </w:tc>
      </w:tr>
    </w:tbl>
    <w:p w14:paraId="3D672069">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454D594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商务评审表（20分）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03E1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14:paraId="48CD4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2764CF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1A645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301E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5FF72FE">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76CFAA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3B2B49A7">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3277CF2F">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6E6460D6">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0D9E2BEC">
            <w:pPr>
              <w:pStyle w:val="5"/>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618C96A4">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354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649EACB">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14:paraId="1F28AFCA">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9</w:t>
            </w:r>
          </w:p>
        </w:tc>
        <w:tc>
          <w:tcPr>
            <w:tcW w:w="7061" w:type="dxa"/>
            <w:shd w:val="clear" w:color="auto" w:fill="auto"/>
            <w:vAlign w:val="center"/>
          </w:tcPr>
          <w:p w14:paraId="2A7A1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w:t>
            </w:r>
            <w:r>
              <w:rPr>
                <w:rFonts w:hint="eastAsia" w:ascii="仿宋" w:hAnsi="仿宋" w:eastAsia="仿宋" w:cs="仿宋"/>
                <w:bCs/>
                <w:color w:val="000000"/>
                <w:sz w:val="20"/>
                <w:szCs w:val="20"/>
                <w:lang w:val="en-US" w:eastAsia="zh-CN"/>
              </w:rPr>
              <w:t>22</w:t>
            </w:r>
            <w:r>
              <w:rPr>
                <w:rFonts w:hint="eastAsia" w:ascii="仿宋" w:hAnsi="仿宋" w:eastAsia="仿宋" w:cs="仿宋"/>
                <w:bCs/>
                <w:color w:val="000000"/>
                <w:sz w:val="20"/>
                <w:szCs w:val="20"/>
              </w:rPr>
              <w:t>年1月1日（以合同签订时间为准）以来，完成同类项目业绩进行评分，每提供一个业绩得</w:t>
            </w:r>
            <w:r>
              <w:rPr>
                <w:rFonts w:hint="eastAsia" w:ascii="仿宋" w:hAnsi="仿宋" w:eastAsia="仿宋" w:cs="仿宋"/>
                <w:bCs/>
                <w:color w:val="000000"/>
                <w:sz w:val="20"/>
                <w:szCs w:val="20"/>
                <w:lang w:val="en-US" w:eastAsia="zh-CN"/>
              </w:rPr>
              <w:t>3</w:t>
            </w:r>
            <w:r>
              <w:rPr>
                <w:rFonts w:hint="eastAsia" w:ascii="仿宋" w:hAnsi="仿宋" w:eastAsia="仿宋" w:cs="仿宋"/>
                <w:bCs/>
                <w:color w:val="000000"/>
                <w:sz w:val="20"/>
                <w:szCs w:val="20"/>
              </w:rPr>
              <w:t>分，本项最高得</w:t>
            </w:r>
            <w:r>
              <w:rPr>
                <w:rFonts w:hint="eastAsia" w:ascii="仿宋" w:hAnsi="仿宋" w:eastAsia="仿宋" w:cs="仿宋"/>
                <w:bCs/>
                <w:color w:val="000000"/>
                <w:sz w:val="20"/>
                <w:szCs w:val="20"/>
                <w:lang w:val="en-US" w:eastAsia="zh-CN"/>
              </w:rPr>
              <w:t>9</w:t>
            </w:r>
            <w:r>
              <w:rPr>
                <w:rFonts w:hint="eastAsia" w:ascii="仿宋" w:hAnsi="仿宋" w:eastAsia="仿宋" w:cs="仿宋"/>
                <w:bCs/>
                <w:color w:val="000000"/>
                <w:sz w:val="20"/>
                <w:szCs w:val="20"/>
              </w:rPr>
              <w:t>分。</w:t>
            </w:r>
          </w:p>
          <w:p w14:paraId="2F6D1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3A4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82" w:type="dxa"/>
            <w:shd w:val="clear" w:color="auto" w:fill="auto"/>
            <w:vAlign w:val="center"/>
          </w:tcPr>
          <w:p w14:paraId="54F744B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sz w:val="21"/>
                <w:szCs w:val="21"/>
                <w:highlight w:val="none"/>
                <w:lang w:val="en-US" w:eastAsia="zh-CN"/>
              </w:rPr>
              <w:t>项目团队</w:t>
            </w:r>
          </w:p>
        </w:tc>
        <w:tc>
          <w:tcPr>
            <w:tcW w:w="825" w:type="dxa"/>
            <w:shd w:val="clear" w:color="auto" w:fill="auto"/>
            <w:vAlign w:val="center"/>
          </w:tcPr>
          <w:p w14:paraId="116DFF4D">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0"/>
                <w:sz w:val="21"/>
                <w:szCs w:val="21"/>
                <w:highlight w:val="none"/>
                <w:lang w:val="en-US" w:eastAsia="zh-CN"/>
              </w:rPr>
              <w:t>5</w:t>
            </w:r>
          </w:p>
        </w:tc>
        <w:tc>
          <w:tcPr>
            <w:tcW w:w="7061" w:type="dxa"/>
            <w:shd w:val="clear" w:color="auto" w:fill="auto"/>
            <w:vAlign w:val="center"/>
          </w:tcPr>
          <w:p w14:paraId="5702DB54">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项目负责人持有电气或</w:t>
            </w:r>
            <w:r>
              <w:rPr>
                <w:rFonts w:hint="eastAsia" w:ascii="仿宋" w:hAnsi="仿宋" w:eastAsia="仿宋" w:cs="仿宋"/>
                <w:color w:val="auto"/>
                <w:szCs w:val="21"/>
                <w:highlight w:val="none"/>
              </w:rPr>
              <w:t>机电或暖通</w:t>
            </w:r>
            <w:r>
              <w:rPr>
                <w:rFonts w:hint="eastAsia" w:ascii="仿宋" w:hAnsi="仿宋" w:eastAsia="仿宋" w:cs="仿宋"/>
                <w:b w:val="0"/>
                <w:bCs w:val="0"/>
                <w:color w:val="auto"/>
                <w:sz w:val="21"/>
                <w:szCs w:val="21"/>
                <w:highlight w:val="none"/>
                <w:lang w:val="en-US" w:eastAsia="zh-CN"/>
              </w:rPr>
              <w:t>高级职称或</w:t>
            </w:r>
            <w:r>
              <w:rPr>
                <w:rFonts w:hint="eastAsia" w:ascii="仿宋" w:hAnsi="仿宋" w:eastAsia="仿宋" w:cs="仿宋"/>
                <w:color w:val="auto"/>
                <w:szCs w:val="21"/>
                <w:highlight w:val="none"/>
              </w:rPr>
              <w:t>机电工程专业</w:t>
            </w:r>
            <w:r>
              <w:rPr>
                <w:rFonts w:hint="eastAsia" w:ascii="仿宋" w:hAnsi="仿宋" w:eastAsia="仿宋" w:cs="仿宋"/>
                <w:color w:val="auto"/>
                <w:szCs w:val="21"/>
                <w:highlight w:val="none"/>
                <w:lang w:eastAsia="zh-CN"/>
              </w:rPr>
              <w:t>二</w:t>
            </w:r>
            <w:r>
              <w:rPr>
                <w:rFonts w:hint="eastAsia" w:ascii="仿宋" w:hAnsi="仿宋" w:eastAsia="仿宋" w:cs="仿宋"/>
                <w:color w:val="auto"/>
                <w:szCs w:val="21"/>
                <w:highlight w:val="none"/>
              </w:rPr>
              <w:t>级</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或以上</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注册建造师</w:t>
            </w:r>
            <w:r>
              <w:rPr>
                <w:rFonts w:hint="eastAsia" w:ascii="仿宋" w:hAnsi="仿宋" w:eastAsia="仿宋" w:cs="仿宋"/>
                <w:b w:val="0"/>
                <w:bCs w:val="0"/>
                <w:color w:val="auto"/>
                <w:sz w:val="21"/>
                <w:szCs w:val="21"/>
                <w:highlight w:val="none"/>
                <w:lang w:val="en-US" w:eastAsia="zh-CN"/>
              </w:rPr>
              <w:t>的，得3分。</w:t>
            </w:r>
          </w:p>
          <w:p w14:paraId="4567BFE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项目团队人员（除项目负责人外）持有电气或</w:t>
            </w:r>
            <w:r>
              <w:rPr>
                <w:rFonts w:hint="eastAsia" w:ascii="仿宋" w:hAnsi="仿宋" w:eastAsia="仿宋" w:cs="仿宋"/>
                <w:color w:val="auto"/>
                <w:szCs w:val="21"/>
                <w:highlight w:val="none"/>
              </w:rPr>
              <w:t>机电或暖通</w:t>
            </w:r>
            <w:r>
              <w:rPr>
                <w:rFonts w:hint="eastAsia" w:ascii="仿宋" w:hAnsi="仿宋" w:eastAsia="仿宋" w:cs="仿宋"/>
                <w:b w:val="0"/>
                <w:bCs w:val="0"/>
                <w:color w:val="auto"/>
                <w:sz w:val="21"/>
                <w:szCs w:val="21"/>
                <w:highlight w:val="none"/>
                <w:lang w:val="en-US" w:eastAsia="zh-CN"/>
              </w:rPr>
              <w:t xml:space="preserve">中级或以上职称的，得2分。 </w:t>
            </w:r>
          </w:p>
          <w:p w14:paraId="6D738390">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b w:val="0"/>
                <w:bCs w:val="0"/>
                <w:color w:val="auto"/>
                <w:sz w:val="21"/>
                <w:szCs w:val="21"/>
                <w:highlight w:val="none"/>
                <w:lang w:val="en-US" w:eastAsia="zh-CN"/>
              </w:rPr>
              <w:t>注：须提供以上相关人员有效期内的证书复印件及2025年1月以来任意一个月的响应供应商为其缴纳的社保证明材料复印件，缺一不可。</w:t>
            </w:r>
          </w:p>
        </w:tc>
      </w:tr>
    </w:tbl>
    <w:p w14:paraId="7F638889">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7D71AABD">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技术评审表（60分）</w:t>
      </w:r>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12"/>
        <w:gridCol w:w="634"/>
        <w:gridCol w:w="7017"/>
      </w:tblGrid>
      <w:tr w14:paraId="62D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E0DD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D02E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77A5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27A6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18BE2FD8">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szCs w:val="21"/>
              </w:rPr>
              <w:t>中带</w:t>
            </w:r>
            <w:r>
              <w:rPr>
                <w:rFonts w:hint="eastAsia" w:ascii="仿宋" w:hAnsi="仿宋" w:eastAsia="仿宋" w:cs="仿宋"/>
                <w:color w:val="000000"/>
                <w:szCs w:val="21"/>
                <w:lang w:eastAsia="zh-CN"/>
              </w:rPr>
              <w:t>“</w:t>
            </w:r>
            <w:r>
              <w:rPr>
                <w:rFonts w:hint="eastAsia" w:ascii="仿宋" w:hAnsi="仿宋" w:eastAsia="仿宋" w:cs="仿宋"/>
                <w:color w:val="000000"/>
                <w:szCs w:val="21"/>
              </w:rPr>
              <w:t>▲</w:t>
            </w:r>
            <w:r>
              <w:rPr>
                <w:rFonts w:hint="eastAsia" w:ascii="仿宋" w:hAnsi="仿宋" w:eastAsia="仿宋" w:cs="仿宋"/>
                <w:color w:val="000000"/>
                <w:szCs w:val="21"/>
                <w:lang w:eastAsia="zh-CN"/>
              </w:rPr>
              <w:t>”</w:t>
            </w:r>
            <w:r>
              <w:rPr>
                <w:rFonts w:hint="eastAsia" w:ascii="仿宋" w:hAnsi="仿宋" w:eastAsia="仿宋" w:cs="仿宋"/>
                <w:color w:val="000000"/>
                <w:szCs w:val="21"/>
              </w:rPr>
              <w:t>号的重要技术（服务）条款的响应程度</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8F80B2">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663223F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号的重要技术（服务）条款，每满足一条得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个带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p w14:paraId="6329885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32D5A97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（参与本项评审的“▲”号技术（服务）条款总数：共</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条）</w:t>
            </w:r>
          </w:p>
          <w:p w14:paraId="6F1292F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1E5EAC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公章；若没有要求，则提供技术参数确认函并加盖制造商公章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制造商技术白皮书并加盖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制造商使用说明书并加盖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制造商市场公开的宣传彩页并加盖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制造商官网清晰截图并加盖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公章作为技术证明文件，但任何一类证明文件应该清晰明确反映相关响应的信息，否则</w:t>
            </w:r>
            <w:r>
              <w:rPr>
                <w:rFonts w:hint="eastAsia" w:ascii="仿宋" w:hAnsi="仿宋" w:eastAsia="仿宋" w:cs="仿宋"/>
                <w:color w:val="000000"/>
                <w:sz w:val="21"/>
                <w:szCs w:val="21"/>
                <w:lang w:val="en-US" w:eastAsia="zh-CN"/>
              </w:rPr>
              <w:t>评审</w:t>
            </w:r>
            <w:r>
              <w:rPr>
                <w:rFonts w:hint="eastAsia" w:ascii="仿宋" w:hAnsi="仿宋" w:eastAsia="仿宋" w:cs="仿宋"/>
                <w:color w:val="000000"/>
                <w:sz w:val="21"/>
                <w:szCs w:val="21"/>
              </w:rPr>
              <w:t>委员会有权视相应技术参数响应不满足</w:t>
            </w:r>
            <w:r>
              <w:rPr>
                <w:rFonts w:hint="eastAsia" w:ascii="仿宋" w:hAnsi="仿宋" w:eastAsia="仿宋" w:cs="仿宋"/>
                <w:color w:val="000000"/>
                <w:sz w:val="21"/>
                <w:szCs w:val="21"/>
                <w:lang w:val="en-US" w:eastAsia="zh-CN"/>
              </w:rPr>
              <w:t>比选</w:t>
            </w:r>
            <w:r>
              <w:rPr>
                <w:rFonts w:hint="eastAsia" w:ascii="仿宋" w:hAnsi="仿宋" w:eastAsia="仿宋" w:cs="仿宋"/>
                <w:color w:val="000000"/>
                <w:sz w:val="21"/>
                <w:szCs w:val="21"/>
              </w:rPr>
              <w:t>文件要求（如制造商的产品使用说明书等相关证明文件为外文版，请同时提供中文版）</w:t>
            </w:r>
            <w:r>
              <w:rPr>
                <w:rFonts w:hint="eastAsia" w:ascii="仿宋" w:hAnsi="仿宋" w:eastAsia="仿宋" w:cs="仿宋"/>
                <w:color w:val="000000"/>
                <w:sz w:val="21"/>
                <w:szCs w:val="21"/>
                <w:lang w:eastAsia="zh-CN"/>
              </w:rPr>
              <w:t>。</w:t>
            </w:r>
          </w:p>
        </w:tc>
      </w:tr>
      <w:tr w14:paraId="783D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F7FC9DB">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中不带“▲”号的一般技术（服务）条款的响应程度</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FD19FEA">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7</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FD00A6B">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一般</w:t>
            </w:r>
            <w:r>
              <w:rPr>
                <w:rFonts w:hint="eastAsia" w:ascii="仿宋" w:hAnsi="仿宋" w:eastAsia="仿宋" w:cs="仿宋"/>
                <w:color w:val="000000"/>
                <w:sz w:val="21"/>
                <w:szCs w:val="21"/>
              </w:rPr>
              <w:t>技术（服务）条款，每满足一条得</w:t>
            </w:r>
            <w:r>
              <w:rPr>
                <w:rFonts w:hint="eastAsia" w:ascii="仿宋" w:hAnsi="仿宋" w:eastAsia="仿宋" w:cs="仿宋"/>
                <w:color w:val="000000"/>
                <w:sz w:val="21"/>
                <w:szCs w:val="21"/>
                <w:lang w:val="en-US" w:eastAsia="zh-CN"/>
              </w:rPr>
              <w:t>0.7</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个</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分。</w:t>
            </w:r>
          </w:p>
          <w:p w14:paraId="687E78A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DE8A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带“▲”号技术（服务）条款总数：共</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条）</w:t>
            </w:r>
          </w:p>
          <w:p w14:paraId="2F2D0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p>
          <w:p w14:paraId="44C9F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w:t>
            </w:r>
            <w:r>
              <w:rPr>
                <w:rFonts w:hint="eastAsia" w:ascii="仿宋" w:hAnsi="仿宋" w:eastAsia="仿宋" w:cs="仿宋"/>
                <w:color w:val="000000"/>
                <w:sz w:val="21"/>
                <w:szCs w:val="21"/>
                <w:lang w:val="en-US" w:eastAsia="zh-CN"/>
              </w:rPr>
              <w:t>承诺函</w:t>
            </w:r>
            <w:r>
              <w:rPr>
                <w:rFonts w:hint="eastAsia" w:ascii="仿宋" w:hAnsi="仿宋" w:eastAsia="仿宋" w:cs="仿宋"/>
                <w:color w:val="000000"/>
                <w:sz w:val="21"/>
                <w:szCs w:val="21"/>
              </w:rPr>
              <w:t>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p>
        </w:tc>
      </w:tr>
      <w:tr w14:paraId="6A20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73FA477D">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空调设备的质量、性能评审</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7B994D38">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79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为体现机组节能性，所投多联机8HP、10HP、12HP、14HP、16HP、18HPAPF：</w:t>
            </w:r>
          </w:p>
          <w:p w14:paraId="7D170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以上六款空调设备的APF平均值＞5.5，得4分；</w:t>
            </w:r>
          </w:p>
          <w:p w14:paraId="495E7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5.0≤APF平均值≤5.5，得2分；</w:t>
            </w:r>
          </w:p>
          <w:p w14:paraId="75D8A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其他情况不得分；</w:t>
            </w:r>
          </w:p>
          <w:p w14:paraId="67546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满分为4分。</w:t>
            </w:r>
          </w:p>
          <w:p w14:paraId="7B93E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注：在响应文件中须提供具备CMA或CNAS认证的第三方检测机构出具的检测报告扫描件或中国能效标识网查询截图。</w:t>
            </w:r>
          </w:p>
        </w:tc>
      </w:tr>
      <w:tr w14:paraId="7C42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vMerge w:val="continue"/>
            <w:tcBorders>
              <w:left w:val="single" w:color="auto" w:sz="4" w:space="0"/>
              <w:bottom w:val="single" w:color="auto" w:sz="4" w:space="0"/>
              <w:right w:val="single" w:color="auto" w:sz="4" w:space="0"/>
            </w:tcBorders>
            <w:shd w:val="clear" w:color="auto" w:fill="auto"/>
            <w:vAlign w:val="center"/>
          </w:tcPr>
          <w:p w14:paraId="3405D57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0799730C">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4EC6A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所投变频多联空调机组具有通信实时可靠性一级、内机断电通信、断电控阀、通信线任意拓扑能力。每能够体现一项得1分，满分4分。</w:t>
            </w:r>
          </w:p>
          <w:p w14:paraId="481A1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注：在响应文件中须提供具备CMA或CNAS认证的第三方检测机构出具的检测报告扫描件。</w:t>
            </w:r>
          </w:p>
        </w:tc>
      </w:tr>
      <w:tr w14:paraId="04F9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25BE00B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项目实施计划</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5C663949">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B843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45CD3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（1）项目管理及进度安排；</w:t>
            </w:r>
          </w:p>
          <w:p w14:paraId="6A1B3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（2）进度保证措施；</w:t>
            </w:r>
          </w:p>
          <w:p w14:paraId="2155C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（3）质量保证措施；</w:t>
            </w:r>
          </w:p>
          <w:p w14:paraId="2B14A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（4）验收方案；</w:t>
            </w:r>
          </w:p>
          <w:p w14:paraId="1FFBF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项目安全文明措施。</w:t>
            </w:r>
          </w:p>
          <w:p w14:paraId="0881A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tc>
      </w:tr>
      <w:tr w14:paraId="56C8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6E5559AD">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售后服务方案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1A5786">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2C1C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 w:val="21"/>
                <w:szCs w:val="21"/>
                <w:lang w:val="en-US" w:eastAsia="zh-CN"/>
              </w:rPr>
              <w:t>售后服务方案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1B18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（1）售后</w:t>
            </w:r>
            <w:r>
              <w:rPr>
                <w:rFonts w:hint="eastAsia" w:ascii="仿宋" w:hAnsi="仿宋" w:eastAsia="仿宋" w:cs="仿宋"/>
                <w:color w:val="000000"/>
                <w:sz w:val="21"/>
                <w:szCs w:val="21"/>
              </w:rPr>
              <w:t>人员安排</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3D255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（2）服务响应时间；</w:t>
            </w:r>
          </w:p>
          <w:p w14:paraId="66EEB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w:t>
            </w:r>
            <w:r>
              <w:rPr>
                <w:rFonts w:hint="eastAsia" w:ascii="仿宋" w:hAnsi="仿宋" w:eastAsia="仿宋" w:cs="仿宋"/>
                <w:color w:val="000000"/>
                <w:sz w:val="21"/>
                <w:szCs w:val="21"/>
              </w:rPr>
              <w:t>故障解决方案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1FED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（4）备品备件储备情况。</w:t>
            </w:r>
          </w:p>
          <w:p w14:paraId="0D2B72F0">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r>
      <w:tr w14:paraId="4488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vMerge w:val="continue"/>
            <w:tcBorders>
              <w:left w:val="single" w:color="auto" w:sz="4" w:space="0"/>
              <w:bottom w:val="single" w:color="auto" w:sz="4" w:space="0"/>
              <w:right w:val="single" w:color="auto" w:sz="4" w:space="0"/>
            </w:tcBorders>
            <w:shd w:val="clear" w:color="auto" w:fill="auto"/>
            <w:vAlign w:val="center"/>
          </w:tcPr>
          <w:p w14:paraId="7F083CD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szCs w:val="21"/>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35602BA">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szCs w:val="21"/>
                <w:lang w:val="en-US" w:eastAsia="zh-CN"/>
              </w:rPr>
            </w:pP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3</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823811C">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sz w:val="21"/>
                <w:szCs w:val="21"/>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质保期承诺：响应人满足采购需求里合同设备质保期2年的前提下，每增加0.5年质保得1.5分，最高得3分。（提供承诺函，加盖公章）</w:t>
            </w:r>
          </w:p>
        </w:tc>
      </w:tr>
    </w:tbl>
    <w:p w14:paraId="1AFB21C8">
      <w:pPr>
        <w:pStyle w:val="24"/>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60D66E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2C5B8DC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最低的价格为评分基准价，价格得分＝（评分基准价/响应报价）*20，保留两位小数。</w:t>
      </w:r>
    </w:p>
    <w:p w14:paraId="2FFF7A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47D8F6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E8C01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51CB73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0183C6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E99AF1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23724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4900A80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73A893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highlight w:val="none"/>
        </w:rPr>
        <w:t>供应商的姓名或者名称、地址、邮编、联系人及联系电话；</w:t>
      </w:r>
    </w:p>
    <w:p w14:paraId="6ECDBCCA">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highlight w:val="none"/>
        </w:rPr>
        <w:t>质疑项目的名称、编号；</w:t>
      </w:r>
    </w:p>
    <w:p w14:paraId="5B17F077">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highlight w:val="none"/>
        </w:rPr>
        <w:t>具体、明确的质疑事项和与质疑事项相关的请求；</w:t>
      </w:r>
    </w:p>
    <w:p w14:paraId="1EB44485">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highlight w:val="none"/>
        </w:rPr>
        <w:t>事实依据；</w:t>
      </w:r>
    </w:p>
    <w:p w14:paraId="40BBE538">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highlight w:val="none"/>
        </w:rPr>
        <w:t>必要的法律依据；</w:t>
      </w:r>
    </w:p>
    <w:p w14:paraId="3BA43F5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highlight w:val="none"/>
        </w:rPr>
        <w:t>提出质疑的日期。</w:t>
      </w:r>
    </w:p>
    <w:p w14:paraId="5FCB1B5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6957B4DF">
      <w:pPr>
        <w:pStyle w:val="22"/>
        <w:rPr>
          <w:rFonts w:hint="eastAsia" w:ascii="微软雅黑" w:hAnsi="微软雅黑" w:eastAsia="微软雅黑" w:cs="微软雅黑"/>
          <w:color w:val="000000"/>
          <w:highlight w:val="none"/>
        </w:rPr>
      </w:pPr>
    </w:p>
    <w:p w14:paraId="4C31636B">
      <w:pPr>
        <w:pStyle w:val="22"/>
        <w:rPr>
          <w:rFonts w:hint="eastAsia" w:ascii="微软雅黑" w:hAnsi="微软雅黑" w:eastAsia="微软雅黑" w:cs="微软雅黑"/>
          <w:color w:val="000000"/>
          <w:highlight w:val="none"/>
        </w:rPr>
      </w:pPr>
    </w:p>
    <w:p w14:paraId="43B15B10">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357EAB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0D0ACB7">
      <w:pPr>
        <w:rPr>
          <w:rFonts w:hint="eastAsia" w:ascii="微软雅黑" w:hAnsi="微软雅黑" w:eastAsia="微软雅黑" w:cs="微软雅黑"/>
          <w:color w:val="000000"/>
          <w:highlight w:val="none"/>
        </w:rPr>
      </w:pPr>
    </w:p>
    <w:p w14:paraId="42244ADF">
      <w:pPr>
        <w:rPr>
          <w:rFonts w:hint="eastAsia" w:ascii="微软雅黑" w:hAnsi="微软雅黑" w:eastAsia="微软雅黑" w:cs="微软雅黑"/>
          <w:color w:val="000000"/>
          <w:highlight w:val="none"/>
        </w:rPr>
      </w:pPr>
    </w:p>
    <w:p w14:paraId="3B619BC1">
      <w:pPr>
        <w:rPr>
          <w:rFonts w:hint="eastAsia" w:ascii="微软雅黑" w:hAnsi="微软雅黑" w:eastAsia="微软雅黑" w:cs="微软雅黑"/>
          <w:color w:val="000000"/>
          <w:highlight w:val="none"/>
        </w:rPr>
      </w:pPr>
    </w:p>
    <w:p w14:paraId="30025D5E">
      <w:pPr>
        <w:rPr>
          <w:rFonts w:hint="eastAsia" w:ascii="微软雅黑" w:hAnsi="微软雅黑" w:eastAsia="微软雅黑" w:cs="微软雅黑"/>
          <w:color w:val="000000"/>
          <w:highlight w:val="none"/>
        </w:rPr>
      </w:pPr>
    </w:p>
    <w:p w14:paraId="4A025068">
      <w:pPr>
        <w:rPr>
          <w:rFonts w:hint="eastAsia" w:ascii="微软雅黑" w:hAnsi="微软雅黑" w:eastAsia="微软雅黑" w:cs="微软雅黑"/>
          <w:color w:val="000000"/>
          <w:highlight w:val="none"/>
        </w:rPr>
      </w:pPr>
    </w:p>
    <w:p w14:paraId="125E6FDB">
      <w:pPr>
        <w:rPr>
          <w:rFonts w:hint="eastAsia" w:ascii="微软雅黑" w:hAnsi="微软雅黑" w:eastAsia="微软雅黑" w:cs="微软雅黑"/>
          <w:color w:val="000000"/>
          <w:highlight w:val="none"/>
        </w:rPr>
      </w:pPr>
    </w:p>
    <w:p w14:paraId="1365B08B">
      <w:pPr>
        <w:rPr>
          <w:rFonts w:hint="eastAsia" w:ascii="微软雅黑" w:hAnsi="微软雅黑" w:eastAsia="微软雅黑" w:cs="微软雅黑"/>
          <w:color w:val="000000"/>
          <w:highlight w:val="none"/>
        </w:rPr>
      </w:pPr>
    </w:p>
    <w:p w14:paraId="650C3C64">
      <w:pPr>
        <w:rPr>
          <w:rFonts w:hint="eastAsia" w:ascii="微软雅黑" w:hAnsi="微软雅黑" w:eastAsia="微软雅黑" w:cs="微软雅黑"/>
          <w:color w:val="000000"/>
          <w:highlight w:val="none"/>
        </w:rPr>
      </w:pPr>
    </w:p>
    <w:p w14:paraId="4DDF6C29">
      <w:pPr>
        <w:rPr>
          <w:rFonts w:hint="eastAsia" w:ascii="微软雅黑" w:hAnsi="微软雅黑" w:eastAsia="微软雅黑" w:cs="微软雅黑"/>
          <w:color w:val="000000"/>
          <w:highlight w:val="none"/>
        </w:rPr>
      </w:pPr>
    </w:p>
    <w:p w14:paraId="4551304A">
      <w:pPr>
        <w:rPr>
          <w:rFonts w:hint="eastAsia" w:ascii="微软雅黑" w:hAnsi="微软雅黑" w:eastAsia="微软雅黑" w:cs="微软雅黑"/>
          <w:color w:val="000000"/>
          <w:highlight w:val="none"/>
        </w:rPr>
      </w:pPr>
    </w:p>
    <w:p w14:paraId="6CC1D718">
      <w:pPr>
        <w:rPr>
          <w:rFonts w:hint="eastAsia" w:ascii="微软雅黑" w:hAnsi="微软雅黑" w:eastAsia="微软雅黑" w:cs="微软雅黑"/>
          <w:color w:val="000000"/>
          <w:highlight w:val="none"/>
        </w:rPr>
      </w:pPr>
    </w:p>
    <w:p w14:paraId="4ABF732E">
      <w:pPr>
        <w:rPr>
          <w:rFonts w:hint="eastAsia" w:ascii="微软雅黑" w:hAnsi="微软雅黑" w:eastAsia="微软雅黑" w:cs="微软雅黑"/>
          <w:color w:val="000000"/>
          <w:highlight w:val="none"/>
        </w:rPr>
      </w:pPr>
    </w:p>
    <w:p w14:paraId="08AE4705">
      <w:pPr>
        <w:rPr>
          <w:rFonts w:hint="eastAsia" w:ascii="微软雅黑" w:hAnsi="微软雅黑" w:eastAsia="微软雅黑" w:cs="微软雅黑"/>
          <w:color w:val="000000"/>
          <w:highlight w:val="none"/>
        </w:rPr>
      </w:pPr>
    </w:p>
    <w:p w14:paraId="11CE594D">
      <w:pPr>
        <w:rPr>
          <w:rFonts w:hint="eastAsia" w:ascii="微软雅黑" w:hAnsi="微软雅黑" w:eastAsia="微软雅黑" w:cs="微软雅黑"/>
          <w:color w:val="000000"/>
          <w:highlight w:val="none"/>
        </w:rPr>
      </w:pPr>
    </w:p>
    <w:p w14:paraId="0D62EC90">
      <w:pPr>
        <w:rPr>
          <w:rFonts w:hint="eastAsia" w:ascii="微软雅黑" w:hAnsi="微软雅黑" w:eastAsia="微软雅黑" w:cs="微软雅黑"/>
          <w:color w:val="000000"/>
          <w:highlight w:val="none"/>
        </w:rPr>
      </w:pPr>
    </w:p>
    <w:p w14:paraId="43CEE98C">
      <w:pPr>
        <w:rPr>
          <w:rFonts w:hint="eastAsia" w:ascii="微软雅黑" w:hAnsi="微软雅黑" w:eastAsia="微软雅黑" w:cs="微软雅黑"/>
          <w:color w:val="000000"/>
          <w:highlight w:val="none"/>
        </w:rPr>
      </w:pPr>
    </w:p>
    <w:p w14:paraId="0758F51D">
      <w:pPr>
        <w:rPr>
          <w:rFonts w:hint="eastAsia" w:ascii="微软雅黑" w:hAnsi="微软雅黑" w:eastAsia="微软雅黑" w:cs="微软雅黑"/>
          <w:color w:val="000000"/>
          <w:highlight w:val="none"/>
        </w:rPr>
      </w:pPr>
    </w:p>
    <w:p w14:paraId="790A961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EE31EE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BE77A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3A11F96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81CE8F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2226785">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D3098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1F7CCAB">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96EE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EA16A9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C3A938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EB5480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8E34C7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57AF5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E51CF9">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F0D90B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4205E10B">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7168AB3">
      <w:pPr>
        <w:shd w:val="clear" w:color="auto" w:fill="FFFFFF"/>
        <w:spacing w:beforeAutospacing="1"/>
        <w:rPr>
          <w:rFonts w:hint="eastAsia" w:ascii="仿宋" w:hAnsi="仿宋" w:eastAsia="仿宋" w:cs="仿宋"/>
          <w:color w:val="000000"/>
          <w:sz w:val="21"/>
          <w:szCs w:val="24"/>
          <w:highlight w:val="none"/>
          <w:shd w:val="clear" w:color="auto" w:fill="FFFFFF"/>
        </w:rPr>
      </w:pPr>
    </w:p>
    <w:p w14:paraId="755A30BE">
      <w:pPr>
        <w:shd w:val="clear" w:color="auto" w:fill="FFFFFF"/>
        <w:spacing w:beforeAutospacing="1"/>
        <w:rPr>
          <w:rFonts w:hint="eastAsia" w:ascii="仿宋" w:hAnsi="仿宋" w:eastAsia="仿宋" w:cs="仿宋"/>
          <w:color w:val="000000"/>
          <w:sz w:val="21"/>
          <w:szCs w:val="24"/>
          <w:highlight w:val="none"/>
          <w:shd w:val="clear" w:color="auto" w:fill="FFFFFF"/>
        </w:rPr>
      </w:pPr>
    </w:p>
    <w:p w14:paraId="28E4B9A6">
      <w:pPr>
        <w:pStyle w:val="22"/>
        <w:rPr>
          <w:rFonts w:hint="eastAsia" w:ascii="仿宋" w:hAnsi="仿宋" w:eastAsia="仿宋" w:cs="仿宋"/>
          <w:highlight w:val="none"/>
        </w:rPr>
      </w:pPr>
    </w:p>
    <w:p w14:paraId="1258DF77">
      <w:pPr>
        <w:shd w:val="clear" w:color="auto" w:fill="FFFFFF"/>
        <w:spacing w:beforeAutospacing="1"/>
        <w:rPr>
          <w:rFonts w:hint="eastAsia" w:ascii="仿宋" w:hAnsi="仿宋" w:eastAsia="仿宋" w:cs="仿宋"/>
          <w:color w:val="000000"/>
          <w:sz w:val="21"/>
          <w:szCs w:val="24"/>
          <w:highlight w:val="none"/>
          <w:shd w:val="clear" w:color="auto" w:fill="FFFFFF"/>
        </w:rPr>
      </w:pPr>
    </w:p>
    <w:p w14:paraId="06750B80">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658BFD1E">
      <w:pPr>
        <w:spacing w:beforeAutospacing="1" w:line="360" w:lineRule="auto"/>
        <w:rPr>
          <w:rFonts w:hint="eastAsia" w:ascii="仿宋" w:hAnsi="仿宋" w:eastAsia="仿宋" w:cs="仿宋"/>
          <w:b/>
          <w:color w:val="000000"/>
          <w:sz w:val="48"/>
          <w:szCs w:val="48"/>
          <w:highlight w:val="none"/>
        </w:rPr>
      </w:pPr>
    </w:p>
    <w:p w14:paraId="105704C3">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C571655">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72EF01C3">
      <w:pPr>
        <w:spacing w:beforeAutospacing="1" w:line="360" w:lineRule="auto"/>
        <w:rPr>
          <w:rFonts w:hint="eastAsia" w:ascii="仿宋" w:hAnsi="仿宋" w:eastAsia="仿宋" w:cs="仿宋"/>
          <w:b/>
          <w:color w:val="000000"/>
          <w:sz w:val="28"/>
          <w:szCs w:val="28"/>
          <w:highlight w:val="none"/>
        </w:rPr>
      </w:pPr>
    </w:p>
    <w:tbl>
      <w:tblPr>
        <w:tblStyle w:val="17"/>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E72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43034B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1F70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7357961">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DDA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4E2BDF6">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0760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FD7FF7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3DEFE925">
      <w:pPr>
        <w:spacing w:beforeAutospacing="1" w:line="360" w:lineRule="auto"/>
        <w:rPr>
          <w:rFonts w:hint="eastAsia" w:ascii="仿宋_GB2312" w:eastAsia="仿宋_GB2312" w:cs="仿宋_GB2312"/>
          <w:b/>
          <w:color w:val="000000"/>
          <w:sz w:val="28"/>
          <w:szCs w:val="28"/>
          <w:highlight w:val="none"/>
        </w:rPr>
      </w:pPr>
    </w:p>
    <w:p w14:paraId="62D20C85">
      <w:pPr>
        <w:pStyle w:val="22"/>
        <w:rPr>
          <w:rFonts w:hint="eastAsia"/>
          <w:highlight w:val="none"/>
        </w:rPr>
      </w:pPr>
    </w:p>
    <w:p w14:paraId="2DBDA043">
      <w:pPr>
        <w:pStyle w:val="22"/>
        <w:rPr>
          <w:rFonts w:hint="eastAsia"/>
          <w:highlight w:val="none"/>
        </w:rPr>
      </w:pPr>
    </w:p>
    <w:p w14:paraId="2CA1C2EA">
      <w:pPr>
        <w:pStyle w:val="22"/>
        <w:rPr>
          <w:rFonts w:hint="eastAsia"/>
          <w:highlight w:val="none"/>
        </w:rPr>
      </w:pPr>
    </w:p>
    <w:p w14:paraId="31BAD6D9">
      <w:pPr>
        <w:pStyle w:val="22"/>
        <w:rPr>
          <w:rFonts w:hint="eastAsia"/>
          <w:highlight w:val="none"/>
        </w:rPr>
      </w:pPr>
    </w:p>
    <w:p w14:paraId="2022E1A0">
      <w:pPr>
        <w:pStyle w:val="24"/>
        <w:ind w:firstLine="0" w:firstLineChars="0"/>
        <w:rPr>
          <w:rFonts w:hint="eastAsia" w:ascii="仿宋_GB2312" w:eastAsia="仿宋_GB2312" w:cs="仿宋_GB2312"/>
          <w:b/>
          <w:color w:val="000000"/>
          <w:sz w:val="28"/>
          <w:szCs w:val="28"/>
          <w:highlight w:val="none"/>
        </w:rPr>
      </w:pPr>
    </w:p>
    <w:p w14:paraId="5410CEC8">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D4D4289">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6F27D6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FF7A28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1044A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8DE2D15">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0DE9FF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根据《中华人民共和国民法典》及中山大学孙逸仙纪念医院北院区检验科、南院区逸仙楼四楼消毒供应中心空调系统升级改造服务项目的采购结果和</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的要求，经甲、乙双方协商，本着平等互利和诚实信用的原则，一致同意订立本合同，共同遵守。具体条款如下：</w:t>
      </w:r>
    </w:p>
    <w:p w14:paraId="731A60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一、服务项目</w:t>
      </w:r>
    </w:p>
    <w:p w14:paraId="4D9BC47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项目名称：中山大学孙逸仙纪念医院北院区检验科、南院区逸仙楼四楼消毒供应中心空调系统升级改造服务项目</w:t>
      </w:r>
    </w:p>
    <w:p w14:paraId="538FDCF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项目实施地点：中山大学孙逸仙纪念医院北院区检验科、南院区逸仙楼四楼消毒供应中心。</w:t>
      </w:r>
    </w:p>
    <w:p w14:paraId="05D8855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服务期限：自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发出通知之日起45日内，完成设备的供货、安装、调试及验收工作，并将设备交付</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投入正常使用。北院区检验科、南院区逸仙楼四楼消毒供应中心空调系统升级改造服务的时间，分别自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通知之日起按45日计算。施工工作可能同时开展，也可能先后分别进行。 </w:t>
      </w:r>
    </w:p>
    <w:p w14:paraId="716C70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技术要求</w:t>
      </w:r>
    </w:p>
    <w:p w14:paraId="566F6098">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乙方为</w:t>
      </w:r>
      <w:r>
        <w:rPr>
          <w:rFonts w:hint="eastAsia" w:ascii="仿宋" w:hAnsi="仿宋" w:eastAsia="仿宋" w:cs="仿宋"/>
          <w:color w:val="000000"/>
          <w:sz w:val="24"/>
          <w:szCs w:val="24"/>
          <w:highlight w:val="none"/>
        </w:rPr>
        <w:t>本项目</w:t>
      </w:r>
      <w:r>
        <w:rPr>
          <w:rFonts w:hint="eastAsia" w:ascii="仿宋" w:hAnsi="仿宋" w:eastAsia="仿宋" w:cs="仿宋"/>
          <w:color w:val="000000"/>
          <w:sz w:val="24"/>
          <w:szCs w:val="24"/>
          <w:highlight w:val="none"/>
          <w:lang w:val="en-US" w:eastAsia="zh-CN"/>
        </w:rPr>
        <w:t>提供</w:t>
      </w:r>
      <w:r>
        <w:rPr>
          <w:rFonts w:hint="eastAsia" w:ascii="仿宋" w:hAnsi="仿宋" w:eastAsia="仿宋" w:cs="仿宋"/>
          <w:color w:val="000000"/>
          <w:sz w:val="24"/>
          <w:szCs w:val="24"/>
          <w:highlight w:val="none"/>
        </w:rPr>
        <w:t>的多联机产品的压缩机需采用喷气增焓压缩机，并且采用环保冷媒R410A。</w:t>
      </w:r>
    </w:p>
    <w:p w14:paraId="4E368BDD">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提供的设备应适应</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所在地的气象条件，且能够在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所在地的极端天气状况下，室外机应确保正常运行。</w:t>
      </w:r>
    </w:p>
    <w:p w14:paraId="6C5B0E0F">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室外机需具备静音运转功能，夜间可启动静音运转，以降低室外机的运转噪音。 </w:t>
      </w:r>
    </w:p>
    <w:p w14:paraId="124AB6AE">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室外机电脑控制板采用SMT封固技术，保护电脑主板不受风沙及高湿天气影响。</w:t>
      </w:r>
    </w:p>
    <w:p w14:paraId="5D34965C">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停电再启动功能，遇到意外断电情况，系统记录运行前的运转模式，待电源恢复后，系统自动恢复至断电前状态。 </w:t>
      </w:r>
    </w:p>
    <w:p w14:paraId="0C19F3CC">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电控电路中增加放电管以及压敏电阻设计，可在机组发生雷击时有效吸收瞬间较高的雷击电压，保护电路后端重要电器部件免受损失。</w:t>
      </w:r>
    </w:p>
    <w:p w14:paraId="08F97072">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多联式室外机应采用一体式四面热交换器，提高系统的换热效率。 </w:t>
      </w:r>
    </w:p>
    <w:p w14:paraId="18210018">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机组控制器及通讯线应为安全特低电压供电</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与强电间应有安全隔离变压器且符合加强绝缘要求。 </w:t>
      </w:r>
    </w:p>
    <w:p w14:paraId="2845CA34">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为保证多联机设备使用效果及延长使用寿命，所投设备具有自动除尘高温除菌清洁功能</w:t>
      </w:r>
      <w:r>
        <w:rPr>
          <w:rFonts w:hint="eastAsia" w:ascii="仿宋" w:hAnsi="仿宋" w:eastAsia="仿宋" w:cs="仿宋"/>
          <w:color w:val="000000"/>
          <w:sz w:val="24"/>
          <w:szCs w:val="24"/>
          <w:highlight w:val="none"/>
          <w:lang w:eastAsia="zh-CN"/>
        </w:rPr>
        <w:t>。</w:t>
      </w:r>
    </w:p>
    <w:p w14:paraId="0F87CDED">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多联式室内机应具有智能风量调节技术，当空调的进、出风口滤网或风道被堵塞时，机器可依据检测到的静压变化来自动调节电机转速，维持空调出风风量恒定，不影响制冷或制热效果。</w:t>
      </w:r>
    </w:p>
    <w:p w14:paraId="709E3E57">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为保障多联式空调机组使用过程中电器部件节能高效，所投多联机室外机具备应机组应采用高效直流变速电机，电机可实现无级变频调节。</w:t>
      </w:r>
    </w:p>
    <w:p w14:paraId="48AD2985">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为保障机组使用过程中电器部件节能高效，所投多联式室外机应采用高效直流变速电机，电机可实现无级变频调节，且电机效率应不低于88%。 </w:t>
      </w:r>
    </w:p>
    <w:p w14:paraId="2B5D67E2">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为确保多联式空调机组在使用过程中系统设计具备高效性，要求所投产品在设计时考虑采取有效降低系统低压侧压力损失的措施，以提升机组的能源利用效率。</w:t>
      </w:r>
    </w:p>
    <w:p w14:paraId="213A85F9">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所投多联式室外机采用多组换热器设计方案，通过多电子膨胀阀控制，使得系统保持合适的压力，增加系统运行稳定性。</w:t>
      </w:r>
    </w:p>
    <w:p w14:paraId="7BD7396E">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w:t>
      </w:r>
      <w:r>
        <w:rPr>
          <w:rFonts w:hint="eastAsia" w:ascii="仿宋" w:hAnsi="仿宋" w:eastAsia="仿宋" w:cs="仿宋"/>
          <w:color w:val="000000"/>
          <w:sz w:val="24"/>
          <w:szCs w:val="24"/>
          <w:highlight w:val="none"/>
        </w:rPr>
        <w:t xml:space="preserve">具备恒温抑霜功能：在高湿度环境下，启用恒温抑霜模式时，机组周期制热量能够提升幅度达5%以上；在低湿度环境下，启用恒温抑霜模式时，除霜周期延长幅度能够达10%以上，可实现良好的制热效果。 </w:t>
      </w:r>
    </w:p>
    <w:p w14:paraId="705DA3C3">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为体现多联式空调机组节能性，所投多联式空调机组的最大全年性能系数APF值≥</w:t>
      </w:r>
      <w:r>
        <w:rPr>
          <w:rFonts w:hint="eastAsia" w:ascii="仿宋" w:hAnsi="仿宋" w:eastAsia="仿宋" w:cs="仿宋"/>
          <w:color w:val="000000"/>
          <w:sz w:val="24"/>
          <w:szCs w:val="24"/>
          <w:highlight w:val="none"/>
          <w:lang w:eastAsia="zh-CN"/>
        </w:rPr>
        <w:t>5.5</w:t>
      </w:r>
      <w:r>
        <w:rPr>
          <w:rFonts w:hint="eastAsia" w:ascii="仿宋" w:hAnsi="仿宋" w:eastAsia="仿宋" w:cs="仿宋"/>
          <w:color w:val="000000"/>
          <w:sz w:val="24"/>
          <w:szCs w:val="24"/>
          <w:highlight w:val="none"/>
        </w:rPr>
        <w:t>。</w:t>
      </w:r>
    </w:p>
    <w:p w14:paraId="38094545">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所投变频多联空调机组具有通信实时可靠性一级、内机断电通信、断电控阀、通信线任意拓扑能力。</w:t>
      </w:r>
    </w:p>
    <w:p w14:paraId="34DAF859">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本项目所涉及的多联式室外机以及出风嵌入机，均归属于多联式空调（热泵）机组（制冷量＞14000W），属于节能产品政府采购品目清单中的强制采购品目产品。</w:t>
      </w:r>
    </w:p>
    <w:p w14:paraId="474B5D8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三、</w:t>
      </w:r>
      <w:r>
        <w:rPr>
          <w:rFonts w:hint="eastAsia" w:ascii="仿宋" w:hAnsi="仿宋" w:eastAsia="仿宋" w:cs="仿宋"/>
          <w:color w:val="000000"/>
          <w:sz w:val="24"/>
          <w:szCs w:val="24"/>
          <w:highlight w:val="none"/>
          <w:lang w:val="en-US" w:eastAsia="zh-CN"/>
        </w:rPr>
        <w:t>合同金额</w:t>
      </w:r>
    </w:p>
    <w:p w14:paraId="44AACCA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1.合同</w:t>
      </w:r>
      <w:r>
        <w:rPr>
          <w:rFonts w:hint="eastAsia" w:ascii="仿宋" w:hAnsi="仿宋" w:eastAsia="仿宋" w:cs="仿宋"/>
          <w:color w:val="000000"/>
          <w:sz w:val="24"/>
          <w:szCs w:val="24"/>
          <w:highlight w:val="none"/>
        </w:rPr>
        <w:t>总金额：￥     元（大写：     元）。该合同总金额是完成本项目的所有费用，含货物采购、包装、装卸、检测、运输、安装、调试、资料费、服务费、税费和伴随货物服务的其他所有费用。</w:t>
      </w:r>
    </w:p>
    <w:p w14:paraId="25BFE66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乙方报价的综合单价均应包含材料设备安装的辅材、辅料、配件，确保提供的产品及所有配套件的完整性，甲方不再对此另行支付任何费用。</w:t>
      </w:r>
    </w:p>
    <w:p w14:paraId="1C39CDF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3.乙方</w:t>
      </w:r>
      <w:r>
        <w:rPr>
          <w:rFonts w:hint="eastAsia" w:ascii="仿宋" w:hAnsi="仿宋" w:eastAsia="仿宋" w:cs="仿宋"/>
          <w:color w:val="000000"/>
          <w:sz w:val="24"/>
          <w:szCs w:val="24"/>
          <w:highlight w:val="none"/>
        </w:rPr>
        <w:t>应在充分考虑可能发生的突发状况的基础上合理报价，在合同执行期间保持不变，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不得再以其它任何形式向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索要增加任何的费用。</w:t>
      </w:r>
    </w:p>
    <w:p w14:paraId="5C5176D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价格清单详见附件。</w:t>
      </w:r>
    </w:p>
    <w:p w14:paraId="5ECF044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四、付款方式</w:t>
      </w:r>
    </w:p>
    <w:p w14:paraId="4AF4FB0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完成本项目服务后，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凭发票、</w:t>
      </w:r>
      <w:r>
        <w:rPr>
          <w:rFonts w:hint="eastAsia" w:ascii="仿宋" w:hAnsi="仿宋" w:eastAsia="仿宋" w:cs="仿宋"/>
          <w:b w:val="0"/>
          <w:bCs/>
          <w:color w:val="000000"/>
          <w:sz w:val="24"/>
          <w:szCs w:val="24"/>
          <w:highlight w:val="none"/>
          <w:lang w:eastAsia="zh-CN"/>
        </w:rPr>
        <w:t>空调系统</w:t>
      </w:r>
      <w:r>
        <w:rPr>
          <w:rFonts w:hint="eastAsia" w:ascii="仿宋" w:hAnsi="仿宋" w:eastAsia="仿宋" w:cs="仿宋"/>
          <w:color w:val="000000"/>
          <w:sz w:val="24"/>
          <w:szCs w:val="24"/>
          <w:highlight w:val="none"/>
        </w:rPr>
        <w:t>升级改造服务清单（须经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申请付款，</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验收通过的，支付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服务费用。如服务过程中发现有不达标情况，</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可拒绝验收通过。  </w:t>
      </w:r>
    </w:p>
    <w:p w14:paraId="4F4FC8B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确定本项目</w:t>
      </w:r>
      <w:r>
        <w:rPr>
          <w:rFonts w:hint="eastAsia" w:ascii="仿宋" w:hAnsi="仿宋" w:eastAsia="仿宋" w:cs="仿宋"/>
          <w:b w:val="0"/>
          <w:bCs/>
          <w:color w:val="000000"/>
          <w:sz w:val="24"/>
          <w:szCs w:val="24"/>
          <w:highlight w:val="none"/>
          <w:lang w:eastAsia="zh-CN"/>
        </w:rPr>
        <w:t>北院区检验科、南院区逸仙楼四楼消毒供应中心空调系统升级改造服务工作</w:t>
      </w:r>
      <w:r>
        <w:rPr>
          <w:rFonts w:hint="eastAsia" w:ascii="仿宋" w:hAnsi="仿宋" w:eastAsia="仿宋" w:cs="仿宋"/>
          <w:color w:val="000000"/>
          <w:sz w:val="24"/>
          <w:szCs w:val="24"/>
          <w:highlight w:val="none"/>
        </w:rPr>
        <w:t>的具体内容后，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需编制相关改造施工方案及材料清单的工程量清单，经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确认同意后方可实施。相关工程费用已包含在</w:t>
      </w:r>
      <w:r>
        <w:rPr>
          <w:rFonts w:hint="eastAsia" w:ascii="仿宋" w:hAnsi="仿宋" w:eastAsia="仿宋" w:cs="仿宋"/>
          <w:color w:val="000000"/>
          <w:sz w:val="24"/>
          <w:szCs w:val="24"/>
          <w:highlight w:val="none"/>
          <w:lang w:val="en-US" w:eastAsia="zh-CN"/>
        </w:rPr>
        <w:t>合同总价</w:t>
      </w:r>
      <w:r>
        <w:rPr>
          <w:rFonts w:hint="eastAsia" w:ascii="仿宋" w:hAnsi="仿宋" w:eastAsia="仿宋" w:cs="仿宋"/>
          <w:color w:val="000000"/>
          <w:sz w:val="24"/>
          <w:szCs w:val="24"/>
          <w:highlight w:val="none"/>
        </w:rPr>
        <w:t>内，未经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同意的改造施工内容所产生的额外费用，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不予支付。</w:t>
      </w:r>
    </w:p>
    <w:p w14:paraId="279046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3.甲方</w:t>
      </w:r>
      <w:r>
        <w:rPr>
          <w:rFonts w:hint="eastAsia" w:ascii="仿宋" w:hAnsi="仿宋" w:eastAsia="仿宋" w:cs="仿宋"/>
          <w:color w:val="000000"/>
          <w:sz w:val="24"/>
          <w:szCs w:val="24"/>
          <w:highlight w:val="none"/>
        </w:rPr>
        <w:t>在收到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开具等额合法发票</w:t>
      </w:r>
      <w:r>
        <w:rPr>
          <w:rFonts w:hint="eastAsia" w:ascii="仿宋" w:hAnsi="仿宋" w:eastAsia="仿宋" w:cs="仿宋"/>
          <w:b w:val="0"/>
          <w:bCs/>
          <w:color w:val="000000"/>
          <w:sz w:val="24"/>
          <w:szCs w:val="24"/>
          <w:highlight w:val="none"/>
          <w:lang w:val="en-US" w:eastAsia="zh-CN"/>
        </w:rPr>
        <w:t>且满足支付条件</w:t>
      </w:r>
      <w:r>
        <w:rPr>
          <w:rFonts w:hint="eastAsia" w:ascii="仿宋" w:hAnsi="仿宋" w:eastAsia="仿宋" w:cs="仿宋"/>
          <w:color w:val="000000"/>
          <w:sz w:val="24"/>
          <w:szCs w:val="24"/>
          <w:highlight w:val="none"/>
        </w:rPr>
        <w:t>后的30日内支付结算价款。</w:t>
      </w:r>
    </w:p>
    <w:p w14:paraId="5B37D5B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支付方式：银行转账。</w:t>
      </w:r>
    </w:p>
    <w:p w14:paraId="734FFF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五、履约保证金</w:t>
      </w:r>
    </w:p>
    <w:p w14:paraId="727880F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履约保证金为合同总额的</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%，须在合同签订后7个工作日内</w:t>
      </w:r>
      <w:r>
        <w:rPr>
          <w:rFonts w:hint="eastAsia" w:ascii="仿宋" w:hAnsi="仿宋" w:eastAsia="仿宋" w:cs="仿宋"/>
          <w:color w:val="000000"/>
          <w:sz w:val="24"/>
          <w:szCs w:val="24"/>
          <w:highlight w:val="none"/>
          <w:lang w:val="en-US" w:eastAsia="zh-CN"/>
        </w:rPr>
        <w:t>以银行转账方式</w:t>
      </w:r>
      <w:r>
        <w:rPr>
          <w:rFonts w:hint="eastAsia" w:ascii="仿宋" w:hAnsi="仿宋" w:eastAsia="仿宋" w:cs="仿宋"/>
          <w:color w:val="000000"/>
          <w:sz w:val="24"/>
          <w:szCs w:val="24"/>
          <w:highlight w:val="none"/>
        </w:rPr>
        <w:t>缴纳。若乙方没有违约行为，履约保证金在交付验收合格并提供完整的验收技术档案资料后30日内由甲方无息退还乙方。</w:t>
      </w:r>
    </w:p>
    <w:p w14:paraId="01A5823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履约保证金不予退还的情形：</w:t>
      </w:r>
    </w:p>
    <w:p w14:paraId="1B54080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①乙方违反合同条款的，应扣除违约金后再退还履约保证金；履约保证金不足赔偿违约金时，甲方向乙方追付。</w:t>
      </w:r>
    </w:p>
    <w:p w14:paraId="0C42E4C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②乙方如没有按合同规定履行售后服务承诺，甲方可自行安排第三方单位修复，其费用全部由乙方支付，否则，将没收乙方的履约保证金。</w:t>
      </w:r>
    </w:p>
    <w:p w14:paraId="4510705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③乙方无正当理由单方面解除合同的，履约保证金不予退还。</w:t>
      </w:r>
    </w:p>
    <w:p w14:paraId="7468D7B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六、材料设备要求</w:t>
      </w:r>
    </w:p>
    <w:p w14:paraId="35BC6AD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kern w:val="2"/>
          <w:sz w:val="24"/>
          <w:szCs w:val="24"/>
          <w:highlight w:val="none"/>
          <w:lang w:val="en-US" w:eastAsia="zh-CN" w:bidi="ar-SA"/>
        </w:rPr>
        <w:t>1．</w:t>
      </w:r>
      <w:r>
        <w:rPr>
          <w:rFonts w:hint="eastAsia" w:ascii="仿宋" w:hAnsi="仿宋" w:eastAsia="仿宋" w:cs="仿宋"/>
          <w:color w:val="000000"/>
          <w:sz w:val="24"/>
          <w:szCs w:val="24"/>
          <w:highlight w:val="none"/>
          <w:lang w:val="en-US" w:eastAsia="zh-CN"/>
        </w:rPr>
        <w:t>乙方提供的货物必须是合格的、未曾使用过的全新产品，所采用的材料优良、质量上乘，原材料、辅料、成品均须符合相应的国家标准和行业标准，要求美观、牢固、耐用。空调机组要符合国家节能产品要求，能效等级需达到一级。</w:t>
      </w:r>
    </w:p>
    <w:p w14:paraId="10B236B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szCs w:val="24"/>
          <w:highlight w:val="none"/>
        </w:rPr>
        <w:t>乙方必须提供厂商原装全新、型号、性能及指标符合国家及比选文件提出的有关技术、质量、安全标准、要求的货物，序列号、包装箱号与出厂批号一致，并可追索查阅。</w:t>
      </w:r>
    </w:p>
    <w:p w14:paraId="1AD9773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3．</w:t>
      </w:r>
      <w:r>
        <w:rPr>
          <w:rFonts w:hint="eastAsia" w:ascii="仿宋" w:hAnsi="仿宋" w:eastAsia="仿宋" w:cs="仿宋"/>
          <w:color w:val="000000"/>
          <w:sz w:val="24"/>
          <w:szCs w:val="24"/>
          <w:highlight w:val="none"/>
        </w:rPr>
        <w:t>所投货物必须符合国家质量检测标准和专业设备检测标准。</w:t>
      </w:r>
    </w:p>
    <w:p w14:paraId="3E7113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4．</w:t>
      </w:r>
      <w:r>
        <w:rPr>
          <w:rFonts w:hint="eastAsia" w:ascii="仿宋" w:hAnsi="仿宋" w:eastAsia="仿宋" w:cs="仿宋"/>
          <w:color w:val="000000"/>
          <w:sz w:val="24"/>
          <w:szCs w:val="24"/>
          <w:highlight w:val="none"/>
        </w:rPr>
        <w:t>设备包装均应有良好的防湿、防锈、防潮、防雨、防腐及防碰撞的措施。凡由于包装不良造成的损失和由此产生的费用均由乙方承担。</w:t>
      </w:r>
    </w:p>
    <w:p w14:paraId="549706E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5．</w:t>
      </w:r>
      <w:r>
        <w:rPr>
          <w:rFonts w:hint="eastAsia" w:ascii="仿宋" w:hAnsi="仿宋" w:eastAsia="仿宋" w:cs="仿宋"/>
          <w:color w:val="000000"/>
          <w:sz w:val="24"/>
          <w:szCs w:val="24"/>
          <w:highlight w:val="none"/>
        </w:rPr>
        <w:t>乙方报名响应时所采用的设备如在实际供货时已经废型（不列入该厂家当时的产品系统），则乙方供货时应使用该厂家的最新产品提供给</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，其性能指标不得低于所投设备，并且价格不变。</w:t>
      </w:r>
    </w:p>
    <w:p w14:paraId="4865C99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6．</w:t>
      </w:r>
      <w:r>
        <w:rPr>
          <w:rFonts w:hint="eastAsia" w:ascii="仿宋" w:hAnsi="仿宋" w:eastAsia="仿宋" w:cs="仿宋"/>
          <w:color w:val="000000"/>
          <w:sz w:val="24"/>
          <w:szCs w:val="24"/>
          <w:highlight w:val="none"/>
        </w:rPr>
        <w:t>乙方应确保设备及所有配套件的完整性和可靠性。对于</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没有列出但对维持该设备的正常运行及维护必不可少的部件、配件等，乙方有责任给予补充。</w:t>
      </w:r>
    </w:p>
    <w:p w14:paraId="3FDB0A1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7．</w:t>
      </w:r>
      <w:r>
        <w:rPr>
          <w:rFonts w:hint="eastAsia" w:ascii="仿宋" w:hAnsi="仿宋" w:eastAsia="仿宋" w:cs="仿宋"/>
          <w:color w:val="000000"/>
          <w:sz w:val="24"/>
          <w:szCs w:val="24"/>
          <w:highlight w:val="none"/>
        </w:rPr>
        <w:t>乙方应将关键材料设备的质量合格证明文件、检测报告、产品质量认证或生产许可证及配备件、随机工具等交付给甲方，使用操作及安全须知等重要资料应附有中文说明。</w:t>
      </w:r>
    </w:p>
    <w:p w14:paraId="560A5B8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七、施工要求</w:t>
      </w:r>
    </w:p>
    <w:p w14:paraId="4331A2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1．采用预约施工形式，施工前</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应当与主管职能部门和相关区域所在科室商议好施工时间才可开展，不得在未经允许的时间段内施工。</w:t>
      </w:r>
    </w:p>
    <w:p w14:paraId="4C47CB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2．施工期间，</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须做好设备吊装搬运与电梯使用的保护、场地的围蔽与地面墙身保护工作，每次施工完毕后需清理施工现场，不得影响</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业务正常运作。</w:t>
      </w:r>
    </w:p>
    <w:p w14:paraId="2B02A20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所提供的所有设备、材料均应符合国标的优质产品。安装前，需会同</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相关管理人员共同校对配件的品牌、产地、规格、数量后方可安装。</w:t>
      </w:r>
    </w:p>
    <w:p w14:paraId="3F054A3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须严格按照施工规范开展安全文明施工，应严格按国家相关法律、法规及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相关规定采取必要的安全防护措施。</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人员须具备开展相应工作的资质或资格。如在施工过程中发生责任事故，或因操作不当引起意外的，由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负一切责任。</w:t>
      </w:r>
    </w:p>
    <w:p w14:paraId="3DFD9BC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八、售后服务</w:t>
      </w:r>
    </w:p>
    <w:p w14:paraId="405C612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合同设备质保期为</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年，自设备验收合格并交付使用之日起算。</w:t>
      </w:r>
    </w:p>
    <w:p w14:paraId="323B5B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质保期内非因</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人为原因而出现产品质量及安装问题，由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负责包修、包换或包退，</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承担因此而产生的一切费用。</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应在收到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通知后1小时内响应，2小时内派员到现场维修(技术要求另有规定除外)，8小时内处理完毕。如在12小时内无法处理完毕，</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应提供合理解决方案，否则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有权委托第三方机构及时处理，因此发生的一切费用由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w:t>
      </w:r>
    </w:p>
    <w:p w14:paraId="4A3AE23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对合同设备提供终身保修服务，如需更换零配件，</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只能收取零配件费。</w:t>
      </w:r>
    </w:p>
    <w:p w14:paraId="4C41F2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九、验收要求  </w:t>
      </w:r>
    </w:p>
    <w:p w14:paraId="3CF916E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交付验收标准依次序对照适用标准为：①符合中华人民共和国国家安全质量标准、环保标准或行业标准；②符合比选文件和响应承诺中</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认可的合理最佳配置、参数及各项要求。</w:t>
      </w:r>
    </w:p>
    <w:p w14:paraId="4680C0C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依照验收标准开展验收，必要时邀请相关的专业人员或机构参与验收。验收测试的过程和结果须详细记录，测试中如发现材料设备性能指标或功能上不符合比选文件和合同要求时，将被看作性能不合格，</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有权拒收并要求赔偿。</w:t>
      </w:r>
    </w:p>
    <w:p w14:paraId="0BFADCF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服务要求</w:t>
      </w:r>
    </w:p>
    <w:p w14:paraId="20AA050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运输及保管、保险</w:t>
      </w:r>
    </w:p>
    <w:p w14:paraId="4550B766">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负责根据各设备或系统不同的安装地点，负责将设备材料送到指定现场过程中的全部运输：包括装卸车、货物现场的搬运、设备或系统的安装、调试等。</w:t>
      </w:r>
    </w:p>
    <w:p w14:paraId="5A22F60F">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各种设备必须提供装箱清单，按装箱清单验收货物。</w:t>
      </w:r>
    </w:p>
    <w:p w14:paraId="4B02AD0E">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设备在现场的保管由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负责，直至项目安装、验收完毕。</w:t>
      </w:r>
    </w:p>
    <w:p w14:paraId="300C7A3A">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设备在安装调试验收合格前的保险由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负责其派出的现场服务人员人身意外保险。</w:t>
      </w:r>
    </w:p>
    <w:p w14:paraId="308389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（二）安装调试</w:t>
      </w:r>
    </w:p>
    <w:p w14:paraId="2FC85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1.安装：乙方负责到安装地点进行安装调试。乙方应提交详细安装进度表，设安装负责人，负责安装协调管理工作。</w:t>
      </w:r>
    </w:p>
    <w:p w14:paraId="50FD0B4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2.乙方必须按计划安排，派出恰当的技术人员到安装现场安装和负责调试工作。</w:t>
      </w:r>
    </w:p>
    <w:p w14:paraId="0C4F9F6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3.调试：按国家相关施工验收规范进行，分阶段进行调试。设备的拆箱、安装、通电、调试等各项工作由乙方负责，但必须在甲方指定人员的参与下进行。调试的原始记录须经各方签字后作为验收的文件之一。</w:t>
      </w:r>
    </w:p>
    <w:p w14:paraId="392CE2A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（三）其他</w:t>
      </w:r>
    </w:p>
    <w:p w14:paraId="5F38824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1.甲方有权监督乙方的服务质量，若甲方对服务工作不满或有疑问，乙方应整改调整。</w:t>
      </w:r>
    </w:p>
    <w:p w14:paraId="60BF38A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2.乙方的工作成果须满足现行国家、行业及地区的规范、规程、标准、规定。</w:t>
      </w:r>
    </w:p>
    <w:p w14:paraId="3B1FFC9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3.乙方须按合同约定的需求完成技术服务，并向甲方汇报服务情况。</w:t>
      </w:r>
    </w:p>
    <w:p w14:paraId="3CBCC76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4.乙方应成立由各专业技术人员组成的稳定的工作组，保证有效、持续地开展工作。</w:t>
      </w:r>
    </w:p>
    <w:p w14:paraId="3751F40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5.乙方对与本项目有关的甲方提供的技术文件及数据有保密义务，未经甲方书面允许不得将该项目有关的技术文件及数据提供给其他单位或个人，不得用于商业用途。乙方若发生泄密事件，甲方将追究法律责任。</w:t>
      </w:r>
    </w:p>
    <w:p w14:paraId="099EBA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6.乙方须按要求参加甲方组织的会议、技术研讨会、专家审查会等。</w:t>
      </w:r>
    </w:p>
    <w:p w14:paraId="6AE4BC7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十一、培训要求</w:t>
      </w:r>
    </w:p>
    <w:p w14:paraId="33F637B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为了使得甲方指定的员工熟练操作设备，保证设备良好运作，乙方应当提供培训服务计划，包括设备的基本结构、性能、主要部件的构造及原理、设备日常使用操作、保养维护与管理，常见故障的排除，紧急情况的处理等。培训地点、人数、时间由双方协商安排。</w:t>
      </w:r>
    </w:p>
    <w:p w14:paraId="74D72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、知识产权</w:t>
      </w:r>
    </w:p>
    <w:p w14:paraId="0582C8B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乙方保证合同项下提供的货物不侵犯任何第三方的专利权、商标权或其它知识产权。否则，乙方须承担对第三方的专利权、商标权或其它知识产权的侵权责任并承担因此而发生的所有费用及给甲方造成的损失。</w:t>
      </w:r>
    </w:p>
    <w:p w14:paraId="7DDE9FF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、违约责任</w:t>
      </w:r>
    </w:p>
    <w:p w14:paraId="680CC4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项目实施改造内容过程中，若出现因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不按施工规范与合同条款导致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发生事故的情况，由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承担全部责任，并赔偿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5FE30FF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双方有一方无法继续履行合同的（因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未能按约定履约导致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主动解约的情况除外），应当提前30天正式通知另一方，并向对方支付该项目合同费用总金额20%的违约金。</w:t>
      </w:r>
    </w:p>
    <w:p w14:paraId="52E7D5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未能按照合同规定时间内完成本项目实施改造内容的，超出规定时间的按每日合同总金额的1％向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支付违约金。如</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对单个服务内容（北院区检验科空调系统升级改造服务或南院区逸仙楼四楼消毒供应中心空调系统升级改造服务）超出规定工期10天的，</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没收履约保证金，且同时享有单方解除合同的权利。</w:t>
      </w:r>
    </w:p>
    <w:p w14:paraId="3CE5E19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在本项目实施改造内容时，若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交付的货品规格、型号、技术参数不符，或无法供应其承诺的指定型号、规格、技术参数的货物时，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有权拒收。若出现3次此类情况，</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不得有异议。</w:t>
      </w:r>
    </w:p>
    <w:p w14:paraId="5A479E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双方在货物质量上存在异议，协商不成时，由广东省质检部门质量鉴定。鉴定结果如符合质量标准的，鉴定费用由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承担；经鉴定后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所供货品确为伪劣商品或不符合比选文件要求的，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应承担货品的检测费用及违约费用，并承担相应法律责任。</w:t>
      </w:r>
    </w:p>
    <w:p w14:paraId="7788ECA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在合同期内，若发生未按合同规定的服务要求完成相关升级改造服务，经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3次提醒或警告不改正，且造成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损失情况的，由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承担全部责任，且赔偿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6A6F14D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若其中一方违约，对方有权提前解除本合同并追索相应之损失。</w:t>
      </w:r>
    </w:p>
    <w:p w14:paraId="1CDACC8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其它违约责任按合同其他条款约定及《中华人民共和国民法典》规定处理。</w:t>
      </w:r>
    </w:p>
    <w:p w14:paraId="11E872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、不可抗力</w:t>
      </w:r>
    </w:p>
    <w:p w14:paraId="53311FC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14:paraId="7CC9188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w:t>
      </w:r>
      <w:r>
        <w:rPr>
          <w:rFonts w:hint="eastAsia" w:ascii="仿宋" w:hAnsi="仿宋" w:eastAsia="仿宋" w:cs="仿宋"/>
          <w:color w:val="000000"/>
          <w:sz w:val="24"/>
          <w:szCs w:val="24"/>
          <w:highlight w:val="none"/>
          <w:lang w:val="en-US" w:eastAsia="zh-CN"/>
        </w:rPr>
        <w:t>履行合同</w:t>
      </w:r>
      <w:r>
        <w:rPr>
          <w:rFonts w:hint="eastAsia" w:ascii="仿宋" w:hAnsi="仿宋" w:eastAsia="仿宋" w:cs="仿宋"/>
          <w:color w:val="000000"/>
          <w:sz w:val="24"/>
          <w:szCs w:val="24"/>
          <w:highlight w:val="none"/>
        </w:rPr>
        <w:t>，双方应通过友好协商解决本合同的执行问题。</w:t>
      </w:r>
    </w:p>
    <w:p w14:paraId="262E75E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十五、法律诉讼</w:t>
      </w:r>
    </w:p>
    <w:p w14:paraId="3EFA5F9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09BAD91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十六、其它约定事项</w:t>
      </w:r>
    </w:p>
    <w:p w14:paraId="24B794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068D80B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47A985A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31297B8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0ACAF6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33B28DA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r>
        <w:rPr>
          <w:rFonts w:hint="eastAsia" w:ascii="仿宋" w:hAnsi="仿宋" w:eastAsia="仿宋" w:cs="仿宋"/>
          <w:color w:val="000000"/>
          <w:sz w:val="24"/>
          <w:szCs w:val="24"/>
          <w:highlight w:val="none"/>
          <w:lang w:eastAsia="zh-CN"/>
        </w:rPr>
        <w:t>中山大学孙逸仙纪念医院北院区检验科、南院区逸仙楼四楼消毒供应中心空调系统升级改造服务项目</w:t>
      </w:r>
      <w:r>
        <w:rPr>
          <w:rFonts w:hint="eastAsia" w:ascii="仿宋" w:hAnsi="仿宋" w:eastAsia="仿宋" w:cs="仿宋"/>
          <w:color w:val="000000"/>
          <w:sz w:val="24"/>
          <w:szCs w:val="24"/>
          <w:highlight w:val="none"/>
        </w:rPr>
        <w:t>明细报价表</w:t>
      </w:r>
    </w:p>
    <w:p w14:paraId="7577CF4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020ACFFC">
      <w:pPr>
        <w:pStyle w:val="16"/>
        <w:rPr>
          <w:rFonts w:hint="eastAsia" w:ascii="仿宋" w:hAnsi="仿宋" w:eastAsia="仿宋" w:cs="仿宋"/>
          <w:b w:val="0"/>
          <w:bCs/>
          <w:color w:val="000000"/>
          <w:kern w:val="2"/>
          <w:sz w:val="24"/>
          <w:szCs w:val="24"/>
          <w:highlight w:val="none"/>
          <w:lang w:val="en-US" w:eastAsia="zh-CN" w:bidi="ar-SA"/>
        </w:rPr>
      </w:pPr>
    </w:p>
    <w:p w14:paraId="0C2A0278">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5328D337">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0D6CFB8A">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355B63B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5E7069E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4CC6D9B9">
      <w:pPr>
        <w:pStyle w:val="16"/>
        <w:rPr>
          <w:rFonts w:hint="eastAsia" w:ascii="微软雅黑" w:hAnsi="微软雅黑" w:eastAsia="微软雅黑" w:cs="微软雅黑"/>
          <w:color w:val="000000"/>
          <w:highlight w:val="none"/>
        </w:rPr>
      </w:pPr>
      <w:r>
        <w:rPr>
          <w:rFonts w:hint="eastAsia" w:ascii="仿宋" w:hAnsi="仿宋" w:eastAsia="仿宋" w:cs="仿宋"/>
          <w:b w:val="0"/>
          <w:bCs/>
          <w:color w:val="000000"/>
          <w:kern w:val="2"/>
          <w:sz w:val="24"/>
          <w:szCs w:val="24"/>
          <w:highlight w:val="none"/>
          <w:lang w:val="en-US" w:eastAsia="zh-CN" w:bidi="ar-SA"/>
        </w:rPr>
        <w:t>日期：                                   日期：</w:t>
      </w:r>
    </w:p>
    <w:p w14:paraId="4CC6295B">
      <w:pPr>
        <w:rPr>
          <w:rFonts w:hint="eastAsia" w:ascii="微软雅黑" w:hAnsi="微软雅黑" w:eastAsia="微软雅黑" w:cs="微软雅黑"/>
          <w:color w:val="000000"/>
          <w:highlight w:val="none"/>
        </w:rPr>
      </w:pPr>
    </w:p>
    <w:p w14:paraId="66EE9364">
      <w:pPr>
        <w:rPr>
          <w:rFonts w:hint="eastAsia" w:ascii="微软雅黑" w:hAnsi="微软雅黑" w:eastAsia="微软雅黑" w:cs="微软雅黑"/>
          <w:color w:val="000000"/>
          <w:highlight w:val="none"/>
        </w:rPr>
      </w:pPr>
    </w:p>
    <w:p w14:paraId="34F5620B">
      <w:pPr>
        <w:pStyle w:val="2"/>
        <w:rPr>
          <w:rFonts w:hint="eastAsia"/>
        </w:rPr>
      </w:pPr>
    </w:p>
    <w:p w14:paraId="169BFBEE">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8920113">
      <w:pPr>
        <w:rPr>
          <w:rFonts w:hint="eastAsia"/>
        </w:rPr>
      </w:pPr>
    </w:p>
    <w:p w14:paraId="6E5A74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32AAE3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BC9F13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AB3BCD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A6BAE0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561DC38">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283A833C">
      <w:pPr>
        <w:pStyle w:val="24"/>
        <w:rPr>
          <w:rFonts w:hint="eastAsia"/>
          <w:color w:val="000000"/>
          <w:highlight w:val="none"/>
        </w:rPr>
      </w:pPr>
    </w:p>
    <w:p w14:paraId="036C9A28">
      <w:pPr>
        <w:pStyle w:val="24"/>
        <w:rPr>
          <w:rFonts w:hint="eastAsia"/>
          <w:color w:val="000000"/>
          <w:highlight w:val="none"/>
        </w:rPr>
      </w:pPr>
    </w:p>
    <w:p w14:paraId="2EBB32AB">
      <w:pPr>
        <w:pStyle w:val="24"/>
        <w:rPr>
          <w:rFonts w:hint="eastAsia"/>
          <w:color w:val="000000"/>
          <w:highlight w:val="none"/>
        </w:rPr>
      </w:pPr>
    </w:p>
    <w:p w14:paraId="0ACD6317">
      <w:pPr>
        <w:pStyle w:val="24"/>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1940A8B2">
      <w:pPr>
        <w:pStyle w:val="24"/>
        <w:rPr>
          <w:rFonts w:hint="eastAsia"/>
          <w:color w:val="FF0000"/>
          <w:highlight w:val="none"/>
        </w:rPr>
      </w:pPr>
    </w:p>
    <w:p w14:paraId="67D11EA2">
      <w:pPr>
        <w:pStyle w:val="24"/>
        <w:rPr>
          <w:rFonts w:hint="eastAsia"/>
          <w:color w:val="000000"/>
          <w:highlight w:val="none"/>
        </w:rPr>
      </w:pPr>
    </w:p>
    <w:p w14:paraId="272A21F0">
      <w:pPr>
        <w:pStyle w:val="24"/>
        <w:rPr>
          <w:rFonts w:hint="eastAsia"/>
          <w:color w:val="000000"/>
          <w:highlight w:val="none"/>
        </w:rPr>
      </w:pPr>
    </w:p>
    <w:p w14:paraId="2A03ADBD">
      <w:pPr>
        <w:pStyle w:val="24"/>
        <w:rPr>
          <w:rFonts w:hint="eastAsia"/>
          <w:color w:val="000000"/>
          <w:highlight w:val="none"/>
        </w:rPr>
      </w:pPr>
    </w:p>
    <w:p w14:paraId="74DA84B0">
      <w:pPr>
        <w:pStyle w:val="24"/>
        <w:rPr>
          <w:rFonts w:hint="eastAsia"/>
          <w:color w:val="000000"/>
          <w:highlight w:val="none"/>
        </w:rPr>
      </w:pPr>
    </w:p>
    <w:p w14:paraId="12B7D3C6">
      <w:pPr>
        <w:pStyle w:val="24"/>
        <w:rPr>
          <w:rFonts w:hint="eastAsia"/>
          <w:color w:val="000000"/>
          <w:highlight w:val="none"/>
        </w:rPr>
      </w:pPr>
    </w:p>
    <w:p w14:paraId="77418CDB">
      <w:pPr>
        <w:pStyle w:val="24"/>
        <w:rPr>
          <w:rFonts w:hint="eastAsia"/>
          <w:color w:val="000000"/>
          <w:highlight w:val="none"/>
        </w:rPr>
      </w:pPr>
    </w:p>
    <w:p w14:paraId="1C5FA117">
      <w:pPr>
        <w:pStyle w:val="24"/>
        <w:rPr>
          <w:rFonts w:hint="eastAsia"/>
          <w:color w:val="000000"/>
          <w:highlight w:val="none"/>
        </w:rPr>
      </w:pPr>
    </w:p>
    <w:p w14:paraId="24B5F32F">
      <w:pPr>
        <w:pStyle w:val="24"/>
        <w:rPr>
          <w:rFonts w:hint="eastAsia"/>
          <w:color w:val="000000"/>
          <w:highlight w:val="none"/>
        </w:rPr>
      </w:pPr>
    </w:p>
    <w:p w14:paraId="188D4AE8">
      <w:pPr>
        <w:pStyle w:val="24"/>
        <w:rPr>
          <w:rFonts w:hint="eastAsia"/>
          <w:color w:val="000000"/>
          <w:highlight w:val="none"/>
        </w:rPr>
      </w:pPr>
    </w:p>
    <w:p w14:paraId="6A9433B2">
      <w:pPr>
        <w:pStyle w:val="24"/>
        <w:rPr>
          <w:rFonts w:hint="eastAsia"/>
          <w:color w:val="000000"/>
          <w:highlight w:val="none"/>
        </w:rPr>
      </w:pPr>
    </w:p>
    <w:p w14:paraId="150A0433">
      <w:pPr>
        <w:pStyle w:val="24"/>
        <w:rPr>
          <w:rFonts w:hint="eastAsia"/>
          <w:color w:val="000000"/>
          <w:highlight w:val="none"/>
        </w:rPr>
      </w:pPr>
    </w:p>
    <w:p w14:paraId="66CDF3BD">
      <w:pPr>
        <w:pStyle w:val="24"/>
        <w:rPr>
          <w:rFonts w:hint="eastAsia"/>
          <w:color w:val="000000"/>
          <w:highlight w:val="none"/>
        </w:rPr>
      </w:pPr>
    </w:p>
    <w:p w14:paraId="05DEBAB4">
      <w:pPr>
        <w:pStyle w:val="24"/>
        <w:rPr>
          <w:rFonts w:hint="eastAsia"/>
          <w:color w:val="000000"/>
          <w:highlight w:val="none"/>
        </w:rPr>
      </w:pPr>
    </w:p>
    <w:p w14:paraId="567F4DE2">
      <w:pPr>
        <w:pStyle w:val="24"/>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24"/>
        <w:numPr>
          <w:ilvl w:val="0"/>
          <w:numId w:val="11"/>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17ADC5D">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F786BF6">
      <w:pPr>
        <w:pStyle w:val="24"/>
        <w:rPr>
          <w:rFonts w:hint="eastAsia" w:ascii="宋体" w:hAnsi="宋体" w:cs="宋体"/>
          <w:color w:val="000000"/>
          <w:sz w:val="32"/>
          <w:szCs w:val="32"/>
          <w:highlight w:val="none"/>
        </w:rPr>
      </w:pPr>
    </w:p>
    <w:p w14:paraId="447F7BC2">
      <w:pPr>
        <w:pStyle w:val="24"/>
        <w:rPr>
          <w:rFonts w:hint="eastAsia" w:ascii="宋体" w:hAnsi="宋体" w:cs="宋体"/>
          <w:color w:val="000000"/>
          <w:sz w:val="32"/>
          <w:szCs w:val="32"/>
          <w:highlight w:val="none"/>
        </w:rPr>
      </w:pPr>
    </w:p>
    <w:p w14:paraId="2ACC0762">
      <w:pPr>
        <w:pStyle w:val="24"/>
        <w:rPr>
          <w:rFonts w:hint="eastAsia" w:ascii="宋体" w:hAnsi="宋体" w:cs="宋体"/>
          <w:color w:val="000000"/>
          <w:sz w:val="32"/>
          <w:szCs w:val="32"/>
          <w:highlight w:val="none"/>
        </w:rPr>
      </w:pPr>
    </w:p>
    <w:p w14:paraId="1D33181D">
      <w:pPr>
        <w:pStyle w:val="2"/>
        <w:rPr>
          <w:rFonts w:hint="eastAsia"/>
        </w:rPr>
      </w:pPr>
    </w:p>
    <w:p w14:paraId="7B3865BC">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4D45092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1D4483E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F265DDE">
      <w:pPr>
        <w:pStyle w:val="10"/>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DCA436B">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459879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1F26124">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F8E8687">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28592D5">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2E031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0EA439F">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411BCE4">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32A979DC">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30FC192B">
      <w:pPr>
        <w:pStyle w:val="10"/>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4A37206A">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42B59A9">
      <w:pPr>
        <w:keepNext w:val="0"/>
        <w:keepLines w:val="0"/>
        <w:widowControl/>
        <w:suppressLineNumbers w:val="0"/>
        <w:jc w:val="left"/>
        <w:rPr>
          <w:rFonts w:hint="eastAsia" w:ascii="仿宋" w:hAnsi="仿宋" w:eastAsia="仿宋" w:cs="仿宋"/>
          <w:color w:val="000000"/>
          <w:sz w:val="24"/>
          <w:szCs w:val="24"/>
          <w:highlight w:val="none"/>
        </w:rPr>
      </w:pPr>
    </w:p>
    <w:p w14:paraId="504A0AAE">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6AEA119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1E4BECD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5F55505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1EE11A61">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38B95D85">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3DF34E02">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69BBDD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2C6C71C1">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6956066E">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6CEB72F">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56CBF622">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24EE99C3">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6D7938BB">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197131A9">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17E12D7E">
      <w:pPr>
        <w:shd w:val="clear" w:color="auto" w:fill="FFFFFF"/>
        <w:spacing w:line="360" w:lineRule="auto"/>
        <w:rPr>
          <w:rFonts w:hint="eastAsia" w:ascii="仿宋" w:hAnsi="仿宋" w:eastAsia="仿宋" w:cs="仿宋"/>
          <w:color w:val="000000"/>
          <w:sz w:val="24"/>
          <w:szCs w:val="36"/>
          <w:highlight w:val="none"/>
        </w:rPr>
      </w:pPr>
    </w:p>
    <w:p w14:paraId="46DA5A11">
      <w:pPr>
        <w:pStyle w:val="24"/>
        <w:rPr>
          <w:rFonts w:hint="eastAsia" w:ascii="仿宋" w:hAnsi="仿宋" w:eastAsia="仿宋" w:cs="仿宋"/>
          <w:color w:val="000000"/>
          <w:highlight w:val="none"/>
        </w:rPr>
      </w:pPr>
    </w:p>
    <w:p w14:paraId="76AD91F3">
      <w:pPr>
        <w:pStyle w:val="24"/>
        <w:ind w:left="0" w:leftChars="0" w:firstLine="0" w:firstLineChars="0"/>
        <w:rPr>
          <w:rFonts w:hint="eastAsia" w:ascii="仿宋" w:hAnsi="仿宋" w:eastAsia="仿宋" w:cs="仿宋"/>
          <w:color w:val="000000"/>
          <w:sz w:val="24"/>
          <w:szCs w:val="24"/>
          <w:highlight w:val="none"/>
        </w:rPr>
      </w:pPr>
    </w:p>
    <w:p w14:paraId="093F983C">
      <w:pPr>
        <w:pStyle w:val="24"/>
        <w:ind w:left="0" w:leftChars="0" w:firstLine="0" w:firstLineChars="0"/>
        <w:rPr>
          <w:rFonts w:hint="eastAsia" w:ascii="仿宋" w:hAnsi="仿宋" w:eastAsia="仿宋" w:cs="仿宋"/>
          <w:color w:val="000000"/>
          <w:sz w:val="24"/>
          <w:szCs w:val="24"/>
          <w:highlight w:val="none"/>
        </w:rPr>
      </w:pPr>
    </w:p>
    <w:p w14:paraId="3BDCAB4A">
      <w:pPr>
        <w:pStyle w:val="24"/>
        <w:ind w:firstLine="400"/>
        <w:rPr>
          <w:rFonts w:hint="eastAsia" w:ascii="仿宋" w:hAnsi="仿宋" w:eastAsia="仿宋" w:cs="仿宋"/>
          <w:color w:val="000000"/>
          <w:sz w:val="24"/>
          <w:szCs w:val="24"/>
          <w:highlight w:val="none"/>
        </w:rPr>
      </w:pPr>
    </w:p>
    <w:p w14:paraId="7FBDCBF1">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F1597DC">
      <w:pPr>
        <w:pStyle w:val="24"/>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E741A98">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381957C5">
      <w:pPr>
        <w:pStyle w:val="14"/>
        <w:spacing w:line="360" w:lineRule="auto"/>
        <w:rPr>
          <w:rFonts w:hint="eastAsia" w:ascii="仿宋" w:hAnsi="仿宋" w:eastAsia="仿宋" w:cs="仿宋"/>
          <w:color w:val="000000"/>
          <w:sz w:val="24"/>
          <w:szCs w:val="24"/>
          <w:highlight w:val="none"/>
        </w:rPr>
      </w:pPr>
    </w:p>
    <w:p w14:paraId="71E920CD">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4C71BE3">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339D18FD">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7B32711">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3428"/>
      </w:tblGrid>
      <w:tr w14:paraId="7EAFB353">
        <w:tblPrEx>
          <w:tblCellMar>
            <w:top w:w="0" w:type="dxa"/>
            <w:left w:w="108" w:type="dxa"/>
            <w:bottom w:w="0" w:type="dxa"/>
            <w:right w:w="108" w:type="dxa"/>
          </w:tblCellMar>
        </w:tblPrEx>
        <w:trPr>
          <w:jc w:val="center"/>
        </w:trPr>
        <w:tc>
          <w:tcPr>
            <w:tcW w:w="1560" w:type="dxa"/>
            <w:vAlign w:val="bottom"/>
          </w:tcPr>
          <w:p w14:paraId="753CC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538" w:type="dxa"/>
            <w:gridSpan w:val="3"/>
            <w:tcBorders>
              <w:top w:val="nil"/>
              <w:left w:val="nil"/>
              <w:bottom w:val="single" w:color="auto" w:sz="4" w:space="0"/>
              <w:right w:val="nil"/>
            </w:tcBorders>
            <w:vAlign w:val="bottom"/>
          </w:tcPr>
          <w:p w14:paraId="452C3D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lang w:eastAsia="zh-CN"/>
              </w:rPr>
            </w:pPr>
            <w:r>
              <w:rPr>
                <w:rFonts w:hint="eastAsia" w:ascii="仿宋" w:hAnsi="仿宋" w:eastAsia="仿宋" w:cs="仿宋"/>
                <w:color w:val="000000"/>
                <w:sz w:val="24"/>
                <w:szCs w:val="32"/>
                <w:highlight w:val="none"/>
                <w:lang w:eastAsia="zh-CN"/>
              </w:rPr>
              <w:t>中山大学孙逸仙纪念医院北院区检验科、南院区逸仙楼四楼消毒供应中心空调系统升级改造服务项目（第二次）</w:t>
            </w:r>
          </w:p>
        </w:tc>
      </w:tr>
      <w:tr w14:paraId="1C4C9677">
        <w:tblPrEx>
          <w:tblCellMar>
            <w:top w:w="0" w:type="dxa"/>
            <w:left w:w="108" w:type="dxa"/>
            <w:bottom w:w="0" w:type="dxa"/>
            <w:right w:w="108" w:type="dxa"/>
          </w:tblCellMar>
        </w:tblPrEx>
        <w:trPr>
          <w:jc w:val="center"/>
        </w:trPr>
        <w:tc>
          <w:tcPr>
            <w:tcW w:w="1560" w:type="dxa"/>
            <w:vAlign w:val="bottom"/>
          </w:tcPr>
          <w:p w14:paraId="18202D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9D4848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B9C53F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428" w:type="dxa"/>
            <w:tcBorders>
              <w:top w:val="single" w:color="auto" w:sz="4" w:space="0"/>
              <w:left w:val="nil"/>
              <w:bottom w:val="single" w:color="auto" w:sz="4" w:space="0"/>
              <w:right w:val="nil"/>
            </w:tcBorders>
          </w:tcPr>
          <w:p w14:paraId="360CBFE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184521B3">
        <w:tblPrEx>
          <w:tblCellMar>
            <w:top w:w="0" w:type="dxa"/>
            <w:left w:w="108" w:type="dxa"/>
            <w:bottom w:w="0" w:type="dxa"/>
            <w:right w:w="108" w:type="dxa"/>
          </w:tblCellMar>
        </w:tblPrEx>
        <w:trPr>
          <w:jc w:val="center"/>
        </w:trPr>
        <w:tc>
          <w:tcPr>
            <w:tcW w:w="1560" w:type="dxa"/>
            <w:vAlign w:val="bottom"/>
          </w:tcPr>
          <w:p w14:paraId="444782A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363E9BB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4669AA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428" w:type="dxa"/>
            <w:tcBorders>
              <w:top w:val="single" w:color="auto" w:sz="4" w:space="0"/>
              <w:left w:val="nil"/>
              <w:bottom w:val="single" w:color="auto" w:sz="4" w:space="0"/>
              <w:right w:val="nil"/>
            </w:tcBorders>
          </w:tcPr>
          <w:p w14:paraId="261FB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151B1FC3">
      <w:pPr>
        <w:rPr>
          <w:highlight w:val="none"/>
        </w:rPr>
      </w:pPr>
    </w:p>
    <w:p w14:paraId="163C678D">
      <w:pPr>
        <w:rPr>
          <w:highlight w:val="none"/>
        </w:rPr>
      </w:pPr>
    </w:p>
    <w:tbl>
      <w:tblPr>
        <w:tblStyle w:val="17"/>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EB7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462139E0">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1C8D729D">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1596" w:type="dxa"/>
            <w:shd w:val="clear" w:color="auto" w:fill="EEECE1"/>
            <w:vAlign w:val="center"/>
          </w:tcPr>
          <w:p w14:paraId="52FCFDE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0CF3194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32D5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24615C4E">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sz w:val="22"/>
                <w:szCs w:val="22"/>
                <w:highlight w:val="none"/>
                <w:lang w:eastAsia="zh-CN"/>
              </w:rPr>
              <w:t>中山大学孙逸仙纪念医院北院区检验科、南院区逸仙楼四楼消毒供应中心空调系统升级改造服务项目（第二次）</w:t>
            </w:r>
          </w:p>
        </w:tc>
        <w:tc>
          <w:tcPr>
            <w:tcW w:w="3402" w:type="dxa"/>
            <w:shd w:val="clear" w:color="auto" w:fill="FFFFFF"/>
            <w:vAlign w:val="center"/>
          </w:tcPr>
          <w:p w14:paraId="2B643CD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294B519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7E854407">
            <w:pPr>
              <w:pStyle w:val="38"/>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712FEF65">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1BCBBD21">
      <w:pPr>
        <w:pStyle w:val="5"/>
        <w:rPr>
          <w:b/>
          <w:bCs/>
          <w:highlight w:val="none"/>
        </w:rPr>
      </w:pPr>
    </w:p>
    <w:p w14:paraId="4152DFCD">
      <w:pPr>
        <w:pStyle w:val="24"/>
        <w:rPr>
          <w:rFonts w:hint="eastAsia" w:ascii="仿宋" w:hAnsi="仿宋" w:eastAsia="仿宋" w:cs="仿宋"/>
          <w:color w:val="000000"/>
          <w:sz w:val="21"/>
          <w:szCs w:val="21"/>
          <w:highlight w:val="none"/>
        </w:rPr>
      </w:pPr>
    </w:p>
    <w:p w14:paraId="3E9652F1">
      <w:pPr>
        <w:pStyle w:val="24"/>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67587449">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4CEB5F24">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含</w:t>
      </w:r>
      <w:r>
        <w:rPr>
          <w:rFonts w:hint="eastAsia" w:ascii="仿宋" w:hAnsi="仿宋" w:eastAsia="仿宋" w:cs="仿宋"/>
          <w:color w:val="auto"/>
          <w:sz w:val="21"/>
          <w:szCs w:val="21"/>
          <w:highlight w:val="none"/>
        </w:rPr>
        <w:t>货物采购、包装、装卸、检测、运输、安装、调试、资料费、服务费、税费和伴随货物服务的其他所有费用）。</w:t>
      </w:r>
    </w:p>
    <w:p w14:paraId="7ED02D4B">
      <w:pPr>
        <w:pStyle w:val="24"/>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40B39DC">
      <w:pPr>
        <w:pStyle w:val="24"/>
        <w:rPr>
          <w:rFonts w:hint="eastAsia" w:ascii="仿宋" w:hAnsi="仿宋" w:eastAsia="仿宋" w:cs="仿宋"/>
          <w:color w:val="000000"/>
          <w:highlight w:val="none"/>
        </w:rPr>
      </w:pPr>
    </w:p>
    <w:p w14:paraId="7F23927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CBBFFB9">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453C5E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91D9309">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（二）分项报价明细表（详细报价清单）</w:t>
      </w:r>
    </w:p>
    <w:p w14:paraId="44273C5B">
      <w:pPr>
        <w:numPr>
          <w:ilvl w:val="0"/>
          <w:numId w:val="0"/>
        </w:numPr>
        <w:rPr>
          <w:rFonts w:hint="eastAsia"/>
          <w:color w:val="000000" w:themeColor="text1"/>
          <w:highlight w:val="none"/>
          <w:lang w:val="en-US" w:eastAsia="zh-CN"/>
          <w14:textFill>
            <w14:solidFill>
              <w14:schemeClr w14:val="tx1"/>
            </w14:solidFill>
          </w14:textFill>
        </w:rPr>
      </w:pPr>
    </w:p>
    <w:p w14:paraId="60998889">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项目名称：中山大学孙逸仙纪念医院北院区检验科、南院区逸仙楼四楼消毒供应中心空调系统升级改造服务项目（第二次）</w:t>
      </w:r>
    </w:p>
    <w:p w14:paraId="44CB7CD0">
      <w:pPr>
        <w:pStyle w:val="11"/>
        <w:rPr>
          <w:rFonts w:hint="eastAsia" w:ascii="仿宋" w:hAnsi="仿宋" w:eastAsia="仿宋" w:cs="仿宋"/>
          <w:lang w:val="en-US" w:eastAsia="zh-CN"/>
        </w:rPr>
      </w:pPr>
    </w:p>
    <w:p w14:paraId="7F2E2721">
      <w:pPr>
        <w:rPr>
          <w:rFonts w:hint="eastAsia" w:ascii="仿宋" w:hAnsi="仿宋" w:eastAsia="仿宋" w:cs="仿宋"/>
          <w:lang w:val="en-US" w:eastAsia="zh-CN"/>
        </w:rPr>
      </w:pPr>
    </w:p>
    <w:p w14:paraId="02F9163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1.分项报价明细表另附，详见附件3：《中山大学孙逸仙纪念医院北院区检验科、南院区逸仙楼四楼消毒供应中心空调系统升级改造服务项目分项报价明细表（第二次）》</w:t>
      </w:r>
    </w:p>
    <w:p w14:paraId="7C020A8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2.响应人须按照上述附件内的要求进行填写报价。不得修改分项报价明细表内任何公式。</w:t>
      </w:r>
    </w:p>
    <w:p w14:paraId="416DF3C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3.分项报价明细表均需打印放入响应文件中作为响应明细报价表内容。</w:t>
      </w:r>
    </w:p>
    <w:p w14:paraId="4C108016">
      <w:pPr>
        <w:rPr>
          <w:rFonts w:hint="eastAsia" w:ascii="仿宋" w:hAnsi="仿宋" w:eastAsia="仿宋" w:cs="仿宋"/>
          <w:sz w:val="21"/>
          <w:szCs w:val="21"/>
          <w:lang w:val="en-US" w:eastAsia="zh-CN"/>
        </w:rPr>
      </w:pPr>
    </w:p>
    <w:p w14:paraId="0F546767">
      <w:pPr>
        <w:rPr>
          <w:rFonts w:hint="eastAsia" w:ascii="仿宋" w:hAnsi="仿宋" w:eastAsia="仿宋" w:cs="仿宋"/>
          <w:sz w:val="18"/>
          <w:szCs w:val="18"/>
          <w:lang w:val="en-US" w:eastAsia="zh-CN"/>
        </w:rPr>
      </w:pPr>
    </w:p>
    <w:p w14:paraId="09791F4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注：1.此表为报价总表内各项服务的报价明细表。</w:t>
      </w:r>
    </w:p>
    <w:p w14:paraId="7062C9F4">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2.报价人应按分项报价明细表的各项内容要求进行填写，不得更改此表格式。</w:t>
      </w:r>
    </w:p>
    <w:p w14:paraId="56B1113A">
      <w:pPr>
        <w:pStyle w:val="11"/>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3.必须将标黄色的区域一一填写完整，标黄色的品牌区域要求必须列明所响应产品的品牌。</w:t>
      </w:r>
    </w:p>
    <w:p w14:paraId="7B4E3F7A">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4.不得修改本表格内的计算公式。</w:t>
      </w:r>
    </w:p>
    <w:p w14:paraId="7BEF3736">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5.所填报的单价报价均不得超过对应项目的单价最高限价。</w:t>
      </w:r>
    </w:p>
    <w:p w14:paraId="7D1ADE7B">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6.分项报价明细表的三年合计金额必须与《报价一览表》中的总报价一致。</w:t>
      </w:r>
    </w:p>
    <w:p w14:paraId="53E98B03">
      <w:pPr>
        <w:pStyle w:val="11"/>
        <w:keepNext w:val="0"/>
        <w:keepLines w:val="0"/>
        <w:pageBreakBefore w:val="0"/>
        <w:widowControl w:val="0"/>
        <w:numPr>
          <w:ilvl w:val="0"/>
          <w:numId w:val="0"/>
        </w:numPr>
        <w:kinsoku/>
        <w:wordWrap/>
        <w:overflowPunct/>
        <w:topLinePunct w:val="0"/>
        <w:autoSpaceDE/>
        <w:autoSpaceDN/>
        <w:bidi w:val="0"/>
        <w:adjustRightInd/>
        <w:snapToGrid/>
        <w:ind w:firstLine="361" w:firstLineChars="200"/>
        <w:textAlignment w:val="auto"/>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7.未完全按第2-6点要求执行的，均按无效响应处理。</w:t>
      </w:r>
    </w:p>
    <w:p w14:paraId="2DE861A8">
      <w:pPr>
        <w:rPr>
          <w:rFonts w:hint="eastAsia" w:ascii="仿宋" w:hAnsi="仿宋" w:eastAsia="仿宋" w:cs="仿宋"/>
          <w:lang w:val="en-US" w:eastAsia="zh-CN"/>
        </w:rPr>
      </w:pPr>
    </w:p>
    <w:p w14:paraId="3E6A8F4F">
      <w:pPr>
        <w:pStyle w:val="11"/>
        <w:rPr>
          <w:rFonts w:hint="eastAsia" w:ascii="仿宋" w:hAnsi="仿宋" w:eastAsia="仿宋" w:cs="仿宋"/>
          <w:lang w:val="en-US" w:eastAsia="zh-CN"/>
        </w:rPr>
      </w:pPr>
    </w:p>
    <w:p w14:paraId="099C7C4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B237498">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82E1F48">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AB29E2C">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left="0" w:leftChars="0" w:firstLine="0" w:firstLineChars="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767ADA4">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0001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6F8F8A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193AB4EB">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1F18C51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7D0952">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10D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DE15B65">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02ED42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003F58FF">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2EB0E0C">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2F033B6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6D213F36">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3718A33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501B78B">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1892514F">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D831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49CDC5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2C5F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DEEA2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F8E1A8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659084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8B758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F75BFD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3C2E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9117C7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EAF5924">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A2C78CD">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3B29D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90AB1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7618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5242364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C280BE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624977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63732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BFD1E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02F2F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4F88FA9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E5A798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2365173">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48101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D67E01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0A411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6C6C0EB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D88517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414D347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A9AD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2C260F5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24F4A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5C77A32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624F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638C9753">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60380F5E">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2BEF493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5B05B8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79098F61">
      <w:pPr>
        <w:pStyle w:val="24"/>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6FD5ACE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74926F3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1C30D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3EFEDC">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9629A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07E6AD7D">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2D729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7F3C9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F063F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609D6C6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8EAF63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FEFB5C0">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41A727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5F232F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549F23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5B068A9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79C803C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92FB376">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01CBE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07DEA7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03966B6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3DFC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806D5C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EC2FE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A44C9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1EFD0ED">
      <w:pPr>
        <w:pStyle w:val="24"/>
        <w:rPr>
          <w:rFonts w:hint="eastAsia" w:ascii="宋体" w:hAnsi="宋体" w:cs="宋体"/>
          <w:color w:val="auto"/>
          <w:szCs w:val="21"/>
          <w:highlight w:val="none"/>
          <w:lang w:eastAsia="zh-CN"/>
        </w:rPr>
      </w:pPr>
    </w:p>
    <w:p w14:paraId="3EC82C59">
      <w:pPr>
        <w:pStyle w:val="24"/>
        <w:rPr>
          <w:rFonts w:hint="eastAsia" w:ascii="宋体" w:hAnsi="宋体" w:cs="宋体"/>
          <w:color w:val="auto"/>
          <w:szCs w:val="21"/>
          <w:highlight w:val="none"/>
          <w:lang w:eastAsia="zh-CN"/>
        </w:rPr>
      </w:pPr>
    </w:p>
    <w:p w14:paraId="70CA1EA1">
      <w:pPr>
        <w:pStyle w:val="24"/>
        <w:rPr>
          <w:rFonts w:hint="eastAsia" w:ascii="宋体" w:hAnsi="宋体" w:cs="宋体"/>
          <w:color w:val="auto"/>
          <w:szCs w:val="21"/>
          <w:highlight w:val="none"/>
          <w:lang w:eastAsia="zh-CN"/>
        </w:rPr>
      </w:pPr>
    </w:p>
    <w:p w14:paraId="45E1E8FE">
      <w:pPr>
        <w:pStyle w:val="24"/>
        <w:rPr>
          <w:rFonts w:hint="eastAsia" w:ascii="宋体" w:hAnsi="宋体" w:cs="宋体"/>
          <w:color w:val="auto"/>
          <w:szCs w:val="21"/>
          <w:highlight w:val="none"/>
          <w:lang w:eastAsia="zh-CN"/>
        </w:rPr>
      </w:pPr>
    </w:p>
    <w:p w14:paraId="5B05D1C1">
      <w:pPr>
        <w:pStyle w:val="24"/>
        <w:rPr>
          <w:rFonts w:hint="eastAsia" w:ascii="宋体" w:hAnsi="宋体" w:cs="宋体"/>
          <w:color w:val="auto"/>
          <w:szCs w:val="21"/>
          <w:highlight w:val="none"/>
          <w:lang w:eastAsia="zh-CN"/>
        </w:rPr>
      </w:pPr>
    </w:p>
    <w:p w14:paraId="4D1D35BB">
      <w:pPr>
        <w:pStyle w:val="24"/>
        <w:rPr>
          <w:rFonts w:hint="eastAsia" w:ascii="宋体" w:hAnsi="宋体" w:cs="宋体"/>
          <w:color w:val="auto"/>
          <w:szCs w:val="21"/>
          <w:highlight w:val="none"/>
          <w:lang w:eastAsia="zh-CN"/>
        </w:rPr>
      </w:pPr>
    </w:p>
    <w:p w14:paraId="51CA30A0">
      <w:pPr>
        <w:pStyle w:val="24"/>
        <w:rPr>
          <w:rFonts w:hint="eastAsia" w:ascii="宋体" w:hAnsi="宋体" w:cs="宋体"/>
          <w:color w:val="auto"/>
          <w:szCs w:val="21"/>
          <w:highlight w:val="none"/>
          <w:lang w:eastAsia="zh-CN"/>
        </w:rPr>
      </w:pPr>
    </w:p>
    <w:p w14:paraId="57A3925D">
      <w:pPr>
        <w:pStyle w:val="24"/>
        <w:rPr>
          <w:rFonts w:hint="eastAsia" w:ascii="宋体" w:hAnsi="宋体" w:cs="宋体"/>
          <w:color w:val="auto"/>
          <w:szCs w:val="21"/>
          <w:highlight w:val="none"/>
          <w:lang w:eastAsia="zh-CN"/>
        </w:rPr>
      </w:pPr>
    </w:p>
    <w:p w14:paraId="7FC71EE2">
      <w:pPr>
        <w:pStyle w:val="24"/>
        <w:rPr>
          <w:rFonts w:hint="eastAsia" w:ascii="宋体" w:hAnsi="宋体" w:cs="宋体"/>
          <w:color w:val="auto"/>
          <w:szCs w:val="21"/>
          <w:highlight w:val="none"/>
          <w:lang w:eastAsia="zh-CN"/>
        </w:rPr>
      </w:pPr>
    </w:p>
    <w:p w14:paraId="2951F14D">
      <w:pPr>
        <w:pStyle w:val="24"/>
        <w:rPr>
          <w:rFonts w:hint="eastAsia" w:ascii="宋体" w:hAnsi="宋体" w:cs="宋体"/>
          <w:color w:val="auto"/>
          <w:szCs w:val="21"/>
          <w:highlight w:val="none"/>
          <w:lang w:eastAsia="zh-CN"/>
        </w:rPr>
      </w:pPr>
    </w:p>
    <w:p w14:paraId="0A3CAE83">
      <w:pPr>
        <w:pStyle w:val="24"/>
        <w:rPr>
          <w:rFonts w:hint="eastAsia" w:ascii="宋体" w:hAnsi="宋体" w:cs="宋体"/>
          <w:color w:val="auto"/>
          <w:szCs w:val="21"/>
          <w:highlight w:val="none"/>
          <w:lang w:eastAsia="zh-CN"/>
        </w:rPr>
      </w:pPr>
    </w:p>
    <w:p w14:paraId="232798D6">
      <w:pPr>
        <w:pStyle w:val="24"/>
        <w:rPr>
          <w:rFonts w:hint="eastAsia" w:ascii="宋体" w:hAnsi="宋体" w:cs="宋体"/>
          <w:color w:val="auto"/>
          <w:szCs w:val="21"/>
          <w:highlight w:val="none"/>
          <w:lang w:eastAsia="zh-CN"/>
        </w:rPr>
      </w:pPr>
    </w:p>
    <w:p w14:paraId="5FCB678B">
      <w:pPr>
        <w:pStyle w:val="24"/>
        <w:rPr>
          <w:rFonts w:hint="eastAsia" w:ascii="宋体" w:hAnsi="宋体" w:cs="宋体"/>
          <w:color w:val="auto"/>
          <w:szCs w:val="21"/>
          <w:highlight w:val="none"/>
          <w:lang w:eastAsia="zh-CN"/>
        </w:rPr>
      </w:pPr>
    </w:p>
    <w:p w14:paraId="4602BE26">
      <w:pPr>
        <w:pStyle w:val="24"/>
        <w:rPr>
          <w:rFonts w:hint="eastAsia" w:ascii="宋体" w:hAnsi="宋体" w:cs="宋体"/>
          <w:color w:val="auto"/>
          <w:szCs w:val="21"/>
          <w:highlight w:val="none"/>
          <w:lang w:eastAsia="zh-CN"/>
        </w:rPr>
      </w:pPr>
    </w:p>
    <w:p w14:paraId="30994118">
      <w:pPr>
        <w:pStyle w:val="24"/>
        <w:rPr>
          <w:rFonts w:hint="eastAsia" w:ascii="宋体" w:hAnsi="宋体" w:cs="宋体"/>
          <w:color w:val="auto"/>
          <w:szCs w:val="21"/>
          <w:highlight w:val="none"/>
          <w:lang w:eastAsia="zh-CN"/>
        </w:rPr>
      </w:pPr>
    </w:p>
    <w:p w14:paraId="68D5403D">
      <w:pPr>
        <w:pStyle w:val="24"/>
        <w:rPr>
          <w:rFonts w:hint="eastAsia" w:ascii="宋体" w:hAnsi="宋体" w:cs="宋体"/>
          <w:color w:val="auto"/>
          <w:szCs w:val="21"/>
          <w:highlight w:val="none"/>
          <w:lang w:eastAsia="zh-CN"/>
        </w:rPr>
      </w:pPr>
    </w:p>
    <w:p w14:paraId="65EED135">
      <w:pPr>
        <w:pStyle w:val="24"/>
        <w:rPr>
          <w:rFonts w:hint="eastAsia" w:ascii="宋体" w:hAnsi="宋体" w:cs="宋体"/>
          <w:color w:val="auto"/>
          <w:szCs w:val="21"/>
          <w:highlight w:val="none"/>
          <w:lang w:eastAsia="zh-CN"/>
        </w:rPr>
      </w:pPr>
    </w:p>
    <w:p w14:paraId="7D67203E">
      <w:pPr>
        <w:pStyle w:val="24"/>
        <w:rPr>
          <w:rFonts w:hint="eastAsia" w:ascii="宋体" w:hAnsi="宋体" w:cs="宋体"/>
          <w:color w:val="auto"/>
          <w:szCs w:val="21"/>
          <w:highlight w:val="none"/>
          <w:lang w:eastAsia="zh-CN"/>
        </w:rPr>
      </w:pPr>
    </w:p>
    <w:p w14:paraId="5236D545">
      <w:pPr>
        <w:pStyle w:val="24"/>
        <w:rPr>
          <w:rFonts w:hint="eastAsia" w:ascii="宋体" w:hAnsi="宋体" w:cs="宋体"/>
          <w:color w:val="auto"/>
          <w:szCs w:val="21"/>
          <w:highlight w:val="none"/>
          <w:lang w:eastAsia="zh-CN"/>
        </w:rPr>
      </w:pPr>
    </w:p>
    <w:p w14:paraId="59C0DBE4">
      <w:pPr>
        <w:pStyle w:val="24"/>
        <w:rPr>
          <w:rFonts w:hint="eastAsia" w:ascii="宋体" w:hAnsi="宋体" w:cs="宋体"/>
          <w:color w:val="auto"/>
          <w:szCs w:val="21"/>
          <w:highlight w:val="none"/>
          <w:lang w:eastAsia="zh-CN"/>
        </w:rPr>
      </w:pPr>
    </w:p>
    <w:p w14:paraId="23244549">
      <w:pPr>
        <w:pStyle w:val="24"/>
        <w:rPr>
          <w:rFonts w:hint="eastAsia" w:ascii="宋体" w:hAnsi="宋体" w:cs="宋体"/>
          <w:color w:val="auto"/>
          <w:szCs w:val="21"/>
          <w:highlight w:val="none"/>
          <w:lang w:eastAsia="zh-CN"/>
        </w:rPr>
      </w:pPr>
    </w:p>
    <w:p w14:paraId="0E8AAD1D">
      <w:pPr>
        <w:pStyle w:val="24"/>
        <w:rPr>
          <w:rFonts w:hint="eastAsia" w:ascii="宋体" w:hAnsi="宋体" w:cs="宋体"/>
          <w:color w:val="auto"/>
          <w:szCs w:val="21"/>
          <w:highlight w:val="none"/>
          <w:lang w:eastAsia="zh-CN"/>
        </w:rPr>
      </w:pPr>
    </w:p>
    <w:p w14:paraId="7EB2BF72">
      <w:pPr>
        <w:pStyle w:val="24"/>
        <w:rPr>
          <w:rFonts w:hint="eastAsia" w:ascii="宋体" w:hAnsi="宋体" w:cs="宋体"/>
          <w:color w:val="auto"/>
          <w:szCs w:val="21"/>
          <w:highlight w:val="none"/>
          <w:lang w:eastAsia="zh-CN"/>
        </w:rPr>
      </w:pPr>
    </w:p>
    <w:p w14:paraId="660EFB06">
      <w:pPr>
        <w:pStyle w:val="24"/>
        <w:rPr>
          <w:rFonts w:hint="eastAsia" w:ascii="宋体" w:hAnsi="宋体" w:cs="宋体"/>
          <w:color w:val="auto"/>
          <w:szCs w:val="21"/>
          <w:highlight w:val="none"/>
          <w:lang w:eastAsia="zh-CN"/>
        </w:rPr>
      </w:pPr>
    </w:p>
    <w:p w14:paraId="784A74D7">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4434901">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900C3D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0AECFBE">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1183A52">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B2E13C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46988CCD">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B5EC7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91BB1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EEE5C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C6AF8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1550E189">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BBE5573">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5763CE5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B5B20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1179541">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482A6F2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5C5D09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89FAAD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440A09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76974C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191507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44AAD06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B4B258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C7CB21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4653B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BDD382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4D6EA5B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0105B5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7D5A89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BE7449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DBD70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F747BD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69D56A6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7F09828C">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BA76D23">
            <w:pPr>
              <w:pStyle w:val="24"/>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6C22ED1">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B8FBD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FC2DC0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2937458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3D5E34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FAABFD0">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617EBE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947C1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A52B396">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B1A6BD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E338E6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4CB46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73F98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445F1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57E6914">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13EA612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07B05E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F1B939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4CFE2A8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D7C4E1F">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62D2E5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2B8902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1524CA9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5701ABF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333DB810">
      <w:pPr>
        <w:pStyle w:val="8"/>
        <w:shd w:val="clear" w:color="auto" w:fill="FFFFFF"/>
        <w:rPr>
          <w:rFonts w:hint="eastAsia" w:ascii="仿宋" w:hAnsi="仿宋" w:eastAsia="仿宋" w:cs="仿宋"/>
          <w:sz w:val="21"/>
          <w:szCs w:val="21"/>
          <w:highlight w:val="none"/>
        </w:rPr>
      </w:pPr>
    </w:p>
    <w:p w14:paraId="355B71A1">
      <w:pPr>
        <w:pStyle w:val="8"/>
        <w:shd w:val="clear" w:color="auto" w:fill="FFFFFF"/>
        <w:rPr>
          <w:rFonts w:hint="eastAsia" w:ascii="仿宋" w:hAnsi="仿宋" w:eastAsia="仿宋" w:cs="仿宋"/>
          <w:sz w:val="21"/>
          <w:szCs w:val="21"/>
          <w:highlight w:val="none"/>
        </w:rPr>
      </w:pPr>
    </w:p>
    <w:p w14:paraId="2C22367B">
      <w:pPr>
        <w:pStyle w:val="8"/>
        <w:shd w:val="clear" w:color="auto" w:fill="FFFFFF"/>
        <w:rPr>
          <w:rFonts w:hint="eastAsia" w:ascii="仿宋" w:hAnsi="仿宋" w:eastAsia="仿宋" w:cs="仿宋"/>
          <w:sz w:val="21"/>
          <w:szCs w:val="21"/>
          <w:highlight w:val="none"/>
        </w:rPr>
      </w:pPr>
    </w:p>
    <w:p w14:paraId="403C559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B176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670988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4BF794C">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3702C3EA">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3DDE9B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344A5FF">
      <w:pPr>
        <w:pStyle w:val="9"/>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B6B4334">
      <w:pPr>
        <w:pStyle w:val="9"/>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4C05CFDD">
      <w:pPr>
        <w:pStyle w:val="9"/>
        <w:tabs>
          <w:tab w:val="left" w:pos="900"/>
        </w:tabs>
        <w:spacing w:line="400" w:lineRule="exact"/>
        <w:ind w:firstLine="0"/>
        <w:rPr>
          <w:rFonts w:hint="eastAsia" w:ascii="仿宋" w:hAnsi="仿宋" w:eastAsia="仿宋" w:cs="仿宋"/>
          <w:bCs/>
          <w:color w:val="000000"/>
          <w:highlight w:val="none"/>
          <w:lang w:val="en-US"/>
        </w:rPr>
      </w:pPr>
    </w:p>
    <w:p w14:paraId="2A10569C">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67E56F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621CA9">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50D0DFB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34F55C25">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63AA1FA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32F3FD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80F32B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39766E2">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9220EF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0F16B7D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5694A0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43409C18">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670A37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784A87F">
      <w:pPr>
        <w:pStyle w:val="24"/>
        <w:ind w:left="0" w:leftChars="0" w:firstLine="0" w:firstLineChars="0"/>
        <w:rPr>
          <w:rFonts w:hint="eastAsia" w:ascii="仿宋" w:hAnsi="仿宋" w:eastAsia="仿宋" w:cs="仿宋"/>
          <w:highlight w:val="none"/>
          <w:lang w:eastAsia="zh-CN"/>
        </w:rPr>
      </w:pPr>
    </w:p>
    <w:p w14:paraId="7D54C461">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C020A8">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3FE2373">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D1D460">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E3E4286">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1A2AF40">
      <w:pPr>
        <w:pStyle w:val="9"/>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6F2581BA">
      <w:pPr>
        <w:pStyle w:val="9"/>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16AB0EC">
      <w:pPr>
        <w:pStyle w:val="9"/>
        <w:tabs>
          <w:tab w:val="left" w:pos="900"/>
        </w:tabs>
        <w:spacing w:line="400" w:lineRule="exact"/>
        <w:ind w:firstLine="0"/>
        <w:rPr>
          <w:rFonts w:hint="eastAsia" w:ascii="仿宋" w:hAnsi="仿宋" w:eastAsia="仿宋" w:cs="仿宋"/>
          <w:bCs/>
          <w:color w:val="000000"/>
          <w:sz w:val="24"/>
          <w:szCs w:val="24"/>
          <w:highlight w:val="none"/>
          <w:lang w:val="en-US"/>
        </w:rPr>
      </w:pPr>
    </w:p>
    <w:p w14:paraId="05B9E0E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B24705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18A6D3A">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434471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1303C0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072B4D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CDB9870">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922331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205F0BDD">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1F7088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D4E8A0E">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B830B04">
      <w:pPr>
        <w:pStyle w:val="24"/>
        <w:ind w:left="0" w:leftChars="0" w:firstLine="0" w:firstLineChars="0"/>
        <w:rPr>
          <w:rFonts w:hint="eastAsia" w:ascii="宋体" w:hAnsi="宋体" w:eastAsia="宋体" w:cs="仿宋_GB2312"/>
          <w:bCs/>
          <w:color w:val="000000"/>
          <w:sz w:val="30"/>
          <w:szCs w:val="30"/>
          <w:highlight w:val="none"/>
          <w:lang w:val="en-US"/>
        </w:rPr>
      </w:pPr>
    </w:p>
    <w:p w14:paraId="000612C7">
      <w:pPr>
        <w:pStyle w:val="24"/>
        <w:ind w:left="0" w:leftChars="0" w:firstLine="0" w:firstLineChars="0"/>
        <w:rPr>
          <w:rFonts w:hint="eastAsia" w:ascii="宋体" w:hAnsi="宋体" w:eastAsia="宋体" w:cs="宋体"/>
          <w:b/>
          <w:bCs/>
          <w:sz w:val="28"/>
          <w:szCs w:val="36"/>
          <w:highlight w:val="none"/>
          <w:lang w:eastAsia="zh-CN"/>
        </w:rPr>
      </w:pPr>
    </w:p>
    <w:p w14:paraId="073B3AB9">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253C6FAC">
      <w:pPr>
        <w:pStyle w:val="24"/>
        <w:ind w:left="0" w:leftChars="0" w:firstLine="0" w:firstLineChars="0"/>
        <w:rPr>
          <w:rFonts w:hint="eastAsia" w:ascii="宋体" w:hAnsi="宋体" w:eastAsia="宋体" w:cs="仿宋_GB2312"/>
          <w:bCs/>
          <w:color w:val="000000"/>
          <w:sz w:val="30"/>
          <w:szCs w:val="30"/>
          <w:highlight w:val="none"/>
          <w:lang w:val="en-US"/>
        </w:rPr>
      </w:pPr>
    </w:p>
    <w:p w14:paraId="0A210F7A">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100DB9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2F94183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46C98098">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2B897D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6DEFBC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7F27B80A">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AC1942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38010940">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B7D1A9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627F503A">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（1）我方承诺确保设备及所有配套件的完整性和可靠性，对于比选文件没有列出但对维持该设备的正常运行及维护必不可少的部件、配件等，我方有责任给予补充。</w:t>
      </w:r>
    </w:p>
    <w:p w14:paraId="0EB591F2">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（2）第二章用户需求书中第五大点的“★4.售后服务”、“★6.验收要求”、“★9.履约保证金”。</w:t>
      </w:r>
    </w:p>
    <w:p w14:paraId="2421C39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（3）★我方承诺为本项目投入的多联式室外机以及出风嵌入机，均归属于多联式空调（热泵）机组（制冷量＞14000W），具有国家确定的认证机构出具的、有效期之内的节能产品认证的节能产品。</w:t>
      </w:r>
      <w:r>
        <w:rPr>
          <w:rFonts w:hint="eastAsia" w:ascii="仿宋" w:hAnsi="仿宋" w:eastAsia="仿宋" w:cs="仿宋"/>
          <w:color w:val="auto"/>
          <w:sz w:val="22"/>
          <w:szCs w:val="22"/>
          <w:highlight w:val="yellow"/>
          <w:lang w:val="en-US" w:eastAsia="zh-CN"/>
        </w:rPr>
        <w:t>（证明材料附本承诺函后）</w:t>
      </w:r>
    </w:p>
    <w:p w14:paraId="6979315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20DBDF7B">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E9131B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0ABEB09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39321FB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51799509">
      <w:pPr>
        <w:pStyle w:val="5"/>
        <w:rPr>
          <w:rFonts w:hint="eastAsia"/>
          <w:lang w:eastAsia="zh-CN"/>
        </w:rPr>
      </w:pPr>
    </w:p>
    <w:p w14:paraId="733A50A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D9DB40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BA277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8783E8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247330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3BC9E0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B296B10">
      <w:pPr>
        <w:pStyle w:val="22"/>
        <w:rPr>
          <w:rFonts w:hint="eastAsia" w:ascii="黑体" w:hAnsi="黑体" w:eastAsia="黑体" w:cs="黑体"/>
          <w:b/>
          <w:bCs/>
          <w:sz w:val="40"/>
          <w:szCs w:val="40"/>
          <w:highlight w:val="none"/>
          <w:lang w:val="en-US" w:eastAsia="zh-CN"/>
        </w:rPr>
      </w:pPr>
    </w:p>
    <w:p w14:paraId="79ECC74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484DB33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w:t>
      </w:r>
    </w:p>
    <w:p w14:paraId="08E4C20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提供拟投入本项目的多联式空调（热泵）机组（制冷量＞14000W）的以下资料：</w:t>
      </w:r>
    </w:p>
    <w:p w14:paraId="77F209E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国家确定的认证机构出具的、处于有效期之内的节能产品认证证书，证明资料加盖公章。认证机构以中国政府采购网最新公布的《市场监管总局关于发布参与实施政府采购节能产品、环境标志产品认证机构名录的公告》中所列机构为准。</w:t>
      </w:r>
    </w:p>
    <w:p w14:paraId="3B32881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68B6D554">
      <w:pPr>
        <w:pStyle w:val="2"/>
        <w:rPr>
          <w:rFonts w:hint="eastAsia" w:ascii="黑体" w:hAnsi="黑体" w:eastAsia="黑体" w:cs="黑体"/>
          <w:b/>
          <w:bCs/>
          <w:sz w:val="40"/>
          <w:szCs w:val="40"/>
          <w:highlight w:val="none"/>
          <w:lang w:val="en-US" w:eastAsia="zh-CN"/>
        </w:rPr>
      </w:pPr>
    </w:p>
    <w:p w14:paraId="28E559E0">
      <w:pPr>
        <w:rPr>
          <w:rFonts w:hint="eastAsia" w:ascii="黑体" w:hAnsi="黑体" w:eastAsia="黑体" w:cs="黑体"/>
          <w:b/>
          <w:bCs/>
          <w:sz w:val="40"/>
          <w:szCs w:val="40"/>
          <w:highlight w:val="none"/>
          <w:lang w:val="en-US" w:eastAsia="zh-CN"/>
        </w:rPr>
      </w:pPr>
    </w:p>
    <w:p w14:paraId="2825229A">
      <w:pPr>
        <w:pStyle w:val="2"/>
        <w:rPr>
          <w:rFonts w:hint="eastAsia" w:ascii="黑体" w:hAnsi="黑体" w:eastAsia="黑体" w:cs="黑体"/>
          <w:b/>
          <w:bCs/>
          <w:sz w:val="40"/>
          <w:szCs w:val="40"/>
          <w:highlight w:val="none"/>
          <w:lang w:val="en-US" w:eastAsia="zh-CN"/>
        </w:rPr>
      </w:pPr>
    </w:p>
    <w:p w14:paraId="3C69964D">
      <w:pPr>
        <w:rPr>
          <w:rFonts w:hint="eastAsia" w:ascii="黑体" w:hAnsi="黑体" w:eastAsia="黑体" w:cs="黑体"/>
          <w:b/>
          <w:bCs/>
          <w:sz w:val="40"/>
          <w:szCs w:val="40"/>
          <w:highlight w:val="none"/>
          <w:lang w:val="en-US" w:eastAsia="zh-CN"/>
        </w:rPr>
      </w:pPr>
    </w:p>
    <w:p w14:paraId="2F774D7C">
      <w:pPr>
        <w:pStyle w:val="2"/>
        <w:rPr>
          <w:rFonts w:hint="eastAsia" w:ascii="黑体" w:hAnsi="黑体" w:eastAsia="黑体" w:cs="黑体"/>
          <w:b/>
          <w:bCs/>
          <w:sz w:val="40"/>
          <w:szCs w:val="40"/>
          <w:highlight w:val="none"/>
          <w:lang w:val="en-US" w:eastAsia="zh-CN"/>
        </w:rPr>
      </w:pPr>
    </w:p>
    <w:p w14:paraId="151F0E48">
      <w:pPr>
        <w:rPr>
          <w:rFonts w:hint="eastAsia" w:ascii="黑体" w:hAnsi="黑体" w:eastAsia="黑体" w:cs="黑体"/>
          <w:b/>
          <w:bCs/>
          <w:sz w:val="40"/>
          <w:szCs w:val="40"/>
          <w:highlight w:val="none"/>
          <w:lang w:val="en-US" w:eastAsia="zh-CN"/>
        </w:rPr>
      </w:pPr>
    </w:p>
    <w:p w14:paraId="1D636D99">
      <w:pPr>
        <w:pStyle w:val="2"/>
        <w:rPr>
          <w:rFonts w:hint="eastAsia" w:ascii="黑体" w:hAnsi="黑体" w:eastAsia="黑体" w:cs="黑体"/>
          <w:b/>
          <w:bCs/>
          <w:sz w:val="40"/>
          <w:szCs w:val="40"/>
          <w:highlight w:val="none"/>
          <w:lang w:val="en-US" w:eastAsia="zh-CN"/>
        </w:rPr>
      </w:pPr>
    </w:p>
    <w:p w14:paraId="6616119A">
      <w:pPr>
        <w:rPr>
          <w:rFonts w:hint="eastAsia" w:ascii="黑体" w:hAnsi="黑体" w:eastAsia="黑体" w:cs="黑体"/>
          <w:b/>
          <w:bCs/>
          <w:sz w:val="40"/>
          <w:szCs w:val="40"/>
          <w:highlight w:val="none"/>
          <w:lang w:val="en-US" w:eastAsia="zh-CN"/>
        </w:rPr>
      </w:pPr>
    </w:p>
    <w:p w14:paraId="218D6B80">
      <w:pPr>
        <w:pStyle w:val="2"/>
        <w:rPr>
          <w:rFonts w:hint="eastAsia" w:ascii="黑体" w:hAnsi="黑体" w:eastAsia="黑体" w:cs="黑体"/>
          <w:b/>
          <w:bCs/>
          <w:sz w:val="40"/>
          <w:szCs w:val="40"/>
          <w:highlight w:val="none"/>
          <w:lang w:val="en-US" w:eastAsia="zh-CN"/>
        </w:rPr>
      </w:pPr>
    </w:p>
    <w:p w14:paraId="6A8157B0">
      <w:pPr>
        <w:rPr>
          <w:rFonts w:hint="eastAsia" w:ascii="黑体" w:hAnsi="黑体" w:eastAsia="黑体" w:cs="黑体"/>
          <w:b/>
          <w:bCs/>
          <w:sz w:val="40"/>
          <w:szCs w:val="40"/>
          <w:highlight w:val="none"/>
          <w:lang w:val="en-US" w:eastAsia="zh-CN"/>
        </w:rPr>
      </w:pPr>
    </w:p>
    <w:p w14:paraId="7D1725E5">
      <w:pPr>
        <w:pStyle w:val="22"/>
        <w:rPr>
          <w:rFonts w:hint="eastAsia" w:ascii="黑体" w:hAnsi="黑体" w:eastAsia="黑体" w:cs="黑体"/>
          <w:b/>
          <w:bCs/>
          <w:sz w:val="40"/>
          <w:szCs w:val="40"/>
          <w:highlight w:val="none"/>
          <w:lang w:val="en-US" w:eastAsia="zh-CN"/>
        </w:rPr>
      </w:pPr>
    </w:p>
    <w:p w14:paraId="37AC1CF0">
      <w:pPr>
        <w:pStyle w:val="22"/>
        <w:rPr>
          <w:rFonts w:hint="eastAsia" w:ascii="黑体" w:hAnsi="黑体" w:eastAsia="黑体" w:cs="黑体"/>
          <w:b/>
          <w:bCs/>
          <w:sz w:val="40"/>
          <w:szCs w:val="40"/>
          <w:highlight w:val="none"/>
          <w:lang w:val="en-US" w:eastAsia="zh-CN"/>
        </w:rPr>
      </w:pPr>
    </w:p>
    <w:p w14:paraId="177B853A">
      <w:pPr>
        <w:pStyle w:val="22"/>
        <w:rPr>
          <w:rFonts w:hint="eastAsia" w:ascii="黑体" w:hAnsi="黑体" w:eastAsia="黑体" w:cs="黑体"/>
          <w:b/>
          <w:bCs/>
          <w:sz w:val="40"/>
          <w:szCs w:val="40"/>
          <w:highlight w:val="none"/>
          <w:lang w:val="en-US" w:eastAsia="zh-CN"/>
        </w:rPr>
      </w:pPr>
    </w:p>
    <w:p w14:paraId="61F331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3E0569DA">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538ED311">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7"/>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1B0CBE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8A562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3B8B7B4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386F6BF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7674DA4A">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049BD744">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7E5675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0CF5A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E57B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根据响应人自202</w:t>
            </w:r>
            <w:r>
              <w:rPr>
                <w:rFonts w:hint="eastAsia" w:ascii="仿宋" w:hAnsi="仿宋" w:eastAsia="仿宋" w:cs="仿宋"/>
                <w:sz w:val="21"/>
                <w:szCs w:val="21"/>
                <w:lang w:val="en-US" w:eastAsia="zh-CN"/>
              </w:rPr>
              <w:t>2</w:t>
            </w:r>
            <w:r>
              <w:rPr>
                <w:rFonts w:hint="eastAsia" w:ascii="仿宋" w:hAnsi="仿宋" w:eastAsia="仿宋" w:cs="仿宋"/>
                <w:sz w:val="21"/>
                <w:szCs w:val="21"/>
              </w:rPr>
              <w:t>年1月1日（以合同签订时间为准）以来，完成同类项目业绩进行评分，每提供一个业绩得3分，本项最高得9分。</w:t>
            </w:r>
          </w:p>
        </w:tc>
        <w:tc>
          <w:tcPr>
            <w:tcW w:w="2508" w:type="dxa"/>
            <w:vAlign w:val="center"/>
          </w:tcPr>
          <w:p w14:paraId="31E1C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AAE6DE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595D15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A9A16F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5F4A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3229A0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4AE2E0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项目负责人持有</w:t>
            </w:r>
            <w:r>
              <w:rPr>
                <w:rFonts w:hint="eastAsia" w:ascii="仿宋" w:hAnsi="仿宋" w:eastAsia="仿宋" w:cs="仿宋"/>
                <w:b w:val="0"/>
                <w:bCs w:val="0"/>
                <w:color w:val="auto"/>
                <w:sz w:val="21"/>
                <w:szCs w:val="21"/>
                <w:highlight w:val="none"/>
                <w:lang w:val="en-US" w:eastAsia="zh-CN"/>
              </w:rPr>
              <w:t>电气或</w:t>
            </w:r>
            <w:r>
              <w:rPr>
                <w:rFonts w:hint="eastAsia" w:ascii="仿宋" w:hAnsi="仿宋" w:eastAsia="仿宋" w:cs="仿宋"/>
                <w:color w:val="auto"/>
                <w:szCs w:val="21"/>
                <w:highlight w:val="none"/>
              </w:rPr>
              <w:t>机电或暖通</w:t>
            </w:r>
            <w:r>
              <w:rPr>
                <w:rFonts w:hint="eastAsia" w:ascii="仿宋" w:hAnsi="仿宋" w:eastAsia="仿宋" w:cs="仿宋"/>
                <w:color w:val="auto"/>
                <w:sz w:val="21"/>
                <w:szCs w:val="21"/>
                <w:highlight w:val="none"/>
                <w:lang w:val="en-US" w:eastAsia="zh-CN"/>
              </w:rPr>
              <w:t>高级职称或机电工程专业二级（或以上）注册建造师的，得3分。</w:t>
            </w:r>
          </w:p>
        </w:tc>
        <w:tc>
          <w:tcPr>
            <w:tcW w:w="2508" w:type="dxa"/>
            <w:vMerge w:val="restart"/>
            <w:vAlign w:val="center"/>
          </w:tcPr>
          <w:p w14:paraId="6E9D6981">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注：须提供以上相关人员有效期内的证书复印件及2025年1月以来任意一个月的响应供应商为其缴纳的社保证明材料复印件，缺一不可。</w:t>
            </w:r>
          </w:p>
        </w:tc>
        <w:tc>
          <w:tcPr>
            <w:tcW w:w="1510" w:type="dxa"/>
            <w:vAlign w:val="center"/>
          </w:tcPr>
          <w:p w14:paraId="6BAF469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C09752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8667C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0064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253BD84A">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731AB4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项目团队人员（除项目负责人外）持有电气或机电或暖通中级或以上职称的，得2分。</w:t>
            </w:r>
          </w:p>
        </w:tc>
        <w:tc>
          <w:tcPr>
            <w:tcW w:w="2508" w:type="dxa"/>
            <w:vMerge w:val="continue"/>
            <w:vAlign w:val="center"/>
          </w:tcPr>
          <w:p w14:paraId="579BA2DA">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4A6768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7AB270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D000B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2241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2E1F73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5611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w:t>
            </w:r>
            <w:r>
              <w:rPr>
                <w:rFonts w:hint="eastAsia" w:ascii="仿宋" w:hAnsi="仿宋" w:eastAsia="仿宋" w:cs="仿宋"/>
                <w:color w:val="000000"/>
                <w:sz w:val="21"/>
                <w:szCs w:val="21"/>
                <w:lang w:bidi="ar"/>
              </w:rPr>
              <w:t>质量管理体系认证证书</w:t>
            </w:r>
            <w:r>
              <w:rPr>
                <w:rFonts w:hint="eastAsia" w:ascii="仿宋" w:hAnsi="仿宋" w:eastAsia="仿宋" w:cs="仿宋"/>
                <w:color w:val="auto"/>
                <w:sz w:val="21"/>
                <w:szCs w:val="21"/>
                <w:highlight w:val="none"/>
                <w:lang w:val="en-US" w:eastAsia="zh-CN"/>
              </w:rPr>
              <w:t>得2分。</w:t>
            </w:r>
          </w:p>
        </w:tc>
        <w:tc>
          <w:tcPr>
            <w:tcW w:w="2508" w:type="dxa"/>
            <w:vMerge w:val="restart"/>
            <w:vAlign w:val="center"/>
          </w:tcPr>
          <w:p w14:paraId="6F82BF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440187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4921DE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866B4B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2A2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5BD78B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84924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具有有效的环境管理体系认证证书得2分。</w:t>
            </w:r>
          </w:p>
        </w:tc>
        <w:tc>
          <w:tcPr>
            <w:tcW w:w="2508" w:type="dxa"/>
            <w:vMerge w:val="continue"/>
            <w:vAlign w:val="center"/>
          </w:tcPr>
          <w:p w14:paraId="1BC00B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20F1EBE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2CD860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3ECDC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7F814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2DBBADB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27E2A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具有有效的职业健康安全管理体系认证证书得2分。</w:t>
            </w:r>
          </w:p>
        </w:tc>
        <w:tc>
          <w:tcPr>
            <w:tcW w:w="2508" w:type="dxa"/>
            <w:vMerge w:val="continue"/>
            <w:vAlign w:val="center"/>
          </w:tcPr>
          <w:p w14:paraId="3103B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40835B6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F4022F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24ACF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4272B4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14EC9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59CB9B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C718CD4">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0B235002">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15F365B6">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03934527">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5EB1620">
      <w:pPr>
        <w:pStyle w:val="24"/>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033C5879">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60780C0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0C3E26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944D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843E4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B24B85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46077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7CC8C53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A0B0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00A8AD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53F911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43E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F8018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174E9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618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6B7D0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E22BB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91974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32C16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6ED427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65E968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AB6C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7A6D56B">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C6B090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2FCD48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1F7D04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80B590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CFA92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6C12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2383BC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89A79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A256F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C21C4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9F1B4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6D3EA3A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C03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E1EC25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98782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BAC73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5D8092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15F4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F691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1A91D60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A390BB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F52D9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E8542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7BFF0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6F69A3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0A029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71E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06402D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88D6B2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604E706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1F1E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83ECA4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4C99E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5670133">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1A9F17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FF06293">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64BA85F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16DC2FA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559828C5">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4E5B45BA">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EDA5B60">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7B05ECDE">
      <w:pPr>
        <w:pStyle w:val="24"/>
        <w:jc w:val="center"/>
        <w:rPr>
          <w:rFonts w:hint="eastAsia" w:ascii="宋体" w:hAnsi="宋体" w:eastAsia="宋体" w:cs="宋体"/>
          <w:b/>
          <w:bCs w:val="0"/>
          <w:sz w:val="32"/>
          <w:szCs w:val="32"/>
          <w:highlight w:val="none"/>
          <w:lang w:val="en-US" w:eastAsia="zh-CN"/>
        </w:rPr>
      </w:pPr>
    </w:p>
    <w:p w14:paraId="4C34EA9B">
      <w:pPr>
        <w:pStyle w:val="24"/>
        <w:jc w:val="center"/>
        <w:rPr>
          <w:rFonts w:hint="eastAsia" w:ascii="宋体" w:hAnsi="宋体" w:eastAsia="宋体" w:cs="宋体"/>
          <w:b/>
          <w:bCs w:val="0"/>
          <w:sz w:val="32"/>
          <w:szCs w:val="32"/>
          <w:highlight w:val="none"/>
          <w:lang w:val="en-US" w:eastAsia="zh-CN"/>
        </w:rPr>
      </w:pPr>
    </w:p>
    <w:p w14:paraId="26A8D2D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B228C6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B9475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B9A84AD">
      <w:pPr>
        <w:pStyle w:val="24"/>
        <w:rPr>
          <w:rFonts w:hint="eastAsia" w:ascii="宋体" w:hAnsi="宋体" w:eastAsia="宋体" w:cs="宋体"/>
          <w:b/>
          <w:bCs w:val="0"/>
          <w:sz w:val="32"/>
          <w:szCs w:val="32"/>
          <w:highlight w:val="none"/>
          <w:lang w:val="en-US" w:eastAsia="zh-CN"/>
        </w:rPr>
      </w:pPr>
    </w:p>
    <w:p w14:paraId="5F9489AB">
      <w:pPr>
        <w:pStyle w:val="24"/>
        <w:jc w:val="center"/>
        <w:rPr>
          <w:rFonts w:hint="eastAsia" w:ascii="宋体" w:hAnsi="宋体" w:eastAsia="宋体" w:cs="宋体"/>
          <w:b/>
          <w:bCs w:val="0"/>
          <w:sz w:val="32"/>
          <w:szCs w:val="32"/>
          <w:highlight w:val="none"/>
          <w:lang w:val="en-US" w:eastAsia="zh-CN"/>
        </w:rPr>
      </w:pPr>
    </w:p>
    <w:p w14:paraId="51D5C27E">
      <w:pPr>
        <w:pStyle w:val="24"/>
        <w:jc w:val="center"/>
        <w:rPr>
          <w:rFonts w:hint="eastAsia" w:ascii="宋体" w:hAnsi="宋体" w:eastAsia="宋体" w:cs="宋体"/>
          <w:b/>
          <w:bCs w:val="0"/>
          <w:sz w:val="32"/>
          <w:szCs w:val="32"/>
          <w:highlight w:val="none"/>
          <w:lang w:val="en-US" w:eastAsia="zh-CN"/>
        </w:rPr>
      </w:pPr>
    </w:p>
    <w:p w14:paraId="0CD2CB03">
      <w:pPr>
        <w:pStyle w:val="24"/>
        <w:jc w:val="center"/>
        <w:rPr>
          <w:rFonts w:hint="eastAsia" w:ascii="宋体" w:hAnsi="宋体" w:eastAsia="宋体" w:cs="宋体"/>
          <w:b/>
          <w:bCs w:val="0"/>
          <w:sz w:val="32"/>
          <w:szCs w:val="32"/>
          <w:highlight w:val="none"/>
          <w:lang w:val="en-US" w:eastAsia="zh-CN"/>
        </w:rPr>
      </w:pPr>
    </w:p>
    <w:p w14:paraId="3535838D">
      <w:pPr>
        <w:pStyle w:val="24"/>
        <w:jc w:val="center"/>
        <w:rPr>
          <w:rFonts w:hint="eastAsia" w:ascii="宋体" w:hAnsi="宋体" w:eastAsia="宋体" w:cs="宋体"/>
          <w:b/>
          <w:bCs w:val="0"/>
          <w:sz w:val="32"/>
          <w:szCs w:val="32"/>
          <w:highlight w:val="none"/>
          <w:lang w:val="en-US" w:eastAsia="zh-CN"/>
        </w:rPr>
      </w:pPr>
    </w:p>
    <w:p w14:paraId="0F662A7B">
      <w:pPr>
        <w:pStyle w:val="24"/>
        <w:jc w:val="center"/>
        <w:rPr>
          <w:rFonts w:hint="eastAsia" w:ascii="宋体" w:hAnsi="宋体" w:eastAsia="宋体" w:cs="宋体"/>
          <w:b/>
          <w:bCs w:val="0"/>
          <w:sz w:val="32"/>
          <w:szCs w:val="32"/>
          <w:highlight w:val="none"/>
          <w:lang w:val="en-US" w:eastAsia="zh-CN"/>
        </w:rPr>
      </w:pPr>
    </w:p>
    <w:p w14:paraId="494E38BF">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A287B6">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6D2A5F">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6518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1FBE95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EF9B92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D7D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062840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08326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1198A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C823F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173E9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6899BC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3CC837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84E98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AC084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A4D9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0221AF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3E883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2E961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68EDB0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34DCC5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4D8BD0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D40E92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357296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A73B5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37822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D07A9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510F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23B84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46F735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8EC8B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4A32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BC14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4E4C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41EA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AF51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A01BA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C8C546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95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BF06F2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51AD0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B517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47C6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5405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A8DD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A367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D7040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695C5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EC3508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EEC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45F9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67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B117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123F04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594B75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60C0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0A89A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190E0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64FE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512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04365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159743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F317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03043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A0CADC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73A5C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0FC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2639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CF8C4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A431ED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74330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F3A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08F10F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7A7C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B331E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4CC40C02">
      <w:pPr>
        <w:shd w:val="clear" w:color="auto" w:fill="FFFFFF"/>
        <w:jc w:val="left"/>
        <w:rPr>
          <w:rFonts w:hint="eastAsia" w:ascii="仿宋" w:hAnsi="仿宋" w:eastAsia="仿宋" w:cs="仿宋"/>
          <w:szCs w:val="21"/>
          <w:highlight w:val="none"/>
        </w:rPr>
      </w:pPr>
    </w:p>
    <w:p w14:paraId="7470980C">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B7930F5">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29C514A2">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31DDCA2A">
      <w:pPr>
        <w:pStyle w:val="24"/>
        <w:rPr>
          <w:rFonts w:hint="eastAsia" w:ascii="仿宋" w:hAnsi="仿宋" w:eastAsia="仿宋" w:cs="仿宋"/>
          <w:highlight w:val="none"/>
        </w:rPr>
      </w:pPr>
    </w:p>
    <w:p w14:paraId="7836D3AE">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7BE729D">
      <w:pPr>
        <w:pStyle w:val="24"/>
        <w:jc w:val="center"/>
        <w:rPr>
          <w:rFonts w:hint="eastAsia" w:ascii="宋体" w:hAnsi="宋体" w:eastAsia="宋体" w:cs="宋体"/>
          <w:b/>
          <w:bCs w:val="0"/>
          <w:sz w:val="32"/>
          <w:szCs w:val="32"/>
          <w:highlight w:val="none"/>
          <w:lang w:val="en-US" w:eastAsia="zh-CN"/>
        </w:rPr>
      </w:pPr>
    </w:p>
    <w:p w14:paraId="2D0D407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004E1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66F895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2E5F553">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3FECF8B7">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3F67E26">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CAD801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782159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8AD9CB2">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47AC3842">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EB80AA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55348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7102B679">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5746E73F">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5A04267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2EEC40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5549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C6CB8A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2D9779E">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711221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584CE1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698C2F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434AAF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5E76C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4C0B04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30ED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70FF9D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D6E764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83B1C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DC56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10191A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5227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2C7B3B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4F39A0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3A41B52A">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269237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CA6D49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433FD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81C5C9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8358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8142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5D43B2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2F8A82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AF8D58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42FD9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6540F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FB279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7BF55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46BA57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0FA0A4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D09875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6C76F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27FEB3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295BA6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5EFA47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E9D4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1C486B1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1F0F6B2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24A1D39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6F67EB2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6E36DB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82603B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10A181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CD86385">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A55AD44">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5CA44F1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0B991652">
      <w:pPr>
        <w:pStyle w:val="5"/>
        <w:spacing w:line="240" w:lineRule="auto"/>
        <w:ind w:right="706" w:rightChars="0"/>
        <w:rPr>
          <w:rFonts w:hint="eastAsia" w:ascii="仿宋" w:hAnsi="仿宋" w:eastAsia="仿宋" w:cs="仿宋"/>
          <w:lang w:eastAsia="zh-CN"/>
        </w:rPr>
      </w:pPr>
      <w:r>
        <w:rPr>
          <w:rFonts w:hint="eastAsia" w:ascii="仿宋" w:hAnsi="仿宋" w:eastAsia="仿宋" w:cs="仿宋"/>
        </w:rPr>
        <w:t>项目名称：</w:t>
      </w:r>
      <w:r>
        <w:rPr>
          <w:rFonts w:hint="eastAsia" w:ascii="仿宋" w:hAnsi="仿宋" w:eastAsia="仿宋" w:cs="仿宋"/>
          <w:lang w:eastAsia="zh-CN"/>
        </w:rPr>
        <w:t>中山大学孙逸仙纪念医院北院区检验科、南院区逸仙楼四楼消毒供应中心空调系统升级改造服务项目（第二次）</w:t>
      </w: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B96D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31D1D0D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25F1118C">
            <w:pPr>
              <w:pStyle w:val="33"/>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E2BF52C">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528EE866">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证书</w:t>
            </w:r>
          </w:p>
        </w:tc>
        <w:tc>
          <w:tcPr>
            <w:tcW w:w="1128" w:type="dxa"/>
            <w:tcBorders>
              <w:top w:val="single" w:color="auto" w:sz="12" w:space="0"/>
              <w:left w:val="single" w:color="auto" w:sz="2" w:space="0"/>
              <w:bottom w:val="single" w:color="auto" w:sz="2" w:space="0"/>
              <w:right w:val="single" w:color="auto" w:sz="2" w:space="0"/>
            </w:tcBorders>
            <w:vAlign w:val="center"/>
          </w:tcPr>
          <w:p w14:paraId="3B53DA14">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3AACDFA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562BDD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AE07DC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87D7DE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36C63D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39C4733">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3F97C15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A732FA9">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14:paraId="0FA7D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053BE7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950960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EBFABE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23FFCAD">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05C9A9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61FF25A">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团队人员</w:t>
            </w:r>
          </w:p>
        </w:tc>
      </w:tr>
      <w:tr w14:paraId="08CFAF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3D8142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ACBE69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49816D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5828E1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0ACF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BD3934F">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14:paraId="456AB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5E4A48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35FA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DF5A9B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79AAE4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423119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C81D15B">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1AA652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EFEEA2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B6E07B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BF9A58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1562F6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F71F33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620A86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4EE9D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0152DC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52CCF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A6FAB7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78A3DA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B5809B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3F32085">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0ACA47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9D3E6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D6F40A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F386D8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0BCE53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CACF76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9FC3119">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75A09303">
      <w:pPr>
        <w:pStyle w:val="24"/>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4A5E33E6">
      <w:pPr>
        <w:pStyle w:val="24"/>
        <w:ind w:left="0" w:leftChars="0" w:firstLine="0" w:firstLineChars="0"/>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lang w:val="en-GB" w:eastAsia="zh-CN"/>
        </w:rPr>
        <w:t>须提供以上相关人员有效期内的证书复印件及202</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lang w:val="en-GB" w:eastAsia="zh-CN"/>
        </w:rPr>
        <w:t>年1月以来任意一个月的响应供应商为其缴纳的社保证明材料复印件，缺一不可。</w:t>
      </w:r>
    </w:p>
    <w:p w14:paraId="200FD9E5">
      <w:pPr>
        <w:pStyle w:val="24"/>
        <w:ind w:left="0" w:leftChars="0" w:firstLine="0" w:firstLineChars="0"/>
        <w:rPr>
          <w:rFonts w:hint="eastAsia" w:ascii="仿宋" w:hAnsi="仿宋" w:eastAsia="仿宋" w:cs="仿宋"/>
          <w:color w:val="auto"/>
          <w:sz w:val="20"/>
          <w:szCs w:val="20"/>
          <w:lang w:val="en-GB" w:eastAsia="zh-CN"/>
        </w:rPr>
      </w:pPr>
    </w:p>
    <w:p w14:paraId="43F8A6DD">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F206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EF1C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4A41FD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1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604A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361B5797">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6DB141B0">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7A2BC3CD">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168811A8">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119A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9A69260">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1B563E89">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E29B9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7C09C32">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7DD7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0BE730D">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77D2D19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FAC2E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5D6E5737">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171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76C73F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3458718E">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E0381C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733D42A">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37060C98">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7AF54E1F">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6DF05093">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2A11E6C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4C705C9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DC13E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9C6CC3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59F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31572F7">
      <w:pPr>
        <w:pStyle w:val="24"/>
        <w:jc w:val="center"/>
        <w:rPr>
          <w:rFonts w:hint="eastAsia" w:ascii="宋体" w:hAnsi="宋体" w:cs="宋体"/>
          <w:b/>
          <w:bCs w:val="0"/>
          <w:sz w:val="32"/>
          <w:szCs w:val="32"/>
          <w:highlight w:val="none"/>
          <w:lang w:val="en-US" w:eastAsia="zh-CN"/>
        </w:rPr>
      </w:pPr>
    </w:p>
    <w:p w14:paraId="2C127D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464F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43174C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5203EF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3F047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A9EEF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10172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B822D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50F7DA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FB56C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533FB7B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46E2E8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368A67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6B6DA6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0CAD7E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BDD60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6F79CF59">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0A507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2E1A9BD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983ADEC">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szCs w:val="21"/>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szCs w:val="21"/>
              </w:rPr>
              <w:t>中带</w:t>
            </w:r>
            <w:r>
              <w:rPr>
                <w:rFonts w:hint="eastAsia" w:ascii="仿宋" w:hAnsi="仿宋" w:eastAsia="仿宋" w:cs="仿宋"/>
                <w:color w:val="000000"/>
                <w:szCs w:val="21"/>
                <w:lang w:eastAsia="zh-CN"/>
              </w:rPr>
              <w:t>“</w:t>
            </w:r>
            <w:r>
              <w:rPr>
                <w:rFonts w:hint="eastAsia" w:ascii="仿宋" w:hAnsi="仿宋" w:eastAsia="仿宋" w:cs="仿宋"/>
                <w:color w:val="000000"/>
                <w:szCs w:val="21"/>
              </w:rPr>
              <w:t>▲</w:t>
            </w:r>
            <w:r>
              <w:rPr>
                <w:rFonts w:hint="eastAsia" w:ascii="仿宋" w:hAnsi="仿宋" w:eastAsia="仿宋" w:cs="仿宋"/>
                <w:color w:val="000000"/>
                <w:szCs w:val="21"/>
                <w:lang w:eastAsia="zh-CN"/>
              </w:rPr>
              <w:t>”</w:t>
            </w:r>
            <w:r>
              <w:rPr>
                <w:rFonts w:hint="eastAsia" w:ascii="仿宋" w:hAnsi="仿宋" w:eastAsia="仿宋" w:cs="仿宋"/>
                <w:color w:val="000000"/>
                <w:szCs w:val="21"/>
              </w:rPr>
              <w:t>号的重要技术（服务）条款的响应程度</w:t>
            </w:r>
          </w:p>
        </w:tc>
        <w:tc>
          <w:tcPr>
            <w:tcW w:w="5221" w:type="dxa"/>
            <w:vAlign w:val="top"/>
          </w:tcPr>
          <w:p w14:paraId="110DEB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针对采购需求中“四、设备主要技术参数要求”的第2点至第16点中，带“▲”号的重要技术（服务）条款，每满足一条得3分，共有5个带“▲”号条款，最高得15分。</w:t>
            </w:r>
          </w:p>
          <w:p w14:paraId="192525E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p>
          <w:p w14:paraId="08F424D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（参与本项评审的“▲”号技术（服务）条款总数：共5条）</w:t>
            </w:r>
          </w:p>
          <w:p w14:paraId="5E9BF1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p>
          <w:p w14:paraId="511639A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本项评审证明文件按照采购需求的要求提供证明文件，并加盖响应人公章；若没有要求，则提供技术参数确认函并加盖制造商公章、或制造商技术白皮书并加盖响应人公章、或制造商使用说明书并加盖响应人公章、或制造商市场公开的宣传彩页并加盖响应人公章、或制造商官网清晰截图并加盖响应人公章作为技术证明文件，但任何一类证明文件应该清晰明确反映相关响应的信息，否则评审委员会有权视相应技术参数响应不满足比选文件要求（如制造商的产品使用说明书等相关证明文件为外文版，请同时提供中文版）。</w:t>
            </w:r>
          </w:p>
        </w:tc>
        <w:tc>
          <w:tcPr>
            <w:tcW w:w="1373" w:type="dxa"/>
            <w:vAlign w:val="center"/>
          </w:tcPr>
          <w:p w14:paraId="4185A24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4F48817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09059F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3FF3C1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225472F7">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对采购需求“四、设备主要技术参数要求”中不带“▲”号的一般技术（服务）条款的响应程度</w:t>
            </w:r>
          </w:p>
        </w:tc>
        <w:tc>
          <w:tcPr>
            <w:tcW w:w="5221" w:type="dxa"/>
            <w:vAlign w:val="center"/>
          </w:tcPr>
          <w:p w14:paraId="4645E1D7">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一般</w:t>
            </w:r>
            <w:r>
              <w:rPr>
                <w:rFonts w:hint="eastAsia" w:ascii="仿宋" w:hAnsi="仿宋" w:eastAsia="仿宋" w:cs="仿宋"/>
                <w:color w:val="000000"/>
                <w:sz w:val="21"/>
                <w:szCs w:val="21"/>
              </w:rPr>
              <w:t>技术（服务）条款，每满足一条得</w:t>
            </w:r>
            <w:r>
              <w:rPr>
                <w:rFonts w:hint="eastAsia" w:ascii="仿宋" w:hAnsi="仿宋" w:eastAsia="仿宋" w:cs="仿宋"/>
                <w:color w:val="000000"/>
                <w:sz w:val="21"/>
                <w:szCs w:val="21"/>
                <w:lang w:val="en-US" w:eastAsia="zh-CN"/>
              </w:rPr>
              <w:t>0.7</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个</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分。</w:t>
            </w:r>
          </w:p>
          <w:p w14:paraId="4908EE4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743D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带“▲”号技术（服务）条款总数：共</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条）</w:t>
            </w:r>
          </w:p>
          <w:p w14:paraId="53BC4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p>
          <w:p w14:paraId="35ECF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w:t>
            </w:r>
            <w:r>
              <w:rPr>
                <w:rFonts w:hint="eastAsia" w:ascii="仿宋" w:hAnsi="仿宋" w:eastAsia="仿宋" w:cs="仿宋"/>
                <w:color w:val="000000"/>
                <w:sz w:val="21"/>
                <w:szCs w:val="21"/>
                <w:lang w:val="en-US" w:eastAsia="zh-CN"/>
              </w:rPr>
              <w:t>承诺函</w:t>
            </w:r>
            <w:r>
              <w:rPr>
                <w:rFonts w:hint="eastAsia" w:ascii="仿宋" w:hAnsi="仿宋" w:eastAsia="仿宋" w:cs="仿宋"/>
                <w:color w:val="000000"/>
                <w:sz w:val="21"/>
                <w:szCs w:val="21"/>
              </w:rPr>
              <w:t>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p>
        </w:tc>
        <w:tc>
          <w:tcPr>
            <w:tcW w:w="1373" w:type="dxa"/>
            <w:vAlign w:val="center"/>
          </w:tcPr>
          <w:p w14:paraId="04F7D97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96B20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3F1188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25BDD01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Merge w:val="restart"/>
            <w:vAlign w:val="center"/>
          </w:tcPr>
          <w:p w14:paraId="1E2EA76F">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空调设备的质量、性能评审</w:t>
            </w:r>
          </w:p>
        </w:tc>
        <w:tc>
          <w:tcPr>
            <w:tcW w:w="5221" w:type="dxa"/>
            <w:vAlign w:val="center"/>
          </w:tcPr>
          <w:p w14:paraId="00F88691">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为体现机组节能性，所投多联机8HP、10HP、12HP、14HP、16HP、18HPAPF：</w:t>
            </w:r>
          </w:p>
          <w:p w14:paraId="7C56DD1B">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以上六款空调设备的APF平均值＞5.5，得4分；</w:t>
            </w:r>
          </w:p>
          <w:p w14:paraId="7C12BD6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5.0≤APF平均值≤5.5，得2分；</w:t>
            </w:r>
          </w:p>
          <w:p w14:paraId="58E9F6F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其他情况不得分；</w:t>
            </w:r>
          </w:p>
          <w:p w14:paraId="3D3E3C04">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满分为4分。</w:t>
            </w:r>
          </w:p>
          <w:p w14:paraId="3C6AAA5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注：在响应文件中须提供具备CMA或CNAS认证的第三方检测机构出具的检测报告扫描件或中国能效标识网查询截图。</w:t>
            </w:r>
          </w:p>
        </w:tc>
        <w:tc>
          <w:tcPr>
            <w:tcW w:w="1373" w:type="dxa"/>
            <w:vAlign w:val="center"/>
          </w:tcPr>
          <w:p w14:paraId="5D9B2EC3">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D0BE9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E0EF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53D8598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724A8E18">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5221" w:type="dxa"/>
            <w:vAlign w:val="center"/>
          </w:tcPr>
          <w:p w14:paraId="577DCEAA">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所投变频多联空调机组具有通信实时可靠性一级、内机断电通信、断电控阀、通信线任意拓扑能力。每能够体现一项得1分，满分4分。</w:t>
            </w:r>
          </w:p>
          <w:p w14:paraId="6F3BF00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注：在响应文件中须提供具备CMA或CNAS认证的第三方检测机构出具的检测报告扫描件。</w:t>
            </w:r>
          </w:p>
        </w:tc>
        <w:tc>
          <w:tcPr>
            <w:tcW w:w="1373" w:type="dxa"/>
            <w:vAlign w:val="center"/>
          </w:tcPr>
          <w:p w14:paraId="46B1E04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06F3B28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56C69C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6CE276F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04" w:type="dxa"/>
            <w:vAlign w:val="center"/>
          </w:tcPr>
          <w:p w14:paraId="11EBB08E">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项目实施计划</w:t>
            </w:r>
          </w:p>
        </w:tc>
        <w:tc>
          <w:tcPr>
            <w:tcW w:w="5221" w:type="dxa"/>
            <w:vAlign w:val="center"/>
          </w:tcPr>
          <w:p w14:paraId="31D34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20BC6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（1）项目管理及进度安排；</w:t>
            </w:r>
          </w:p>
          <w:p w14:paraId="65985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（2）进度保证措施；</w:t>
            </w:r>
          </w:p>
          <w:p w14:paraId="6A688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（3）质量保证措施；</w:t>
            </w:r>
          </w:p>
          <w:p w14:paraId="2528F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（4）验收方案；</w:t>
            </w:r>
          </w:p>
          <w:p w14:paraId="11019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项目安全文明措施。</w:t>
            </w:r>
          </w:p>
          <w:p w14:paraId="36A90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tc>
        <w:tc>
          <w:tcPr>
            <w:tcW w:w="1373" w:type="dxa"/>
            <w:vAlign w:val="center"/>
          </w:tcPr>
          <w:p w14:paraId="43FF6FD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5C1101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14884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5336F0E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304" w:type="dxa"/>
            <w:vMerge w:val="restart"/>
            <w:vAlign w:val="center"/>
          </w:tcPr>
          <w:p w14:paraId="5F83BA8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售后服务方案</w:t>
            </w:r>
          </w:p>
        </w:tc>
        <w:tc>
          <w:tcPr>
            <w:tcW w:w="5221" w:type="dxa"/>
            <w:shd w:val="clear" w:color="auto" w:fill="auto"/>
            <w:vAlign w:val="center"/>
          </w:tcPr>
          <w:p w14:paraId="1B2E3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 w:val="21"/>
                <w:szCs w:val="21"/>
                <w:lang w:val="en-US" w:eastAsia="zh-CN"/>
              </w:rPr>
              <w:t>售后服务方案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3A8B8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（1）售后</w:t>
            </w:r>
            <w:r>
              <w:rPr>
                <w:rFonts w:hint="eastAsia" w:ascii="仿宋" w:hAnsi="仿宋" w:eastAsia="仿宋" w:cs="仿宋"/>
                <w:color w:val="000000"/>
                <w:sz w:val="21"/>
                <w:szCs w:val="21"/>
              </w:rPr>
              <w:t>人员安排</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C7AE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（2）服务响应时间；</w:t>
            </w:r>
          </w:p>
          <w:p w14:paraId="3B5EF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w:t>
            </w:r>
            <w:r>
              <w:rPr>
                <w:rFonts w:hint="eastAsia" w:ascii="仿宋" w:hAnsi="仿宋" w:eastAsia="仿宋" w:cs="仿宋"/>
                <w:color w:val="000000"/>
                <w:sz w:val="21"/>
                <w:szCs w:val="21"/>
              </w:rPr>
              <w:t>故障解决方案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0F224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（4）备品备件储备情况。</w:t>
            </w:r>
          </w:p>
          <w:p w14:paraId="267BA470">
            <w:pPr>
              <w:pStyle w:val="4"/>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c>
          <w:tcPr>
            <w:tcW w:w="1373" w:type="dxa"/>
            <w:vAlign w:val="center"/>
          </w:tcPr>
          <w:p w14:paraId="2055663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11DC4E6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2F58A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51C7F23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5A3D53F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5221" w:type="dxa"/>
            <w:vAlign w:val="center"/>
          </w:tcPr>
          <w:p w14:paraId="7AC5D97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质保期承诺：响应人满足采购需求里合同设备质保期2年的前提下，每增加0.5年质保得1.5分，最高得3分。（提供承诺函，加盖公章）</w:t>
            </w:r>
          </w:p>
        </w:tc>
        <w:tc>
          <w:tcPr>
            <w:tcW w:w="1373" w:type="dxa"/>
            <w:vAlign w:val="center"/>
          </w:tcPr>
          <w:p w14:paraId="06ECDE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BF2C4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33A9FB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713094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41995DD">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23DD93FB">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4D461D1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w:t>
      </w:r>
      <w:r>
        <w:rPr>
          <w:rFonts w:hint="eastAsia" w:ascii="仿宋" w:hAnsi="仿宋" w:eastAsia="仿宋" w:cs="仿宋"/>
          <w:sz w:val="21"/>
          <w:szCs w:val="21"/>
          <w:highlight w:val="none"/>
          <w:lang w:val="en-US"/>
        </w:rPr>
        <w:t>失信供应商名单</w:t>
      </w:r>
      <w:r>
        <w:rPr>
          <w:rFonts w:hint="eastAsia" w:ascii="仿宋" w:hAnsi="仿宋" w:eastAsia="仿宋" w:cs="仿宋"/>
          <w:color w:val="auto"/>
          <w:sz w:val="21"/>
          <w:szCs w:val="21"/>
          <w:highlight w:val="none"/>
          <w:lang w:val="en-US" w:eastAsia="zh-CN"/>
        </w:rPr>
        <w:t>。</w:t>
      </w:r>
    </w:p>
    <w:p w14:paraId="4BA336F2">
      <w:pPr>
        <w:pStyle w:val="24"/>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2209EFB0">
      <w:pPr>
        <w:pStyle w:val="24"/>
        <w:ind w:left="0" w:leftChars="0" w:firstLine="0" w:firstLineChars="0"/>
        <w:rPr>
          <w:rFonts w:hint="eastAsia" w:ascii="仿宋" w:hAnsi="仿宋" w:eastAsia="仿宋" w:cs="仿宋"/>
          <w:highlight w:val="none"/>
        </w:rPr>
      </w:pPr>
    </w:p>
    <w:p w14:paraId="41A885E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6942F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BFE4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D55498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74EFD1D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1、对采购需求“四、设备主要技术参数要求”中</w:t>
      </w:r>
    </w:p>
    <w:p w14:paraId="1B40654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sz w:val="28"/>
          <w:highlight w:val="none"/>
          <w:lang w:val="en-US"/>
        </w:rPr>
      </w:pPr>
      <w:r>
        <w:rPr>
          <w:rFonts w:hint="eastAsia" w:ascii="仿宋" w:hAnsi="仿宋" w:eastAsia="仿宋" w:cs="仿宋"/>
          <w:b/>
          <w:bCs w:val="0"/>
          <w:sz w:val="32"/>
          <w:szCs w:val="32"/>
          <w:highlight w:val="none"/>
          <w:lang w:val="en-US" w:eastAsia="zh-CN"/>
        </w:rPr>
        <w:t>带“▲”号的重要技术（服务）条款</w:t>
      </w:r>
      <w:r>
        <w:rPr>
          <w:rFonts w:hint="eastAsia" w:ascii="仿宋" w:hAnsi="仿宋" w:eastAsia="仿宋" w:cs="仿宋"/>
          <w:b/>
          <w:sz w:val="32"/>
          <w:szCs w:val="28"/>
          <w:highlight w:val="none"/>
          <w:lang w:val="en-US" w:eastAsia="zh-CN"/>
        </w:rPr>
        <w:t>的响应情况</w:t>
      </w:r>
    </w:p>
    <w:p w14:paraId="65B659B4">
      <w:pPr>
        <w:pStyle w:val="5"/>
        <w:spacing w:line="364" w:lineRule="auto"/>
        <w:ind w:right="86" w:rightChars="0"/>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中山大学孙逸仙纪念医院北院区检验科、南院区逸仙楼四楼消毒供应中心空调系统升级改造服务项目（第二次）</w:t>
      </w:r>
    </w:p>
    <w:tbl>
      <w:tblPr>
        <w:tblStyle w:val="17"/>
        <w:tblW w:w="8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5951"/>
        <w:gridCol w:w="1819"/>
      </w:tblGrid>
      <w:tr w14:paraId="5849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EB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B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带“▲”号的重要技术（服务）条款</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E1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14:paraId="2AFF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D6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4F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▲电控电路中增加放电管以及压敏电阻设计，可在机组发生雷击时有效吸收瞬间较高的雷击电压，保护电路后端重要电器部件免受损失。</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D8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A4F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39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D8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▲为保证多联机设备使用效果及延长使用寿命，所投设备具有自动除尘高温除菌清洁功能。</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A0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EF0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F2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A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保障机组使用过程中电器部件节能高效，所投多联式室外机应采用高效直流变速电机，电机可实现无级变频调节，且电机效率应不低于88%。（响应文件中须提供具备CMA或CNAS认证的第三方检测机构出具的检测报告扫描件或复印件）</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19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256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8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88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▲为确保多联式空调机组在使用过程中系统设计具备高效性，要求所投标产品在设计时考虑采取有效降低系统低压侧压力损失的措施，以提升机组的能源利用效率。</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40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5F0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B58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8FE">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b w:val="0"/>
                <w:bCs w:val="0"/>
                <w:color w:val="auto"/>
                <w:kern w:val="2"/>
                <w:sz w:val="22"/>
                <w:szCs w:val="22"/>
              </w:rPr>
              <w:t>▲所投</w:t>
            </w:r>
            <w:r>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t>多联</w:t>
            </w:r>
            <w:r>
              <w:rPr>
                <w:rFonts w:hint="eastAsia" w:ascii="仿宋" w:hAnsi="仿宋" w:eastAsia="仿宋" w:cs="仿宋"/>
                <w:b w:val="0"/>
                <w:bCs/>
                <w:color w:val="000000"/>
                <w:sz w:val="22"/>
                <w:szCs w:val="22"/>
                <w:highlight w:val="none"/>
                <w:lang w:val="en-US" w:eastAsia="zh-CN"/>
              </w:rPr>
              <w:t>式空调</w:t>
            </w:r>
            <w:r>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t>机组</w:t>
            </w:r>
            <w:r>
              <w:rPr>
                <w:rFonts w:hint="eastAsia" w:ascii="仿宋" w:hAnsi="仿宋" w:eastAsia="仿宋" w:cs="仿宋"/>
                <w:b w:val="0"/>
                <w:bCs w:val="0"/>
                <w:color w:val="auto"/>
                <w:kern w:val="2"/>
                <w:sz w:val="22"/>
                <w:szCs w:val="22"/>
              </w:rPr>
              <w:t xml:space="preserve">具备恒温抑霜功能：在高湿度环境下，启用恒温抑霜模式时，机组周期制热量能够提升幅度达5%以上；在低湿度环境下，启用恒温抑霜模式时，除霜周期延长幅度能够达10%以上，可实现良好的制热效果。（响应文件中须提供具备CMA或CNAS认证的第三方检测机构出具的检测报告扫描件或复印件） </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688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2C8742AE">
      <w:pPr>
        <w:pStyle w:val="24"/>
        <w:ind w:left="0" w:leftChars="0" w:firstLine="0" w:firstLineChars="0"/>
        <w:jc w:val="left"/>
        <w:rPr>
          <w:rFonts w:hint="eastAsia" w:ascii="仿宋" w:hAnsi="仿宋" w:eastAsia="仿宋" w:cs="仿宋"/>
          <w:b/>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本项评审证明文件按照采购需求的要求提供证明文件，并加盖响应人公章；若没有要求，则提供技术参数确认函并加盖制造商公章、或制造商技术白皮书并加盖响应人公章、或制造商使用说明书并加盖响应人公章、或制造商市场公开的宣传彩页并加盖响应人公章、或制造商官网清晰截图并加盖响应人公章作为技术证明文件，但任何一类证明文件应该清晰明确反映相关响应的信息，否则评审委员会有权视相应技术参数响应不满足比选文件要求（如制造商的产品使用说明书等相关证明文件为外文版，请同时提供中文版）。</w:t>
      </w:r>
    </w:p>
    <w:p w14:paraId="1538DD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4F0F55F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7D3951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8259E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117167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A45EB5F">
      <w:pPr>
        <w:pStyle w:val="24"/>
        <w:jc w:val="center"/>
        <w:rPr>
          <w:rFonts w:hint="eastAsia" w:ascii="仿宋" w:hAnsi="仿宋" w:eastAsia="仿宋" w:cs="仿宋"/>
          <w:b/>
          <w:bCs w:val="0"/>
          <w:sz w:val="32"/>
          <w:szCs w:val="32"/>
          <w:highlight w:val="none"/>
          <w:lang w:val="en-US" w:eastAsia="zh-CN"/>
        </w:rPr>
      </w:pPr>
    </w:p>
    <w:p w14:paraId="4971C618">
      <w:pPr>
        <w:pStyle w:val="24"/>
        <w:jc w:val="center"/>
        <w:rPr>
          <w:rFonts w:hint="eastAsia" w:ascii="仿宋" w:hAnsi="仿宋" w:eastAsia="仿宋" w:cs="仿宋"/>
          <w:b/>
          <w:bCs w:val="0"/>
          <w:sz w:val="32"/>
          <w:szCs w:val="32"/>
          <w:highlight w:val="none"/>
          <w:lang w:val="en-US" w:eastAsia="zh-CN"/>
        </w:rPr>
      </w:pPr>
    </w:p>
    <w:p w14:paraId="7C369E32">
      <w:pPr>
        <w:pStyle w:val="24"/>
        <w:numPr>
          <w:ilvl w:val="0"/>
          <w:numId w:val="12"/>
        </w:numPr>
        <w:ind w:left="0" w:leftChars="0" w:firstLine="400" w:firstLine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对采购需求“四、设备主要技术参数要求”中</w:t>
      </w:r>
    </w:p>
    <w:p w14:paraId="1A2541CC">
      <w:pPr>
        <w:pStyle w:val="24"/>
        <w:numPr>
          <w:ilvl w:val="0"/>
          <w:numId w:val="0"/>
        </w:numPr>
        <w:ind w:left="400" w:left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不带“▲”号的一般技术（服务）条款的响应程度</w:t>
      </w:r>
    </w:p>
    <w:p w14:paraId="7406B5EE">
      <w:pPr>
        <w:pStyle w:val="5"/>
        <w:spacing w:line="364" w:lineRule="auto"/>
        <w:ind w:right="86" w:rightChars="0"/>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中山大学孙逸仙纪念医院北院区检验科、南院区逸仙楼四楼消毒供应中心空调系统升级改造服务项目（第二次）</w:t>
      </w:r>
    </w:p>
    <w:tbl>
      <w:tblPr>
        <w:tblStyle w:val="17"/>
        <w:tblW w:w="8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5685"/>
        <w:gridCol w:w="2085"/>
      </w:tblGrid>
      <w:tr w14:paraId="23D9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6D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C2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不带“▲”号的一般技术（服务）条款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A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14:paraId="3444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D7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707">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供应商所响应本项目的多联机产品的压缩机需采用喷气增焓压缩机，并且采用环保冷媒R410A。</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D7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0E1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FF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0BC8">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供应商提供的设备应适应采购人所在地的气象条件，且能够在采购人所在地的极端天气状况下，室外机应确保正常运行。</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B5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79E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ED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B5E0">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室外机需具备静音运转功能，夜间可启动静音运转，以降低室外机的运转噪音。</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5B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136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A6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4FB">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室外机电脑控制板采用SMT封固技术，保护电脑主板不受风沙及高湿天气影响。</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21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7FA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DF7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B3EB">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i w:val="0"/>
                <w:iCs w:val="0"/>
                <w:color w:val="auto"/>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停电再启动功能，遇到意外断电情况，系统记录运行前的运转模式，待电源恢复后，系统自动恢复至断电前状态。</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74C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B96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3D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2995">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 xml:space="preserve">多联式室外机应采用一体式四面热交换器，提高系统的换热效率。 </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46D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EBB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E1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0538">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机组控制器及通讯线应为安全特低电压供电，与强电间应有安全隔离变压器且符合加强绝缘要求。</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F2E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C07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7C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A60D">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多联式室内机应具有智能风量调节技术，当空调的进、出风口滤网或风道被堵塞时，机器可依据检测到的静压变化来自动调节电机转速，维持空调出风风量恒定，不影响制冷或制热效果。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E2B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E9F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061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041">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为保障多联式空调机组使用过程中电器部件节能高效，所投多联机室外机具备应机组应采用高效直流变速电机，电机可实现无级变频调节。</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88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C88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BD9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D3C0">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所投多联式室外机采用多组换热器设计方案，通过多电子膨胀阀控制，使得系统保持合适的压力，增加系统运行稳定性。</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AFE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6DC057B3">
      <w:pPr>
        <w:pStyle w:val="24"/>
        <w:ind w:left="0" w:leftChars="0" w:firstLine="0" w:firstLineChars="0"/>
        <w:jc w:val="left"/>
        <w:rPr>
          <w:rFonts w:hint="eastAsia" w:ascii="仿宋" w:hAnsi="仿宋" w:eastAsia="仿宋" w:cs="仿宋"/>
          <w:b/>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本项评审证明文件按照采购需求的要求提供证明文件，并加盖响应人公章；若没有要求，则提供承诺函并加盖响应人公章。</w:t>
      </w:r>
    </w:p>
    <w:p w14:paraId="0B8A05F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D157C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8A741F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0E2977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AABA55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4084DB03">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3、空调设备的质量、性能</w:t>
      </w:r>
      <w:r>
        <w:rPr>
          <w:rFonts w:hint="eastAsia" w:ascii="仿宋" w:hAnsi="仿宋" w:eastAsia="仿宋" w:cs="仿宋"/>
          <w:b/>
          <w:bCs w:val="0"/>
          <w:sz w:val="22"/>
          <w:szCs w:val="22"/>
          <w:highlight w:val="none"/>
          <w:lang w:val="en-US" w:eastAsia="zh-CN"/>
        </w:rPr>
        <w:t>（如有）</w:t>
      </w:r>
    </w:p>
    <w:p w14:paraId="68EDA6D1">
      <w:pPr>
        <w:pStyle w:val="24"/>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（1）所投多联机8HP、10HP、12HP、14HP、16HP、18HPAPF以上六款空调设备的APF平均值。</w:t>
      </w:r>
    </w:p>
    <w:p w14:paraId="510170E2">
      <w:pPr>
        <w:pStyle w:val="24"/>
        <w:jc w:val="left"/>
        <w:rPr>
          <w:rFonts w:hint="eastAsia" w:ascii="仿宋" w:hAnsi="仿宋" w:eastAsia="仿宋" w:cs="仿宋"/>
          <w:b w:val="0"/>
          <w:bCs/>
          <w:sz w:val="21"/>
          <w:szCs w:val="21"/>
          <w:highlight w:val="none"/>
          <w:lang w:val="en-US" w:eastAsia="zh-CN"/>
        </w:rPr>
      </w:pPr>
    </w:p>
    <w:p w14:paraId="57A7089B">
      <w:pPr>
        <w:pStyle w:val="24"/>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注：在响应文件中须提供具备CMA或CNAS认证的第三方检测机构出具的检测报告扫描件或中国能效标识网查询截图。</w:t>
      </w:r>
    </w:p>
    <w:p w14:paraId="4982C875">
      <w:pPr>
        <w:pStyle w:val="24"/>
        <w:jc w:val="center"/>
        <w:rPr>
          <w:rFonts w:hint="eastAsia" w:ascii="仿宋" w:hAnsi="仿宋" w:eastAsia="仿宋" w:cs="仿宋"/>
          <w:b/>
          <w:bCs w:val="0"/>
          <w:sz w:val="32"/>
          <w:szCs w:val="32"/>
          <w:highlight w:val="none"/>
          <w:lang w:val="en-US" w:eastAsia="zh-CN"/>
        </w:rPr>
      </w:pPr>
    </w:p>
    <w:p w14:paraId="11D53414">
      <w:pPr>
        <w:pStyle w:val="24"/>
        <w:numPr>
          <w:ilvl w:val="0"/>
          <w:numId w:val="13"/>
        </w:numPr>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所投变频多联空调机组具有通信实时可靠性一级、内机断电通信、断电控阀、通信线任意拓扑能力。</w:t>
      </w:r>
    </w:p>
    <w:p w14:paraId="46CED638">
      <w:pPr>
        <w:pStyle w:val="24"/>
        <w:numPr>
          <w:ilvl w:val="0"/>
          <w:numId w:val="0"/>
        </w:numPr>
        <w:jc w:val="left"/>
        <w:rPr>
          <w:rFonts w:hint="eastAsia" w:ascii="仿宋" w:hAnsi="仿宋" w:eastAsia="仿宋" w:cs="仿宋"/>
          <w:b w:val="0"/>
          <w:bCs/>
          <w:sz w:val="21"/>
          <w:szCs w:val="21"/>
          <w:highlight w:val="none"/>
          <w:lang w:val="en-US" w:eastAsia="zh-CN"/>
        </w:rPr>
      </w:pPr>
    </w:p>
    <w:p w14:paraId="1B6A580C">
      <w:pPr>
        <w:pStyle w:val="24"/>
        <w:numPr>
          <w:ilvl w:val="0"/>
          <w:numId w:val="0"/>
        </w:numPr>
        <w:ind w:firstLine="420" w:firstLineChars="200"/>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注：在响应文件中须提供具备CMA或CNAS认证的第三方检测机构出具的检测报告扫描件。</w:t>
      </w:r>
    </w:p>
    <w:p w14:paraId="3AF38F6D">
      <w:pPr>
        <w:pStyle w:val="24"/>
        <w:jc w:val="center"/>
        <w:rPr>
          <w:rFonts w:hint="eastAsia" w:ascii="仿宋" w:hAnsi="仿宋" w:eastAsia="仿宋" w:cs="仿宋"/>
          <w:b/>
          <w:bCs w:val="0"/>
          <w:sz w:val="32"/>
          <w:szCs w:val="32"/>
          <w:highlight w:val="none"/>
          <w:lang w:val="en-US" w:eastAsia="zh-CN"/>
        </w:rPr>
      </w:pPr>
    </w:p>
    <w:p w14:paraId="1D6FC42B">
      <w:pPr>
        <w:pStyle w:val="24"/>
        <w:jc w:val="center"/>
        <w:rPr>
          <w:rFonts w:hint="eastAsia" w:ascii="仿宋" w:hAnsi="仿宋" w:eastAsia="仿宋" w:cs="仿宋"/>
          <w:b/>
          <w:bCs w:val="0"/>
          <w:sz w:val="32"/>
          <w:szCs w:val="32"/>
          <w:highlight w:val="none"/>
          <w:lang w:val="en-US" w:eastAsia="zh-CN"/>
        </w:rPr>
      </w:pPr>
    </w:p>
    <w:p w14:paraId="089A1AD3">
      <w:pPr>
        <w:pStyle w:val="24"/>
        <w:jc w:val="center"/>
        <w:rPr>
          <w:rFonts w:hint="eastAsia" w:ascii="仿宋" w:hAnsi="仿宋" w:eastAsia="仿宋" w:cs="仿宋"/>
          <w:b/>
          <w:bCs w:val="0"/>
          <w:sz w:val="32"/>
          <w:szCs w:val="32"/>
          <w:highlight w:val="none"/>
          <w:lang w:val="en-US" w:eastAsia="zh-CN"/>
        </w:rPr>
      </w:pPr>
    </w:p>
    <w:p w14:paraId="56E42C0C">
      <w:pPr>
        <w:pStyle w:val="24"/>
        <w:jc w:val="center"/>
        <w:rPr>
          <w:rFonts w:hint="eastAsia" w:ascii="仿宋" w:hAnsi="仿宋" w:eastAsia="仿宋" w:cs="仿宋"/>
          <w:b/>
          <w:bCs w:val="0"/>
          <w:sz w:val="32"/>
          <w:szCs w:val="32"/>
          <w:highlight w:val="none"/>
          <w:lang w:val="en-US" w:eastAsia="zh-CN"/>
        </w:rPr>
      </w:pPr>
    </w:p>
    <w:p w14:paraId="77EFFB66">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4、项目实施计划</w:t>
      </w:r>
      <w:r>
        <w:rPr>
          <w:rFonts w:hint="eastAsia" w:ascii="仿宋" w:hAnsi="仿宋" w:eastAsia="仿宋" w:cs="仿宋"/>
          <w:b/>
          <w:bCs w:val="0"/>
          <w:sz w:val="22"/>
          <w:szCs w:val="22"/>
          <w:highlight w:val="none"/>
          <w:lang w:val="en-US" w:eastAsia="zh-CN"/>
        </w:rPr>
        <w:t>（如有）</w:t>
      </w:r>
    </w:p>
    <w:p w14:paraId="5E93094B">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1E5EF120">
      <w:pPr>
        <w:pStyle w:val="22"/>
        <w:rPr>
          <w:rFonts w:hint="eastAsia" w:ascii="仿宋" w:hAnsi="仿宋" w:eastAsia="仿宋" w:cs="仿宋"/>
          <w:sz w:val="21"/>
          <w:szCs w:val="21"/>
          <w:highlight w:val="none"/>
        </w:rPr>
      </w:pPr>
    </w:p>
    <w:p w14:paraId="081F29F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54593D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（1）项目管理及进度安排；</w:t>
      </w:r>
    </w:p>
    <w:p w14:paraId="2E0D304B">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（2）进度保证措施；</w:t>
      </w:r>
    </w:p>
    <w:p w14:paraId="0918BF18">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（3）质量保证措施；</w:t>
      </w:r>
    </w:p>
    <w:p w14:paraId="72BF6F1D">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（4）验收方案；</w:t>
      </w:r>
    </w:p>
    <w:p w14:paraId="3B8A1AFE">
      <w:pPr>
        <w:pStyle w:val="22"/>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（5）项目安全文明措施。</w:t>
      </w:r>
    </w:p>
    <w:p w14:paraId="03AF430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F5D150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E7ED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B4AF08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F55DC4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4C20832">
      <w:pPr>
        <w:pStyle w:val="22"/>
        <w:rPr>
          <w:rFonts w:hint="default" w:ascii="宋体" w:hAnsi="宋体" w:cs="宋体"/>
          <w:color w:val="auto"/>
          <w:sz w:val="24"/>
          <w:highlight w:val="none"/>
          <w:lang w:val="en-US" w:eastAsia="zh-CN"/>
        </w:rPr>
      </w:pPr>
    </w:p>
    <w:p w14:paraId="6278C0E3">
      <w:pPr>
        <w:pStyle w:val="22"/>
        <w:rPr>
          <w:rFonts w:hint="default" w:ascii="宋体" w:hAnsi="宋体" w:cs="宋体"/>
          <w:color w:val="auto"/>
          <w:sz w:val="24"/>
          <w:highlight w:val="none"/>
          <w:lang w:val="en-US" w:eastAsia="zh-CN"/>
        </w:rPr>
      </w:pPr>
    </w:p>
    <w:p w14:paraId="0D6C7932">
      <w:pPr>
        <w:pStyle w:val="22"/>
        <w:rPr>
          <w:rFonts w:hint="default" w:ascii="宋体" w:hAnsi="宋体" w:cs="宋体"/>
          <w:color w:val="auto"/>
          <w:sz w:val="24"/>
          <w:highlight w:val="none"/>
          <w:lang w:val="en-US" w:eastAsia="zh-CN"/>
        </w:rPr>
      </w:pPr>
    </w:p>
    <w:p w14:paraId="353EE2B4">
      <w:pPr>
        <w:pStyle w:val="22"/>
        <w:rPr>
          <w:rFonts w:hint="default" w:ascii="宋体" w:hAnsi="宋体" w:cs="宋体"/>
          <w:color w:val="auto"/>
          <w:sz w:val="24"/>
          <w:highlight w:val="none"/>
          <w:lang w:val="en-US" w:eastAsia="zh-CN"/>
        </w:rPr>
      </w:pPr>
    </w:p>
    <w:p w14:paraId="065FE35E">
      <w:pPr>
        <w:pStyle w:val="22"/>
        <w:rPr>
          <w:rFonts w:hint="default" w:ascii="宋体" w:hAnsi="宋体" w:cs="宋体"/>
          <w:color w:val="auto"/>
          <w:sz w:val="24"/>
          <w:highlight w:val="none"/>
          <w:lang w:val="en-US" w:eastAsia="zh-CN"/>
        </w:rPr>
      </w:pPr>
    </w:p>
    <w:p w14:paraId="2E118067">
      <w:pPr>
        <w:pStyle w:val="22"/>
        <w:rPr>
          <w:rFonts w:hint="default" w:ascii="宋体" w:hAnsi="宋体" w:cs="宋体"/>
          <w:color w:val="auto"/>
          <w:sz w:val="24"/>
          <w:highlight w:val="none"/>
          <w:lang w:val="en-US" w:eastAsia="zh-CN"/>
        </w:rPr>
      </w:pPr>
    </w:p>
    <w:p w14:paraId="0998BC09">
      <w:pPr>
        <w:pStyle w:val="24"/>
        <w:jc w:val="center"/>
        <w:rPr>
          <w:rFonts w:hint="eastAsia" w:ascii="仿宋" w:hAnsi="仿宋" w:eastAsia="仿宋" w:cs="仿宋"/>
          <w:b/>
          <w:bCs w:val="0"/>
          <w:sz w:val="32"/>
          <w:szCs w:val="32"/>
          <w:highlight w:val="none"/>
          <w:lang w:val="en-US" w:eastAsia="zh-CN"/>
        </w:rPr>
      </w:pPr>
    </w:p>
    <w:p w14:paraId="4212AF01">
      <w:pPr>
        <w:pStyle w:val="24"/>
        <w:jc w:val="center"/>
        <w:rPr>
          <w:rFonts w:hint="eastAsia" w:ascii="仿宋" w:hAnsi="仿宋" w:eastAsia="仿宋" w:cs="仿宋"/>
          <w:b/>
          <w:bCs w:val="0"/>
          <w:sz w:val="32"/>
          <w:szCs w:val="32"/>
          <w:highlight w:val="none"/>
          <w:lang w:val="en-US" w:eastAsia="zh-CN"/>
        </w:rPr>
      </w:pPr>
    </w:p>
    <w:p w14:paraId="5362C62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5、售后服务方案</w:t>
      </w:r>
      <w:r>
        <w:rPr>
          <w:rFonts w:hint="eastAsia" w:ascii="仿宋" w:hAnsi="仿宋" w:eastAsia="仿宋" w:cs="仿宋"/>
          <w:b/>
          <w:bCs w:val="0"/>
          <w:sz w:val="22"/>
          <w:szCs w:val="22"/>
          <w:highlight w:val="none"/>
          <w:lang w:val="en-US" w:eastAsia="zh-CN"/>
        </w:rPr>
        <w:t>（如有）</w:t>
      </w:r>
    </w:p>
    <w:p w14:paraId="2D451A29">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A2A1795">
      <w:pPr>
        <w:pStyle w:val="22"/>
        <w:rPr>
          <w:rFonts w:hint="eastAsia" w:ascii="仿宋" w:hAnsi="仿宋" w:eastAsia="仿宋" w:cs="仿宋"/>
          <w:sz w:val="21"/>
          <w:szCs w:val="21"/>
          <w:highlight w:val="none"/>
        </w:rPr>
      </w:pPr>
    </w:p>
    <w:p w14:paraId="0257B0F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4F8D34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（1）售后人员安排；</w:t>
      </w:r>
    </w:p>
    <w:p w14:paraId="246901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（2）服务响应时间；</w:t>
      </w:r>
    </w:p>
    <w:p w14:paraId="341336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（3）故障解决方案；</w:t>
      </w:r>
    </w:p>
    <w:p w14:paraId="242ADA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sz w:val="21"/>
          <w:szCs w:val="21"/>
          <w:highlight w:val="none"/>
        </w:rPr>
        <w:t>（4）备品备件储备情况。</w:t>
      </w:r>
    </w:p>
    <w:p w14:paraId="677E3E4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462E015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9E8F8E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A486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067A687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p>
    <w:p w14:paraId="7FA7C0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p w14:paraId="56051964">
      <w:pPr>
        <w:pStyle w:val="24"/>
        <w:jc w:val="center"/>
        <w:rPr>
          <w:rFonts w:hint="eastAsia" w:ascii="仿宋" w:hAnsi="仿宋" w:eastAsia="仿宋" w:cs="仿宋"/>
          <w:b/>
          <w:bCs w:val="0"/>
          <w:sz w:val="32"/>
          <w:szCs w:val="32"/>
          <w:highlight w:val="none"/>
          <w:lang w:val="en-US" w:eastAsia="zh-CN"/>
        </w:rPr>
      </w:pPr>
    </w:p>
    <w:p w14:paraId="3387D23E">
      <w:pPr>
        <w:pStyle w:val="24"/>
        <w:jc w:val="center"/>
        <w:rPr>
          <w:rFonts w:hint="eastAsia" w:ascii="仿宋" w:hAnsi="仿宋" w:eastAsia="仿宋" w:cs="仿宋"/>
          <w:b/>
          <w:bCs w:val="0"/>
          <w:sz w:val="32"/>
          <w:szCs w:val="32"/>
          <w:highlight w:val="none"/>
          <w:lang w:val="en-US" w:eastAsia="zh-CN"/>
        </w:rPr>
      </w:pPr>
    </w:p>
    <w:p w14:paraId="1073E145">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6、关于售后服务的承诺</w:t>
      </w:r>
      <w:r>
        <w:rPr>
          <w:rFonts w:hint="eastAsia" w:ascii="仿宋" w:hAnsi="仿宋" w:eastAsia="仿宋" w:cs="仿宋"/>
          <w:b/>
          <w:bCs w:val="0"/>
          <w:sz w:val="22"/>
          <w:szCs w:val="22"/>
          <w:highlight w:val="none"/>
          <w:lang w:val="en-US" w:eastAsia="zh-CN"/>
        </w:rPr>
        <w:t>（如有）</w:t>
      </w:r>
    </w:p>
    <w:p w14:paraId="0935C081">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（格式自拟，仅作参考）</w:t>
      </w:r>
    </w:p>
    <w:p w14:paraId="31B46C78">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highlight w:val="none"/>
          <w:lang w:val="en-US" w:eastAsia="zh-CN"/>
        </w:rPr>
      </w:pPr>
    </w:p>
    <w:p w14:paraId="6A30ACF3">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中山大学孙逸仙纪念医院：</w:t>
      </w:r>
    </w:p>
    <w:p w14:paraId="6628DE2C">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我司承诺为</w:t>
      </w:r>
      <w:r>
        <w:rPr>
          <w:rFonts w:hint="eastAsia" w:ascii="仿宋" w:hAnsi="仿宋" w:eastAsia="仿宋" w:cs="仿宋"/>
          <w:sz w:val="32"/>
          <w:szCs w:val="32"/>
          <w:highlight w:val="none"/>
          <w:u w:val="single"/>
          <w:lang w:val="en-US" w:eastAsia="zh-CN"/>
        </w:rPr>
        <w:t>中山大学孙逸仙纪念医院北院区检验科、南院区逸仙楼四楼消毒供应中心空调系统升级改造服务项目（第二次）</w:t>
      </w:r>
      <w:r>
        <w:rPr>
          <w:rFonts w:hint="eastAsia" w:ascii="仿宋" w:hAnsi="仿宋" w:eastAsia="仿宋" w:cs="仿宋"/>
          <w:sz w:val="32"/>
          <w:szCs w:val="32"/>
          <w:highlight w:val="none"/>
          <w:lang w:val="en-US" w:eastAsia="zh-CN"/>
        </w:rPr>
        <w:t>在满足比选文件要求的合同设备质保期2年的基础上，</w:t>
      </w:r>
      <w:r>
        <w:rPr>
          <w:rFonts w:hint="eastAsia" w:ascii="仿宋" w:hAnsi="仿宋" w:eastAsia="仿宋" w:cs="仿宋"/>
          <w:sz w:val="32"/>
          <w:szCs w:val="32"/>
          <w:highlight w:val="yellow"/>
          <w:lang w:val="en-US" w:eastAsia="zh-CN"/>
        </w:rPr>
        <w:t>是否</w:t>
      </w:r>
      <w:r>
        <w:rPr>
          <w:rFonts w:hint="eastAsia" w:ascii="仿宋" w:hAnsi="仿宋" w:eastAsia="仿宋" w:cs="仿宋"/>
          <w:sz w:val="32"/>
          <w:szCs w:val="32"/>
          <w:highlight w:val="none"/>
          <w:lang w:val="en-US" w:eastAsia="zh-CN"/>
        </w:rPr>
        <w:t>自愿增加质保期。</w:t>
      </w:r>
    </w:p>
    <w:p w14:paraId="1838FF01">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如愿意，额外增加质保期</w:t>
      </w:r>
      <w:r>
        <w:rPr>
          <w:rFonts w:hint="eastAsia" w:ascii="仿宋" w:hAnsi="仿宋" w:eastAsia="仿宋" w:cs="仿宋"/>
          <w:sz w:val="32"/>
          <w:szCs w:val="32"/>
          <w:highlight w:val="none"/>
          <w:u w:val="single"/>
          <w:lang w:val="en-US" w:eastAsia="zh-CN"/>
        </w:rPr>
        <w:t xml:space="preserve">     年</w:t>
      </w:r>
      <w:r>
        <w:rPr>
          <w:rFonts w:hint="eastAsia" w:ascii="仿宋" w:hAnsi="仿宋" w:eastAsia="仿宋" w:cs="仿宋"/>
          <w:sz w:val="32"/>
          <w:szCs w:val="32"/>
          <w:highlight w:val="none"/>
          <w:lang w:val="en-US" w:eastAsia="zh-CN"/>
        </w:rPr>
        <w:t>。</w:t>
      </w:r>
    </w:p>
    <w:p w14:paraId="75C80BF2">
      <w:pPr>
        <w:pStyle w:val="24"/>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如不愿意，此处可不作填写。</w:t>
      </w:r>
    </w:p>
    <w:p w14:paraId="35ACBC71">
      <w:pPr>
        <w:pStyle w:val="24"/>
        <w:rPr>
          <w:rFonts w:hint="eastAsia" w:ascii="仿宋" w:hAnsi="仿宋" w:eastAsia="仿宋" w:cs="仿宋"/>
          <w:sz w:val="32"/>
          <w:szCs w:val="32"/>
          <w:highlight w:val="none"/>
          <w:lang w:eastAsia="zh-CN"/>
        </w:rPr>
      </w:pPr>
    </w:p>
    <w:p w14:paraId="3026FDD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0E5E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396F9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88E7E87">
      <w:pPr>
        <w:pStyle w:val="24"/>
        <w:rPr>
          <w:rFonts w:hint="eastAsia" w:ascii="宋体" w:hAnsi="宋体" w:cs="宋体"/>
          <w:color w:val="auto"/>
          <w:szCs w:val="21"/>
          <w:highlight w:val="none"/>
          <w:lang w:val="en-GB"/>
        </w:rPr>
      </w:pPr>
    </w:p>
    <w:p w14:paraId="17F97FCE"/>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F2DCFF-1240-4BA9-B6C7-5D182AA1A0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EDDC5DA-FB42-476C-AC66-19F1B2338DD0}"/>
  </w:font>
  <w:font w:name="微软雅黑">
    <w:panose1 w:val="020B0503020204020204"/>
    <w:charset w:val="86"/>
    <w:family w:val="auto"/>
    <w:pitch w:val="default"/>
    <w:sig w:usb0="80000287" w:usb1="2ACF3C50" w:usb2="00000016" w:usb3="00000000" w:csb0="0004001F" w:csb1="00000000"/>
    <w:embedRegular r:id="rId3" w:fontKey="{04F579AA-B141-4918-86C7-B7330C7E2C2F}"/>
  </w:font>
  <w:font w:name="方正仿宋简体">
    <w:panose1 w:val="02000000000000000000"/>
    <w:charset w:val="86"/>
    <w:family w:val="auto"/>
    <w:pitch w:val="default"/>
    <w:sig w:usb0="A00002BF" w:usb1="184F6CFA" w:usb2="00000012" w:usb3="00000000" w:csb0="00040001" w:csb1="00000000"/>
    <w:embedRegular r:id="rId4" w:fontKey="{DCA2395E-C09E-4B12-A5A6-C22AD666D0B2}"/>
  </w:font>
  <w:font w:name="仿宋">
    <w:panose1 w:val="02010609060101010101"/>
    <w:charset w:val="86"/>
    <w:family w:val="auto"/>
    <w:pitch w:val="default"/>
    <w:sig w:usb0="800002BF" w:usb1="38CF7CFA" w:usb2="00000016" w:usb3="00000000" w:csb0="00040001" w:csb1="00000000"/>
    <w:embedRegular r:id="rId5" w:fontKey="{1BC7EEFE-E954-4C2F-815A-C3EE35E923A7}"/>
  </w:font>
  <w:font w:name="华文中宋">
    <w:panose1 w:val="02010600040101010101"/>
    <w:charset w:val="86"/>
    <w:family w:val="auto"/>
    <w:pitch w:val="default"/>
    <w:sig w:usb0="00000287" w:usb1="080F0000" w:usb2="00000000" w:usb3="00000000" w:csb0="0004009F" w:csb1="DFD70000"/>
    <w:embedRegular r:id="rId6" w:fontKey="{0CE65AC6-8861-4570-985B-C4189510DA7F}"/>
  </w:font>
  <w:font w:name="华文仿宋">
    <w:panose1 w:val="02010600040101010101"/>
    <w:charset w:val="86"/>
    <w:family w:val="auto"/>
    <w:pitch w:val="default"/>
    <w:sig w:usb0="00000287" w:usb1="080F0000" w:usb2="00000000" w:usb3="00000000" w:csb0="0004009F" w:csb1="DFD70000"/>
    <w:embedRegular r:id="rId7" w:fontKey="{02250D1D-F9B4-49CA-8A5A-A00788F18D30}"/>
  </w:font>
  <w:font w:name="Tahoma">
    <w:panose1 w:val="020B0604030504040204"/>
    <w:charset w:val="00"/>
    <w:family w:val="auto"/>
    <w:pitch w:val="default"/>
    <w:sig w:usb0="E1002EFF" w:usb1="C000605B" w:usb2="00000029" w:usb3="00000000" w:csb0="200101FF" w:csb1="20280000"/>
    <w:embedRegular r:id="rId8" w:fontKey="{2FB8D921-99D6-4651-B397-54AEC3FC60E0}"/>
  </w:font>
  <w:font w:name="Calibri Light">
    <w:panose1 w:val="020F0302020204030204"/>
    <w:charset w:val="00"/>
    <w:family w:val="swiss"/>
    <w:pitch w:val="default"/>
    <w:sig w:usb0="E4002EFF" w:usb1="C200247B" w:usb2="00000009" w:usb3="00000000" w:csb0="200001FF" w:csb1="00000000"/>
    <w:embedRegular r:id="rId9" w:fontKey="{BD5B055B-616C-42DE-9DAE-3D15E1559E03}"/>
  </w:font>
  <w:font w:name="WPSEMBED2">
    <w:panose1 w:val="02000000000000000000"/>
    <w:charset w:val="86"/>
    <w:family w:val="auto"/>
    <w:pitch w:val="default"/>
    <w:sig w:usb0="A00002BF" w:usb1="184F6CFA" w:usb2="00000012" w:usb3="00000000" w:csb0="00040001" w:csb1="00000000"/>
  </w:font>
  <w:font w:name="WPSEMBED3">
    <w:panose1 w:val="02010600040101010101"/>
    <w:charset w:val="86"/>
    <w:family w:val="auto"/>
    <w:pitch w:val="default"/>
    <w:sig w:usb0="00000287" w:usb1="080F0000" w:usb2="00000000" w:usb3="00000000" w:csb0="0004009F" w:csb1="DFD70000"/>
  </w:font>
  <w:font w:name="WPSEMBED4">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1"/>
      <w:rPr>
        <w:rFonts w:hint="eastAsia"/>
        <w:sz w:val="18"/>
        <w:szCs w:val="24"/>
      </w:rPr>
    </w:pPr>
  </w:p>
  <w:p w14:paraId="2274D667">
    <w:pPr>
      <w:pStyle w:val="11"/>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5C0976">
                          <w:pPr>
                            <w:pStyle w:val="11"/>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61 </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05C0976">
                    <w:pPr>
                      <w:pStyle w:val="11"/>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61 </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CC32">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2"/>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7298"/>
    <w:multiLevelType w:val="singleLevel"/>
    <w:tmpl w:val="86E27298"/>
    <w:lvl w:ilvl="0" w:tentative="0">
      <w:start w:val="1"/>
      <w:numFmt w:val="decimal"/>
      <w:suff w:val="nothing"/>
      <w:lvlText w:val="%1．"/>
      <w:lvlJc w:val="left"/>
      <w:pPr>
        <w:ind w:left="0" w:firstLine="400"/>
      </w:pPr>
      <w:rPr>
        <w:rFonts w:hint="default"/>
      </w:rPr>
    </w:lvl>
  </w:abstractNum>
  <w:abstractNum w:abstractNumId="1">
    <w:nsid w:val="9FBA50A0"/>
    <w:multiLevelType w:val="singleLevel"/>
    <w:tmpl w:val="9FBA50A0"/>
    <w:lvl w:ilvl="0" w:tentative="0">
      <w:start w:val="1"/>
      <w:numFmt w:val="decimal"/>
      <w:lvlText w:val="%1."/>
      <w:lvlJc w:val="left"/>
      <w:pPr>
        <w:ind w:left="425" w:hanging="425"/>
      </w:pPr>
      <w:rPr>
        <w:rFonts w:hint="default"/>
      </w:rPr>
    </w:lvl>
  </w:abstractNum>
  <w:abstractNum w:abstractNumId="2">
    <w:nsid w:val="ABDEA24E"/>
    <w:multiLevelType w:val="singleLevel"/>
    <w:tmpl w:val="ABDEA24E"/>
    <w:lvl w:ilvl="0" w:tentative="0">
      <w:start w:val="1"/>
      <w:numFmt w:val="decimal"/>
      <w:suff w:val="nothing"/>
      <w:lvlText w:val="%1．"/>
      <w:lvlJc w:val="left"/>
      <w:pPr>
        <w:ind w:left="0" w:firstLine="400"/>
      </w:pPr>
      <w:rPr>
        <w:rFonts w:hint="default"/>
      </w:rPr>
    </w:lvl>
  </w:abstractNum>
  <w:abstractNum w:abstractNumId="3">
    <w:nsid w:val="F64ADC0B"/>
    <w:multiLevelType w:val="singleLevel"/>
    <w:tmpl w:val="F64ADC0B"/>
    <w:lvl w:ilvl="0" w:tentative="0">
      <w:start w:val="2"/>
      <w:numFmt w:val="decimal"/>
      <w:suff w:val="nothing"/>
      <w:lvlText w:val="（%1）"/>
      <w:lvlJc w:val="left"/>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4"/>
      <w:numFmt w:val="decimal"/>
      <w:suff w:val="nothing"/>
      <w:lvlText w:val="（%1）"/>
      <w:lvlJc w:val="left"/>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295EB21B"/>
    <w:multiLevelType w:val="singleLevel"/>
    <w:tmpl w:val="295EB21B"/>
    <w:lvl w:ilvl="0" w:tentative="0">
      <w:start w:val="2"/>
      <w:numFmt w:val="decimal"/>
      <w:suff w:val="nothing"/>
      <w:lvlText w:val="%1、"/>
      <w:lvlJc w:val="left"/>
    </w:lvl>
  </w:abstractNum>
  <w:abstractNum w:abstractNumId="12">
    <w:nsid w:val="481AEBD5"/>
    <w:multiLevelType w:val="singleLevel"/>
    <w:tmpl w:val="481AEBD5"/>
    <w:lvl w:ilvl="0" w:tentative="0">
      <w:start w:val="1"/>
      <w:numFmt w:val="decimal"/>
      <w:suff w:val="nothing"/>
      <w:lvlText w:val="%1、"/>
      <w:lvlJc w:val="left"/>
    </w:lvl>
  </w:abstractNum>
  <w:num w:numId="1">
    <w:abstractNumId w:val="12"/>
  </w:num>
  <w:num w:numId="2">
    <w:abstractNumId w:val="10"/>
  </w:num>
  <w:num w:numId="3">
    <w:abstractNumId w:val="1"/>
  </w:num>
  <w:num w:numId="4">
    <w:abstractNumId w:val="4"/>
  </w:num>
  <w:num w:numId="5">
    <w:abstractNumId w:val="5"/>
  </w:num>
  <w:num w:numId="6">
    <w:abstractNumId w:val="8"/>
  </w:num>
  <w:num w:numId="7">
    <w:abstractNumId w:val="9"/>
  </w:num>
  <w:num w:numId="8">
    <w:abstractNumId w:val="6"/>
  </w:num>
  <w:num w:numId="9">
    <w:abstractNumId w:val="0"/>
  </w:num>
  <w:num w:numId="10">
    <w:abstractNumId w:val="2"/>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A6AA4"/>
    <w:rsid w:val="019110EC"/>
    <w:rsid w:val="06A04B76"/>
    <w:rsid w:val="0BEB6D98"/>
    <w:rsid w:val="10A20470"/>
    <w:rsid w:val="1F6E1960"/>
    <w:rsid w:val="20AC5498"/>
    <w:rsid w:val="222A213F"/>
    <w:rsid w:val="22D901C7"/>
    <w:rsid w:val="25B16498"/>
    <w:rsid w:val="29793223"/>
    <w:rsid w:val="31492EA1"/>
    <w:rsid w:val="32AA04CA"/>
    <w:rsid w:val="39CD260D"/>
    <w:rsid w:val="3FBA0BE1"/>
    <w:rsid w:val="404F553D"/>
    <w:rsid w:val="42CD0F08"/>
    <w:rsid w:val="4B2C48CA"/>
    <w:rsid w:val="4ED92673"/>
    <w:rsid w:val="4EEE1C44"/>
    <w:rsid w:val="4FF15D13"/>
    <w:rsid w:val="53265F8B"/>
    <w:rsid w:val="53806DAF"/>
    <w:rsid w:val="54372316"/>
    <w:rsid w:val="5695579E"/>
    <w:rsid w:val="593E5EF4"/>
    <w:rsid w:val="5B607437"/>
    <w:rsid w:val="5E7A6AA4"/>
    <w:rsid w:val="5ED846F5"/>
    <w:rsid w:val="5F493FC0"/>
    <w:rsid w:val="628A79F2"/>
    <w:rsid w:val="689E21AB"/>
    <w:rsid w:val="6A0C7B82"/>
    <w:rsid w:val="6A274783"/>
    <w:rsid w:val="6B7B6B34"/>
    <w:rsid w:val="6C7D0A58"/>
    <w:rsid w:val="71B31D58"/>
    <w:rsid w:val="72DF075C"/>
    <w:rsid w:val="735B6F5A"/>
    <w:rsid w:val="7EB36B2A"/>
    <w:rsid w:val="7F2132A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qFormat/>
    <w:uiPriority w:val="0"/>
    <w:rPr>
      <w:sz w:val="24"/>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5"/>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qFormat/>
    <w:uiPriority w:val="0"/>
    <w:pPr>
      <w:spacing w:before="25" w:after="25"/>
      <w:jc w:val="left"/>
    </w:pPr>
    <w:rPr>
      <w:bCs/>
      <w:spacing w:val="10"/>
      <w:kern w:val="0"/>
      <w:sz w:val="24"/>
      <w:szCs w:val="20"/>
    </w:rPr>
  </w:style>
  <w:style w:type="paragraph" w:customStyle="1" w:styleId="23">
    <w:name w:val="表格文字（两侧对齐）"/>
    <w:basedOn w:val="1"/>
    <w:qFormat/>
    <w:uiPriority w:val="0"/>
    <w:pPr>
      <w:snapToGrid w:val="0"/>
    </w:pPr>
    <w:rPr>
      <w:kern w:val="0"/>
      <w:sz w:val="20"/>
    </w:rPr>
  </w:style>
  <w:style w:type="paragraph" w:customStyle="1" w:styleId="24">
    <w:name w:val="_Style 3"/>
    <w:basedOn w:val="1"/>
    <w:qFormat/>
    <w:uiPriority w:val="0"/>
    <w:pPr>
      <w:ind w:firstLine="420" w:firstLineChars="200"/>
    </w:pPr>
    <w:rPr>
      <w:sz w:val="20"/>
    </w:rPr>
  </w:style>
  <w:style w:type="character" w:customStyle="1" w:styleId="25">
    <w:name w:val="font141"/>
    <w:basedOn w:val="19"/>
    <w:qFormat/>
    <w:uiPriority w:val="0"/>
    <w:rPr>
      <w:rFonts w:hint="default" w:ascii="Times New Roman" w:hAnsi="Times New Roman" w:cs="Times New Roman"/>
      <w:b/>
      <w:bCs/>
      <w:color w:val="000000"/>
      <w:sz w:val="18"/>
      <w:szCs w:val="18"/>
      <w:u w:val="none"/>
    </w:rPr>
  </w:style>
  <w:style w:type="character" w:customStyle="1" w:styleId="26">
    <w:name w:val="font151"/>
    <w:basedOn w:val="19"/>
    <w:qFormat/>
    <w:uiPriority w:val="0"/>
    <w:rPr>
      <w:rFonts w:hint="default" w:ascii="Times New Roman" w:hAnsi="Times New Roman" w:cs="Times New Roman"/>
      <w:color w:val="000000"/>
      <w:sz w:val="20"/>
      <w:szCs w:val="20"/>
      <w:u w:val="none"/>
    </w:rPr>
  </w:style>
  <w:style w:type="character" w:customStyle="1" w:styleId="27">
    <w:name w:val="font51"/>
    <w:basedOn w:val="19"/>
    <w:qFormat/>
    <w:uiPriority w:val="0"/>
    <w:rPr>
      <w:rFonts w:hint="eastAsia" w:ascii="宋体" w:hAnsi="宋体" w:eastAsia="宋体" w:cs="宋体"/>
      <w:color w:val="000000"/>
      <w:sz w:val="20"/>
      <w:szCs w:val="20"/>
      <w:u w:val="none"/>
    </w:rPr>
  </w:style>
  <w:style w:type="character" w:customStyle="1" w:styleId="28">
    <w:name w:val="font161"/>
    <w:basedOn w:val="19"/>
    <w:qFormat/>
    <w:uiPriority w:val="0"/>
    <w:rPr>
      <w:rFonts w:hint="eastAsia" w:ascii="宋体" w:hAnsi="宋体" w:eastAsia="宋体" w:cs="宋体"/>
      <w:color w:val="000000"/>
      <w:sz w:val="20"/>
      <w:szCs w:val="20"/>
      <w:u w:val="none"/>
    </w:rPr>
  </w:style>
  <w:style w:type="paragraph" w:customStyle="1" w:styleId="29">
    <w:name w:val="正文缩进1"/>
    <w:basedOn w:val="30"/>
    <w:next w:val="31"/>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3">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4353</Words>
  <Characters>5033</Characters>
  <Lines>0</Lines>
  <Paragraphs>0</Paragraphs>
  <TotalTime>3</TotalTime>
  <ScaleCrop>false</ScaleCrop>
  <LinksUpToDate>false</LinksUpToDate>
  <CharactersWithSpaces>5148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2025-09-23T01:47:00Z</dcterms:created>
  <dc:creator>梁凤娟</dc:creator>
  <cp:lastModifiedBy>华伦-杨立敏</cp:lastModifiedBy>
  <dcterms:modified xsi:type="dcterms:W3CDTF">2025-11-20T05:43:30Z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6AE7B5DD05B84AF1A53E3D56A1A20031_13</vt:lpwstr>
  </property>
  <property fmtid="{D5CDD505-2E9C-101B-9397-08002B2CF9AE}" pid="4" name="KSOTemplateDocerSaveRecord">
    <vt:lpwstr>eyJoZGlkIjoiZGNiZjhiYWJkMzQ2ODliZDg0M2NkY2U3ZDYyYTQ3YzEiLCJ1c2VySWQiOiIzMTQ2MzM3NzQifQ==</vt:lpwstr>
  </property>
</Properties>
</file>