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440001-2024-28290</w:t>
      </w:r>
    </w:p>
    <w:p>
      <w:pPr>
        <w:pStyle w:val="null3"/>
        <w:jc w:val="center"/>
        <w:outlineLvl w:val="3"/>
      </w:pPr>
      <w:r>
        <w:rPr>
          <w:sz w:val="24"/>
          <w:b/>
        </w:rPr>
        <w:t>采购项目编号：</w:t>
      </w:r>
      <w:r>
        <w:rPr>
          <w:sz w:val="24"/>
          <w:b/>
        </w:rPr>
        <w:t>0809-24411GDG302008601</w:t>
      </w:r>
    </w:p>
    <w:p>
      <w:pPr>
        <w:pStyle w:val="null3"/>
        <w:jc w:val="center"/>
        <w:outlineLvl w:val="3"/>
      </w:pPr>
      <w:r>
        <w:rPr>
          <w:sz w:val="24"/>
          <w:b/>
        </w:rPr>
        <w:t>项目名称：</w:t>
      </w:r>
      <w:r>
        <w:rPr>
          <w:sz w:val="24"/>
          <w:b/>
        </w:rPr>
        <w:t>广东省特检院信息化构建采购项目</w:t>
      </w:r>
    </w:p>
    <w:p>
      <w:pPr>
        <w:pStyle w:val="null3"/>
        <w:jc w:val="center"/>
        <w:outlineLvl w:val="3"/>
      </w:pPr>
      <w:r>
        <w:rPr>
          <w:sz w:val="24"/>
          <w:b/>
        </w:rPr>
        <w:t>采购人：</w:t>
      </w:r>
      <w:r>
        <w:rPr>
          <w:sz w:val="24"/>
          <w:b/>
        </w:rPr>
        <w:t>广东省特种设备检测研究院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广东省特种设备检测研究院</w:t>
      </w:r>
      <w:r>
        <w:rPr/>
        <w:t>的委托，采用</w:t>
      </w:r>
      <w:r>
        <w:rPr/>
        <w:t>公开招标</w:t>
      </w:r>
      <w:r>
        <w:rPr/>
        <w:t>方式组织采购</w:t>
      </w:r>
      <w:r>
        <w:rPr/>
        <w:t>广东省特检院信息化构建采购项目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广东省特检院信息化构建采购项目</w:t>
      </w:r>
    </w:p>
    <w:p>
      <w:pPr>
        <w:pStyle w:val="null3"/>
        <w:ind w:firstLine="480"/>
      </w:pPr>
      <w:r>
        <w:rPr/>
        <w:t>采购计划编号：</w:t>
      </w:r>
      <w:r>
        <w:rPr/>
        <w:t>440001-2024-28290</w:t>
      </w:r>
    </w:p>
    <w:p>
      <w:pPr>
        <w:pStyle w:val="null3"/>
        <w:ind w:firstLine="480"/>
      </w:pPr>
      <w:r>
        <w:rPr/>
        <w:t>采购项目编号：</w:t>
      </w:r>
      <w:r>
        <w:rPr/>
        <w:t>0809-24411GDG302008601</w:t>
      </w:r>
    </w:p>
    <w:p>
      <w:pPr>
        <w:pStyle w:val="null3"/>
        <w:ind w:firstLine="480"/>
      </w:pPr>
      <w:r>
        <w:rPr/>
        <w:t>采购方式：</w:t>
      </w:r>
      <w:r>
        <w:rPr/>
        <w:t>公开招标</w:t>
      </w:r>
    </w:p>
    <w:p>
      <w:pPr>
        <w:pStyle w:val="null3"/>
        <w:ind w:firstLine="480"/>
      </w:pPr>
      <w:r>
        <w:rPr/>
        <w:t>预算金额：</w:t>
      </w:r>
      <w:r>
        <w:rPr/>
        <w:t>2,180,000.00</w:t>
      </w:r>
      <w:r>
        <w:rPr/>
        <w:t>元</w:t>
      </w:r>
    </w:p>
    <w:p>
      <w:pPr>
        <w:pStyle w:val="null3"/>
        <w:outlineLvl w:val="3"/>
      </w:pPr>
      <w:r>
        <w:rPr>
          <w:sz w:val="24"/>
          <w:b/>
        </w:rPr>
        <w:t>2.项目内容及需求情况（采购项目技术规格、参数及要求）</w:t>
      </w:r>
    </w:p>
    <w:p>
      <w:pPr>
        <w:pStyle w:val="null3"/>
      </w:pPr>
      <w:r>
        <w:rPr/>
        <w:t>采购包1(特种设备行政许可鉴定评审管理系统建设项目):</w:t>
      </w:r>
    </w:p>
    <w:p>
      <w:pPr>
        <w:pStyle w:val="null3"/>
      </w:pPr>
      <w:r>
        <w:rPr/>
        <w:t>采购包预算金额：1,050,000.00元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行业应用软件开发服务</w:t>
            </w:r>
          </w:p>
        </w:tc>
        <w:tc>
          <w:tcPr>
            <w:tcW w:type="dxa" w:w="2136"/>
          </w:tcPr>
          <w:p>
            <w:pPr>
              <w:pStyle w:val="null3"/>
            </w:pPr>
            <w:r>
              <w:rPr/>
              <w:t>特种设备行政许可鉴定评审管理系统建设项目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合同履行期限：自合同签订之日起四个月内完成项目开发，项目终验合格后提供一年系统维保期。</w:t>
      </w:r>
    </w:p>
    <w:p>
      <w:pPr>
        <w:pStyle w:val="null3"/>
      </w:pPr>
      <w:r>
        <w:rPr/>
        <w:t>采购包2(特种设备大屏建设项目):</w:t>
      </w:r>
    </w:p>
    <w:p>
      <w:pPr>
        <w:pStyle w:val="null3"/>
      </w:pPr>
      <w:r>
        <w:rPr/>
        <w:t>采购包预算金额：500,000.00元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行业应用软件开发服务</w:t>
            </w:r>
          </w:p>
        </w:tc>
        <w:tc>
          <w:tcPr>
            <w:tcW w:type="dxa" w:w="2136"/>
          </w:tcPr>
          <w:p>
            <w:pPr>
              <w:pStyle w:val="null3"/>
            </w:pPr>
            <w:r>
              <w:rPr/>
              <w:t>特种设备大屏建设项目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合同履行期限：自合同签订之日起四个月内完成项目主要功能开发，项目终验合格后提供一年系统维保期。</w:t>
      </w:r>
    </w:p>
    <w:p>
      <w:pPr>
        <w:pStyle w:val="null3"/>
      </w:pPr>
      <w:r>
        <w:rPr/>
        <w:t>采购包3(广东省特种设备检测研究院网站建设项目):</w:t>
      </w:r>
    </w:p>
    <w:p>
      <w:pPr>
        <w:pStyle w:val="null3"/>
      </w:pPr>
      <w:r>
        <w:rPr/>
        <w:t>采购包预算金额：380,000.00元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行业应用软件开发服务</w:t>
            </w:r>
          </w:p>
        </w:tc>
        <w:tc>
          <w:tcPr>
            <w:tcW w:type="dxa" w:w="2136"/>
          </w:tcPr>
          <w:p>
            <w:pPr>
              <w:pStyle w:val="null3"/>
            </w:pPr>
            <w:r>
              <w:rPr/>
              <w:t>广东省特种设备检测研究院网站建设项目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合同履行期限：自合同签订之日起四个月内完成项目主要功能开发，项目终验合格后提供一年系统维保期。</w:t>
      </w:r>
    </w:p>
    <w:p>
      <w:pPr>
        <w:pStyle w:val="null3"/>
      </w:pPr>
      <w:r>
        <w:rPr/>
        <w:t>采购包4(安全阀校验信息化平台建设项目):</w:t>
      </w:r>
    </w:p>
    <w:p>
      <w:pPr>
        <w:pStyle w:val="null3"/>
      </w:pPr>
      <w:r>
        <w:rPr/>
        <w:t>采购包预算金额：250,000.00元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4-1</w:t>
            </w:r>
          </w:p>
        </w:tc>
        <w:tc>
          <w:tcPr>
            <w:tcW w:type="dxa" w:w="1424"/>
          </w:tcPr>
          <w:p>
            <w:pPr>
              <w:pStyle w:val="null3"/>
            </w:pPr>
            <w:r>
              <w:rPr/>
              <w:t>行业应用软件开发服务</w:t>
            </w:r>
          </w:p>
        </w:tc>
        <w:tc>
          <w:tcPr>
            <w:tcW w:type="dxa" w:w="2136"/>
          </w:tcPr>
          <w:p>
            <w:pPr>
              <w:pStyle w:val="null3"/>
            </w:pPr>
            <w:r>
              <w:rPr/>
              <w:t>安全阀校验信息化平台建设项目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合同履行期限：自合同签订之日起四个月内完成项目开发，项目终验合格后提供一年系统维保期。</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2）有依法缴纳税收和社会保障资金的良好记录：提供投标截止日前12个月内任意1个月依法缴纳税收和社会保障资金的相关材料。如依法免税或不需要缴纳社会保障资金的，提供相应证明材料；</w:t>
      </w:r>
    </w:p>
    <w:p>
      <w:pPr>
        <w:pStyle w:val="null3"/>
      </w:pPr>
      <w:r>
        <w:rPr/>
        <w:t>3）具有良好的商业信誉和健全的财务会计制度：提供2022年度或2023年度财务状况报告或基本开户行（或基本存款账户行）出具的资信证明，或最近一期财务报表（适用在上一年度或本财务年度成立的法人或其他组织），或人民银行出具的个人信用报告（适用于自然人）；</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采购包1（特种设备行政许可鉴定评审管理系统建设项目）：</w:t>
      </w:r>
      <w:r>
        <w:rPr/>
        <w:t>采购包整体预留专门面向中小企业,全部服务由中小微企业承接。监狱企业、残疾人福利单位视同小型、微型企业。注：中小微企业以供应商提供的《中小企业声明函（服务）》为判定标准，残疾人福利性单位以供应商提供的《残疾人福利性单位声明函》为判定标准，监狱企业须供应商提供由省级以上监狱管理局、戒毒管理局（含新疆生产建设兵团）出具的属于监狱企业的证明文件，否则不予认定。</w:t>
      </w:r>
    </w:p>
    <w:p>
      <w:pPr>
        <w:pStyle w:val="null3"/>
        <w:jc w:val="left"/>
      </w:pPr>
      <w:r>
        <w:rPr/>
        <w:t>采购包2（特种设备大屏建设项目）：</w:t>
      </w:r>
      <w:r>
        <w:rPr/>
        <w:t>本采购包不属于专门面向中小企业采购的采购包。</w:t>
      </w:r>
    </w:p>
    <w:p>
      <w:pPr>
        <w:pStyle w:val="null3"/>
        <w:jc w:val="left"/>
      </w:pPr>
      <w:r>
        <w:rPr/>
        <w:t>采购包3（广东省特种设备检测研究院网站建设项目）：</w:t>
      </w:r>
      <w:r>
        <w:rPr/>
        <w:t>本采购包不属于专门面向中小企业采购的采购包。</w:t>
      </w:r>
    </w:p>
    <w:p>
      <w:pPr>
        <w:pStyle w:val="null3"/>
        <w:jc w:val="left"/>
      </w:pPr>
      <w:r>
        <w:rPr/>
        <w:t>采购包4（安全阀校验信息化平台建设项目）：</w:t>
      </w:r>
      <w:r>
        <w:rPr/>
        <w:t>采购包整体预留专门面向中小企业,全部服务由中小微企业承接。监狱企业、残疾人福利单位视同小型、微型企业。注：中小微企业以供应商提供的《中小企业声明函（服务）》为判定标准，残疾人福利性单位以供应商提供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采购包1（特种设备行政许可鉴定评审管理系统建设项目）：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p>
      <w:pPr>
        <w:pStyle w:val="null3"/>
      </w:pPr>
      <w:r>
        <w:rPr/>
        <w:t>3)本采购包不接受联合体投标。</w:t>
      </w:r>
    </w:p>
    <w:p>
      <w:pPr>
        <w:pStyle w:val="null3"/>
      </w:pPr>
      <w:r>
        <w:rPr/>
        <w:t>采购包2（特种设备大屏建设项目）：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p>
      <w:pPr>
        <w:pStyle w:val="null3"/>
      </w:pPr>
      <w:r>
        <w:rPr/>
        <w:t>3)本采购包不接受联合体投标。</w:t>
      </w:r>
    </w:p>
    <w:p>
      <w:pPr>
        <w:pStyle w:val="null3"/>
      </w:pPr>
      <w:r>
        <w:rPr/>
        <w:t>采购包3（广东省特种设备检测研究院网站建设项目）：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p>
      <w:pPr>
        <w:pStyle w:val="null3"/>
      </w:pPr>
      <w:r>
        <w:rPr/>
        <w:t>3)本采购包不接受联合体投标。</w:t>
      </w:r>
    </w:p>
    <w:p>
      <w:pPr>
        <w:pStyle w:val="null3"/>
      </w:pPr>
      <w:r>
        <w:rPr/>
        <w:t>采购包4（安全阀校验信息化平台建设项目）：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广东华伦招标有限公司官网（https://www.gdhualun.com.cn/）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广东省特种设备检测研究院</w:t>
      </w:r>
    </w:p>
    <w:p>
      <w:pPr>
        <w:pStyle w:val="null3"/>
        <w:ind w:firstLine="480"/>
      </w:pPr>
      <w:r>
        <w:rPr/>
        <w:t xml:space="preserve"> 地址：</w:t>
      </w:r>
      <w:r>
        <w:rPr/>
        <w:t>佛山市南海区桂城街道平洲三山岛环岛南路111号</w:t>
      </w:r>
    </w:p>
    <w:p>
      <w:pPr>
        <w:pStyle w:val="null3"/>
        <w:ind w:firstLine="480"/>
      </w:pPr>
      <w:r>
        <w:rPr/>
        <w:t xml:space="preserve"> 联系方式：</w:t>
      </w:r>
      <w:r>
        <w:rPr/>
        <w:t>0757-66867454</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广东省广州市越秀区北京街道</w:t>
      </w:r>
    </w:p>
    <w:p>
      <w:pPr>
        <w:pStyle w:val="null3"/>
        <w:ind w:firstLine="480"/>
      </w:pPr>
      <w:r>
        <w:rPr/>
        <w:t xml:space="preserve"> 联系方式：</w:t>
      </w:r>
      <w:r>
        <w:rPr/>
        <w:t>020-83172166</w:t>
      </w:r>
    </w:p>
    <w:p>
      <w:pPr>
        <w:pStyle w:val="null3"/>
        <w:outlineLvl w:val="3"/>
      </w:pPr>
      <w:r>
        <w:rPr>
          <w:sz w:val="24"/>
          <w:b/>
        </w:rPr>
        <w:t xml:space="preserve"> 3.项目联系方式</w:t>
      </w:r>
    </w:p>
    <w:p>
      <w:pPr>
        <w:pStyle w:val="null3"/>
        <w:ind w:firstLine="480"/>
      </w:pPr>
      <w:r>
        <w:rPr/>
        <w:t xml:space="preserve"> 项目联系人：</w:t>
      </w:r>
      <w:r>
        <w:rPr/>
        <w:t>广东华伦</w:t>
      </w:r>
    </w:p>
    <w:p>
      <w:pPr>
        <w:pStyle w:val="null3"/>
        <w:ind w:firstLine="480"/>
      </w:pPr>
      <w:r>
        <w:rPr/>
        <w:t xml:space="preserve"> 电话：</w:t>
      </w:r>
      <w:r>
        <w:rPr/>
        <w:t>020-83172166</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1.本项目属于服务类采购项目。</w:t>
      </w:r>
    </w:p>
    <w:p>
      <w:pPr>
        <w:pStyle w:val="null3"/>
        <w:ind w:firstLine="440"/>
        <w:jc w:val="both"/>
      </w:pPr>
      <w:r>
        <w:rPr>
          <w:sz w:val="21"/>
        </w:rPr>
        <w:t>2.投标人须对本项目对应采购包的采购标的进行整体投标，任何只对本项目对应采购包的采购标的其中一部分内容、数量进行的投标都被视为无效投标。</w:t>
      </w:r>
    </w:p>
    <w:p>
      <w:pPr>
        <w:pStyle w:val="null3"/>
        <w:ind w:firstLine="440"/>
        <w:jc w:val="both"/>
      </w:pPr>
      <w:r>
        <w:rPr>
          <w:sz w:val="21"/>
        </w:rPr>
        <w:t>3.采购需求中标注“★”符号（如有）的条款为实质性条款，必须逐条进行响应，有任何一条负偏离的，将导致无效投标。</w:t>
      </w:r>
    </w:p>
    <w:p>
      <w:pPr>
        <w:pStyle w:val="null3"/>
        <w:ind w:firstLine="440"/>
        <w:jc w:val="both"/>
      </w:pPr>
      <w:r>
        <w:rPr>
          <w:sz w:val="21"/>
        </w:rPr>
        <w:t>4.采购需求中标注“▲”符号（如有）的条款为重要技术参数，但不作为无效投标条款。</w:t>
      </w:r>
    </w:p>
    <w:p>
      <w:pPr>
        <w:pStyle w:val="null3"/>
        <w:ind w:firstLine="440"/>
        <w:jc w:val="both"/>
      </w:pPr>
      <w:r>
        <w:rPr>
          <w:sz w:val="21"/>
        </w:rPr>
        <w:t>5.投标人没有在投标文件中注明偏离（文字说明或在响应表注明）的要求、条款视为被投标人完全接受。</w:t>
      </w:r>
    </w:p>
    <w:p>
      <w:pPr>
        <w:pStyle w:val="null3"/>
        <w:ind w:firstLine="440"/>
        <w:jc w:val="both"/>
      </w:pPr>
      <w:r>
        <w:rPr>
          <w:sz w:val="21"/>
        </w:rPr>
        <w:t>6.本项目（采购包2及采购包3）不专门面向中小企业采购的原因：预留采购份额无法确保充分供应、充分竞争，或者存在可能影响政府采购目标实现的情形。</w:t>
      </w:r>
    </w:p>
    <w:p>
      <w:pPr>
        <w:pStyle w:val="null3"/>
        <w:ind w:firstLine="440"/>
        <w:jc w:val="both"/>
      </w:pPr>
      <w:r>
        <w:rPr>
          <w:sz w:val="21"/>
        </w:rPr>
        <w:t>7.根据《关于印发中小企业划型标准规定的通知》（工信部联企业〔2011〕300号）规定，本项目采购标的对应的中小企业划分标准所属行业为：</w:t>
      </w:r>
      <w:r>
        <w:rPr>
          <w:sz w:val="21"/>
          <w:b/>
          <w:u w:val="single"/>
        </w:rPr>
        <w:t xml:space="preserve"> </w:t>
      </w:r>
      <w:r>
        <w:rPr>
          <w:sz w:val="21"/>
          <w:b/>
          <w:u w:val="single"/>
        </w:rPr>
        <w:t>软件和信息技术服务业</w:t>
      </w:r>
    </w:p>
    <w:p>
      <w:pPr>
        <w:pStyle w:val="null3"/>
        <w:ind w:firstLine="440"/>
        <w:jc w:val="both"/>
      </w:pPr>
      <w:r>
        <w:rPr>
          <w:sz w:val="21"/>
        </w:rPr>
        <w:t>8.需要落实的政府采购政策：《政府采购促进中小企业发展管理办法》的通知（财库[2020]46号）、《关于政府采购支持监狱企业发展有关问题的通知》（财库〔2014〕68号）、《关于促进残疾人就业政府采购政策的通知》（财库〔2017〕141号）等。</w:t>
      </w:r>
    </w:p>
    <w:p>
      <w:pPr>
        <w:pStyle w:val="null3"/>
        <w:ind w:firstLine="384"/>
        <w:jc w:val="left"/>
      </w:pPr>
      <w:r>
        <w:rPr>
          <w:sz w:val="21"/>
          <w:b/>
        </w:rPr>
        <w:t>9.提供有关证明材料的提醒（非本项目采购需求内容）：</w:t>
      </w:r>
    </w:p>
    <w:p>
      <w:pPr>
        <w:pStyle w:val="null3"/>
        <w:ind w:firstLine="384"/>
        <w:jc w:val="left"/>
      </w:pPr>
      <w:r>
        <w:rPr>
          <w:sz w:val="21"/>
        </w:rPr>
        <w:t>1.投标人在提交具有良好的商业信誉和健全的财务会计制度的证明材料时，如提供的是投标人单位年度财务状况报告的，</w:t>
      </w:r>
      <w:r>
        <w:rPr>
          <w:sz w:val="21"/>
          <w:b/>
        </w:rPr>
        <w:t>请在投标文件中提供整份报告的完整资料</w:t>
      </w:r>
      <w:r>
        <w:rPr>
          <w:sz w:val="21"/>
        </w:rPr>
        <w:t>。</w:t>
      </w:r>
    </w:p>
    <w:p>
      <w:pPr>
        <w:pStyle w:val="null3"/>
        <w:ind w:firstLine="384"/>
        <w:jc w:val="left"/>
      </w:pPr>
      <w:r>
        <w:rPr>
          <w:sz w:val="21"/>
          <w:b/>
        </w:rPr>
        <w:t>2.填写《中小企业声明函》时，请注意：</w:t>
      </w:r>
    </w:p>
    <w:p>
      <w:pPr>
        <w:pStyle w:val="null3"/>
        <w:ind w:firstLine="384"/>
        <w:jc w:val="left"/>
      </w:pPr>
      <w:r>
        <w:rPr>
          <w:sz w:val="21"/>
        </w:rPr>
        <w:t>（</w:t>
      </w:r>
      <w:r>
        <w:rPr>
          <w:sz w:val="21"/>
        </w:rPr>
        <w:t>1）“</w:t>
      </w:r>
      <w:r>
        <w:rPr>
          <w:sz w:val="21"/>
          <w:b/>
        </w:rPr>
        <w:t>单位名称</w:t>
      </w:r>
      <w:r>
        <w:rPr>
          <w:sz w:val="21"/>
        </w:rPr>
        <w:t>”：指本项目采购人单位名称全称；</w:t>
      </w:r>
    </w:p>
    <w:p>
      <w:pPr>
        <w:pStyle w:val="null3"/>
        <w:ind w:firstLine="384"/>
        <w:jc w:val="left"/>
      </w:pPr>
      <w:r>
        <w:rPr>
          <w:sz w:val="21"/>
        </w:rPr>
        <w:t>（</w:t>
      </w:r>
      <w:r>
        <w:rPr>
          <w:sz w:val="21"/>
        </w:rPr>
        <w:t>2）“</w:t>
      </w:r>
      <w:r>
        <w:rPr>
          <w:sz w:val="21"/>
          <w:b/>
        </w:rPr>
        <w:t>项目名称</w:t>
      </w:r>
      <w:r>
        <w:rPr>
          <w:sz w:val="21"/>
        </w:rPr>
        <w:t>”：指本项目的项目名称；</w:t>
      </w:r>
    </w:p>
    <w:p>
      <w:pPr>
        <w:pStyle w:val="null3"/>
        <w:ind w:firstLine="384"/>
        <w:jc w:val="left"/>
      </w:pPr>
      <w:r>
        <w:rPr>
          <w:sz w:val="21"/>
        </w:rPr>
        <w:t>（</w:t>
      </w:r>
      <w:r>
        <w:rPr>
          <w:sz w:val="21"/>
        </w:rPr>
        <w:t>3）“</w:t>
      </w:r>
      <w:r>
        <w:rPr>
          <w:sz w:val="21"/>
          <w:b/>
        </w:rPr>
        <w:t>标的名称</w:t>
      </w:r>
      <w:r>
        <w:rPr>
          <w:sz w:val="21"/>
        </w:rPr>
        <w:t>”：指本项目对应采购包的“采购标的”；（详见本项目采购文件“第二部分 采购需求”对应采购包中“2.技术标准与要求”下“标的名称”）</w:t>
      </w:r>
    </w:p>
    <w:p>
      <w:pPr>
        <w:pStyle w:val="null3"/>
        <w:ind w:firstLine="384"/>
        <w:jc w:val="left"/>
      </w:pPr>
      <w:r>
        <w:rPr>
          <w:sz w:val="21"/>
        </w:rPr>
        <w:t>（</w:t>
      </w:r>
      <w:r>
        <w:rPr>
          <w:sz w:val="21"/>
        </w:rPr>
        <w:t>4）“</w:t>
      </w:r>
      <w:r>
        <w:rPr>
          <w:sz w:val="21"/>
          <w:b/>
        </w:rPr>
        <w:t>企业名称</w:t>
      </w:r>
      <w:r>
        <w:rPr>
          <w:sz w:val="21"/>
        </w:rPr>
        <w:t>”：指承接本项目的单位（服务类项目，指投标人；货物类项目，指所投产品制造商）</w:t>
      </w:r>
    </w:p>
    <w:p>
      <w:pPr>
        <w:pStyle w:val="null3"/>
        <w:ind w:firstLine="384"/>
        <w:jc w:val="left"/>
      </w:pPr>
      <w:r>
        <w:rPr/>
        <w:t xml:space="preserve"> </w:t>
      </w:r>
    </w:p>
    <w:p>
      <w:pPr>
        <w:pStyle w:val="null3"/>
        <w:ind w:firstLine="384"/>
        <w:jc w:val="left"/>
      </w:pPr>
      <w:r>
        <w:rPr/>
        <w:t xml:space="preserve"> </w:t>
      </w:r>
    </w:p>
    <w:p>
      <w:pPr>
        <w:pStyle w:val="null3"/>
        <w:ind w:firstLine="384"/>
        <w:jc w:val="left"/>
      </w:pPr>
      <w:r>
        <w:rPr/>
        <w:t xml:space="preserve"> </w:t>
      </w:r>
    </w:p>
    <w:p>
      <w:pPr>
        <w:pStyle w:val="null3"/>
        <w:ind w:firstLine="384"/>
        <w:jc w:val="left"/>
      </w:pPr>
      <w:r>
        <w:rPr/>
        <w:t xml:space="preserve"> </w:t>
      </w:r>
    </w:p>
    <w:p>
      <w:pPr>
        <w:pStyle w:val="null3"/>
        <w:ind w:firstLine="420"/>
        <w:jc w:val="both"/>
      </w:pPr>
      <w:r>
        <w:rPr/>
        <w:t>采购包1（特种设备行政许可鉴定评审管理系统建设项目）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自合同签订之日起四个月内完成项目开发，项目终验合格后提供一年系统维保期。</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本项目合同签署生效后10日内，中标人向采购人支付合同总价5%的履约保证金，采购人在收到中标人开具的合同总价30%的增值税专用发票后，10个工作日内向中标人支付合同总价的30%作为本项目预付款；</w:t>
            </w:r>
          </w:p>
          <w:p>
            <w:pPr>
              <w:pStyle w:val="null3"/>
            </w:pPr>
            <w:r>
              <w:rPr/>
              <w:t>2期：支付比例40%,项目建设完成后上线试运行一个月，采购人在收到中标人开具的合同总价40%的增值税专用发票后，10个工作日内向中标人支付合同总价的40%。</w:t>
            </w:r>
          </w:p>
          <w:p>
            <w:pPr>
              <w:pStyle w:val="null3"/>
            </w:pPr>
            <w:r>
              <w:rPr/>
              <w:t>3期：支付比例30%,项目通过采购人组织的验收合格，采购人在收到中标人开具的合同总价30%的增值税专用发票后，10个工作日内向中标人支付合同总价的30%。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1期：1.交付验收标准依次序对照适用标准为： （1）符合中华人民共和国国家安全质量标准、环保标准或行业标准； （2）符合采购文件和响应承诺中采购人认可的合理最佳配置、参数及各项要求； 2.采购人组成验收小组按国家有关规定、规范，对照合同约定进行验收，必要时邀请相关的专业人员或机构参与验收。 3.验收时如发现所提供的服务不符合用户要求规定之情形者，采购人应作出详尽的现场记录，或由采购人、中标人双方签署备忘录。 4.验收材料包括以下内容： （1）按照合同本身及其技术协议等附件约定的所有文件和文档。 （2）根据招标文件所编写的投标文件中所标明的软件模块，及相关的技术维护文档、培训教材、使用说明书及双方协商认为必要的材料。 5.采购人组织验收，对中标人提供的项目成果和验收资料进行核实，并做好验收记录，验收记录与验收材料共同组成验收报告作为本项目支付的条件。 6.项目终验，本项目成果符合验收标准，且系统在试运行期间稳定运行，试运行结束后，中标人应以书面形式向采购人提出项目终验申请,采购人应在收到该申请的7日内组织终验。 7.如果验收不合格的，采购人有权作更换或退回处理，并由中标人承担全部费用。</w:t>
            </w:r>
          </w:p>
        </w:tc>
      </w:tr>
      <w:tr>
        <w:tc>
          <w:tcPr>
            <w:tcW w:type="dxa" w:w="4153"/>
          </w:tcPr>
          <w:p>
            <w:pPr>
              <w:pStyle w:val="null3"/>
            </w:pPr>
            <w:r>
              <w:rPr/>
              <w:t>履约保证金</w:t>
            </w:r>
          </w:p>
        </w:tc>
        <w:tc>
          <w:tcPr>
            <w:tcW w:type="dxa" w:w="4153"/>
          </w:tcPr>
          <w:p>
            <w:pPr>
              <w:pStyle w:val="null3"/>
            </w:pPr>
            <w:r>
              <w:rPr/>
              <w:t>收取比例：5%,说明：说明： (一)提交说明 1.时间：合同签订之日起10日内； 2.金额：合同总金额的5%； 3.方式：支票、汇票、本票、转账、银行履约保函； (二)退还说明： 1.时间、方式和条件：本合同履行期间中标人无违约行为，运维服务完成并通过最终验收后，采购人在收到中标人提出申请退还履约保证金后15日内退回中标人的履约保证金（履约保证金不计利息）或履约保函失效。 2.采购人逾期退还履约保证金的，除应当退还履约保证金本金外，还应当每日按合同总价的万分之一向中标人偿付违约金，但因中标人自身原因导致无法及时退还的除外。 3.中标人违反合同及其附件约定的任何义务，采购人有权在履约保证金中直接扣除中标人应向采购人支付的违约金或损失赔偿额，如有不足的，中标人应对超过的部分予以赔偿，并自发生扣除次日开始，10个日历日内补齐履约保证金的金额至约定的总额。 （三）不予退还的情形： 1.中标人将本项目进行分包或转包给他人； 2.在履行合同期间，中标人提前终止本项目合同； 3.在履行合同期间，中标人因在经营活动中存在违法被吊销营业执照或相关许可，导致本项目合同无法继续履行的。</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报价要求，投标人的投标报价包含本项目采购文件《采购需求》要求的全部内容、技术协议的全部内容，包含但不限于投标人成本费、雇员费（包括但不限于人员工资、褔利等）、交通费、场地费、税金（全额含税发票）以及项目实施过程中其它应预见和不可预见费用等完成本采购项目的一切费用。投标报价超出本采购包预算金额（最高限价）的，将导致其投标无效。</w:t>
            </w:r>
          </w:p>
          <w:p>
            <w:pPr>
              <w:pStyle w:val="null3"/>
            </w:pPr>
            <w:r>
              <w:rPr/>
              <w:t>（二）合同履行期限及履行地点，1.合同履行期限：自合同签订之日起四个月内完成项目开发，项目终验合格后提供一年系统维保期。 2.履行地点：采购人指定地点。</w:t>
            </w:r>
          </w:p>
          <w:p>
            <w:pPr>
              <w:pStyle w:val="null3"/>
            </w:pPr>
            <w:r>
              <w:rPr/>
              <w:t>（三）维保期及售后服务，1.系统维保期：系统的维保期为项目通过验收之日起1年。维保期内，投标人需保障系统运行的稳定性，所提供的软件在使用中出现的问题，能够提供热线支持、邮件支持以及远程协助等方式的技术支持。 2.在维护服务期间提出的服务需求，须配备专门的系统运维团队，保障服务期内系统安全、稳定地运行。应在5*8小时工作时间内设置由专人值守的热线电话，接听内部的服务请求，并记录事件处理结果。应及时通过电话、远程协助、现场协助等方式提供7*24小时技术响应服务。如远程无法解决，安排工程师到现场做支持。投标人需提供售后服务方案（包括但不限于售后服务要求、售后服务保障体系、售后服务响应及承诺等）。 3.在维保期内，提供软件产品改正性维护，即在软件使用过程中识别和纠正软件错误，改正软件性能缺陷。 4.培训要求：中标人给采购人培训技术人员，直到采购人受训人员熟练掌握原理、操作、日常维护操作技术，培训的相关费用由中标人负责。投标人需提供培训方案（包括但不限于总体培训计划和目标、培训人员配置、培训时间和培训次数、培训内容和培训质量控制等）。</w:t>
            </w:r>
          </w:p>
          <w:p>
            <w:pPr>
              <w:pStyle w:val="null3"/>
            </w:pPr>
            <w:r>
              <w:rPr/>
              <w:t>（四）人员要求，投标人须为本项目组建稳定的服务团队，服务团队成员需具有相关专业的资质证书或工作经验。</w:t>
            </w:r>
          </w:p>
          <w:p>
            <w:pPr>
              <w:pStyle w:val="null3"/>
            </w:pPr>
            <w:r>
              <w:rPr/>
              <w:t>（五）服务要求，1.根据本项目建设目标和项目建设功能模块要求构建一个高效、透明、规范的特种设备行政许可鉴定评审管理系统，以提升评审工作的效率和质量； 2.投标人需提供系统功能设计方案（包含但不限于设计方案与采购需求符合情况、页面设计情况、科学性、合理性以及使用方便性）及技术设计方案（包括但不限于对系统设计思路、体系架构、技术路线、关键技术等内容）； 3.投标人应有自主研发能力，具有相关软件产品的知识产权； 4.本项目需要与档案系统对接，同步历史的鉴定评审信息,并将系统产生的评审记录、报告等资料和流转日志、业务等信息推送到档案系统；与电子签章系统对接，进行评审报告等文书的电子签章；与省特检院的智慧特检云平台对接，需按云平台的相关规范实现人员、组织架构的同步、单点登录和统一待办等功能，投标人需提供数据对接方案。</w:t>
            </w:r>
          </w:p>
          <w:p>
            <w:pPr>
              <w:pStyle w:val="null3"/>
            </w:pPr>
            <w:r>
              <w:rPr/>
              <w:t>（六）服务标准，符合《行政事业单位内部控制规范（试行）》（财会〔2012〕21号）单位经济活动的内部控制要求和《政府会计制度》改革的要求。</w:t>
            </w:r>
          </w:p>
          <w:p>
            <w:pPr>
              <w:pStyle w:val="null3"/>
            </w:pPr>
            <w:r>
              <w:rPr/>
              <w:t>（七），本项目合同模板及相关条款，以本项目采购文件“第五章 合同文本”为准。</w:t>
            </w:r>
          </w:p>
          <w:p>
            <w:pPr>
              <w:pStyle w:val="null3"/>
            </w:pPr>
            <w:r>
              <w:rPr/>
              <w:t>（八）演示要求，1.演示人数：一般不超过 2 人（含授权委托代表） 2.演示时间：不得超过20分钟。 3.演示设备：投影仪投标现场已具备，投标人不需另行准备，电脑等设备投标人自带，同时须考虑设备与投标现场设备的兼容性。 4.演示方式：实际系统或原型演示。 5.演示顺序：按投标人在广东省政府采购网的签到顺序。 6.演示内容 1）基础平台功能演示 ①对表单模板进行可视化设计，支持Word格式文件模板快速导入成表单基础模板 ②支持在模板上制作表格、文本、日期元件、下拉元件、复选元件、图片元件 ③支持流式布局，元件至上而下动态布局； ④支持模板表格行通过动态行控件动态生成； ⑤支持模板预览功能； ⑥支持表格元件的单元格内容高度自适应。 2）业务功能演示 ①演示记录（报告）录入、审核、审批功能。 ②演示记录（报告）数据从业务系统动态读取功能。 ③演示一份记录中字段数据通过页面内其他字段抽取、处理后自动生成</w:t>
            </w:r>
          </w:p>
          <w:p>
            <w:pPr>
              <w:pStyle w:val="null3"/>
            </w:pPr>
            <w:r>
              <w:rPr/>
              <w:t>（九）知识产权要求，1.本项目不会引起任何已申请、登记的知识产权所有权的转移。 2.投标人、采购人双方一致同意，投标人为履行本合同义务所形成的服务成果的知识产权归采购人所有。 3.本合同所涉及的数据所有权归采购人所有，中标人只能用于履行本合同之义务。 4.中标人提供的相关软件应是自行开发的产品或具备合法、合规授权，满足知识产权等方面的有关规定和要求。 5.中标人保证向采购人提供的服务成果是其独立实施完成，不存在任何侵犯第三方专利权、商标权、著作权等合法权益。如因中标人提供的服务成果侵犯任何第三方的合法权益，导致该第三方追究采购人责任的，中标人应负责解决并赔偿因此给采购人造成的全部损失。</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行业应用软件开发服务</w:t>
            </w:r>
          </w:p>
        </w:tc>
        <w:tc>
          <w:tcPr>
            <w:tcW w:type="dxa" w:w="933"/>
          </w:tcPr>
          <w:p>
            <w:pPr>
              <w:pStyle w:val="null3"/>
              <w:jc w:val="left"/>
            </w:pPr>
            <w:r>
              <w:rPr/>
              <w:t>特种设备行政许可鉴定评审管理系统建设项目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1,050,000.00</w:t>
            </w:r>
          </w:p>
        </w:tc>
        <w:tc>
          <w:tcPr>
            <w:tcW w:type="dxa" w:w="933"/>
          </w:tcPr>
          <w:p>
            <w:pPr>
              <w:pStyle w:val="null3"/>
              <w:jc w:val="right"/>
            </w:pPr>
            <w:r>
              <w:rPr/>
              <w:t>1,050,000.00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特种设备行政许可鉴定评审管理系统建设项目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color w:val="000000"/>
              </w:rPr>
              <w:t>1.项目背景</w:t>
            </w:r>
          </w:p>
          <w:p>
            <w:pPr>
              <w:pStyle w:val="null3"/>
              <w:jc w:val="both"/>
            </w:pPr>
            <w:r>
              <w:rPr>
                <w:sz w:val="21"/>
                <w:color w:val="000000"/>
              </w:rPr>
              <w:t>广东省特种设备检验研究院承接国家市场监督管理总局、广东省市场监督管理局、广州市市场监督管理局、深圳市市场监督管理局及其它省局委托的压力容器设计（含固定式、移动式压力容器规则设计），压力管道（含长输管道、公用管道、工业管道）设计，锅炉制造（</w:t>
            </w:r>
            <w:r>
              <w:rPr>
                <w:sz w:val="21"/>
                <w:color w:val="000000"/>
              </w:rPr>
              <w:t>A级有限制），压力容器制造（含设计）（不含A1大型高压容器，A6超高压容器，C1铁路罐车，氧舱A5，B3特种气瓶（纤维缠绕气瓶）），安全附件制造（燃气气瓶阀门（不含车用燃气阀门，通过型式试验许可）），压力管道元件制造，电梯制造（含安装、修理、改造），起重机械制造（含安装、修理、改造）（不含桥式、门式起重机（A）），场（厂）内机动车辆制造（含修理、改造），承压类特种设备安装、修理、改造（含锅炉安装、压力管道安装（不含GA1）），电梯安装（含修理），起重机械安装（含修理），客运索道安装（含修理），大型游乐设施安装（含修理），场（厂）内机动车辆修理等许可项目的鉴定评审工作。面对繁重的工作量和多样化的任务，构建一个高效、透明、规范的特种设备行政许可鉴定评审管理系统显得尤为关键。不仅能够极大提升评审工作的效率和质量，而且能够确保特种设备的安全合规使用，为社会经济发展和公共安全提供坚实的保障。</w:t>
            </w:r>
          </w:p>
        </w:tc>
      </w:tr>
      <w:tr>
        <w:tc>
          <w:tcPr>
            <w:tcW w:type="dxa" w:w="2076"/>
          </w:tcPr>
          <w:p/>
        </w:tc>
        <w:tc>
          <w:tcPr>
            <w:tcW w:type="dxa" w:w="415"/>
          </w:tcPr>
          <w:p>
            <w:pPr>
              <w:pStyle w:val="null3"/>
            </w:pPr>
            <w:r>
              <w:rPr/>
              <w:t>2</w:t>
            </w:r>
          </w:p>
        </w:tc>
        <w:tc>
          <w:tcPr>
            <w:tcW w:type="dxa" w:w="5814"/>
          </w:tcPr>
          <w:p>
            <w:pPr>
              <w:pStyle w:val="null3"/>
              <w:jc w:val="left"/>
            </w:pPr>
            <w:r>
              <w:rPr>
                <w:sz w:val="21"/>
                <w:b/>
                <w:color w:val="000000"/>
              </w:rPr>
              <w:t>2.项目目标</w:t>
            </w:r>
          </w:p>
          <w:p>
            <w:pPr>
              <w:pStyle w:val="null3"/>
              <w:jc w:val="both"/>
            </w:pPr>
            <w:r>
              <w:rPr>
                <w:sz w:val="21"/>
                <w:color w:val="000000"/>
              </w:rPr>
              <w:t>实现整个鉴定评审流程从接收申请鉴定评审资料到报告归档的全流程电子化管理。通过系统管理评审数据，确保数据的完整性和一致性；实现评审数据的查询、统计和分析功能，为评审管理决策提供支持。</w:t>
            </w:r>
          </w:p>
        </w:tc>
      </w:tr>
      <w:tr>
        <w:tc>
          <w:tcPr>
            <w:tcW w:type="dxa" w:w="2076"/>
          </w:tcPr>
          <w:p/>
        </w:tc>
        <w:tc>
          <w:tcPr>
            <w:tcW w:type="dxa" w:w="415"/>
          </w:tcPr>
          <w:p>
            <w:pPr>
              <w:pStyle w:val="null3"/>
            </w:pPr>
            <w:r>
              <w:rPr/>
              <w:t>3</w:t>
            </w:r>
          </w:p>
        </w:tc>
        <w:tc>
          <w:tcPr>
            <w:tcW w:type="dxa" w:w="5814"/>
          </w:tcPr>
          <w:p>
            <w:pPr>
              <w:pStyle w:val="null3"/>
              <w:jc w:val="left"/>
            </w:pPr>
            <w:r>
              <w:rPr>
                <w:sz w:val="21"/>
                <w:b/>
                <w:color w:val="000000"/>
              </w:rPr>
              <w:t>3.项目建设范围</w:t>
            </w:r>
          </w:p>
          <w:p>
            <w:pPr>
              <w:pStyle w:val="null3"/>
              <w:jc w:val="left"/>
            </w:pPr>
            <w:r>
              <w:rPr>
                <w:sz w:val="21"/>
                <w:color w:val="000000"/>
              </w:rPr>
              <w:t>3.1 业务功能范围</w:t>
            </w:r>
          </w:p>
          <w:p>
            <w:pPr>
              <w:pStyle w:val="null3"/>
            </w:pPr>
            <w:r>
              <w:rPr>
                <w:sz w:val="21"/>
              </w:rPr>
              <w:t>本期的项目建设的业务范围为：</w:t>
            </w:r>
          </w:p>
          <w:tbl>
            <w:tblPr>
              <w:tblBorders>
                <w:top w:val="none" w:color="000000" w:sz="4"/>
                <w:left w:val="none" w:color="000000" w:sz="4"/>
                <w:bottom w:val="none" w:color="000000" w:sz="4"/>
                <w:right w:val="none" w:color="000000" w:sz="4"/>
                <w:insideH w:val="none"/>
                <w:insideV w:val="none"/>
              </w:tblBorders>
            </w:tblPr>
            <w:tblGrid>
              <w:gridCol w:w="1695"/>
              <w:gridCol w:w="3525"/>
            </w:tblGrid>
            <w:tr>
              <w:tc>
                <w:tcPr>
                  <w:tcW w:type="dxa" w:w="1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both"/>
                  </w:pPr>
                  <w:r>
                    <w:rPr>
                      <w:sz w:val="21"/>
                      <w:b/>
                      <w:color w:val="000000"/>
                    </w:rPr>
                    <w:t>编号</w:t>
                  </w:r>
                </w:p>
              </w:tc>
              <w:tc>
                <w:tcPr>
                  <w:tcW w:type="dxa" w:w="3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实施内容</w:t>
                  </w: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评审申请</w:t>
                  </w: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评审任务安排</w:t>
                  </w: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现场评审环节</w:t>
                  </w: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评审报告处理</w:t>
                  </w: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数据管理功能</w:t>
                  </w: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1"/>
                    <w:jc w:val="center"/>
                  </w:pPr>
                  <w:r>
                    <w:rPr>
                      <w:sz w:val="21"/>
                      <w:color w:val="000000"/>
                    </w:rPr>
                    <w:t>账号管理</w:t>
                  </w: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1"/>
                    <w:jc w:val="center"/>
                  </w:pPr>
                  <w:r>
                    <w:rPr>
                      <w:sz w:val="21"/>
                      <w:color w:val="000000"/>
                    </w:rPr>
                    <w:t>角色管理</w:t>
                  </w: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流程配置</w:t>
                  </w: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模板管理</w:t>
                  </w: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查询统计</w:t>
                  </w: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数据自动统计</w:t>
                  </w: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提醒管理</w:t>
                  </w:r>
                </w:p>
              </w:tc>
            </w:tr>
          </w:tbl>
          <w:p>
            <w:pPr>
              <w:pStyle w:val="null3"/>
              <w:jc w:val="both"/>
            </w:pPr>
            <w:r>
              <w:rPr>
                <w:sz w:val="21"/>
                <w:color w:val="000000"/>
              </w:rPr>
              <w:t>备注：以上实施内容名称不一定需要完全一样，但功能要符合系统功能要求里面的内容，具体功能参照系统功能要求部分。</w:t>
            </w:r>
          </w:p>
        </w:tc>
      </w:tr>
      <w:tr>
        <w:tc>
          <w:tcPr>
            <w:tcW w:type="dxa" w:w="2076"/>
          </w:tcPr>
          <w:p/>
        </w:tc>
        <w:tc>
          <w:tcPr>
            <w:tcW w:type="dxa" w:w="415"/>
          </w:tcPr>
          <w:p>
            <w:pPr>
              <w:pStyle w:val="null3"/>
            </w:pPr>
            <w:r>
              <w:rPr/>
              <w:t>4</w:t>
            </w:r>
          </w:p>
        </w:tc>
        <w:tc>
          <w:tcPr>
            <w:tcW w:type="dxa" w:w="5814"/>
          </w:tcPr>
          <w:p>
            <w:pPr>
              <w:pStyle w:val="null3"/>
              <w:jc w:val="left"/>
            </w:pPr>
            <w:r>
              <w:rPr>
                <w:sz w:val="21"/>
                <w:b/>
                <w:color w:val="000000"/>
              </w:rPr>
              <w:t>3.项目建设范围</w:t>
            </w:r>
          </w:p>
          <w:p>
            <w:pPr>
              <w:pStyle w:val="null3"/>
              <w:jc w:val="left"/>
            </w:pPr>
            <w:r>
              <w:rPr>
                <w:sz w:val="21"/>
                <w:color w:val="000000"/>
              </w:rPr>
              <w:t>3.2实施组织范围</w:t>
            </w:r>
          </w:p>
          <w:p>
            <w:pPr>
              <w:pStyle w:val="null3"/>
              <w:jc w:val="both"/>
            </w:pPr>
            <w:r>
              <w:rPr>
                <w:sz w:val="21"/>
                <w:color w:val="000000"/>
              </w:rPr>
              <w:t>本期项目建设的组织范围为：广东省特检院省院、</w:t>
            </w:r>
            <w:r>
              <w:rPr>
                <w:sz w:val="21"/>
                <w:color w:val="000000"/>
              </w:rPr>
              <w:t>20个直属检测院、广东省特检院省院聘用的协会评审员。</w:t>
            </w:r>
          </w:p>
        </w:tc>
      </w:tr>
      <w:tr>
        <w:tc>
          <w:tcPr>
            <w:tcW w:type="dxa" w:w="2076"/>
          </w:tcPr>
          <w:p/>
        </w:tc>
        <w:tc>
          <w:tcPr>
            <w:tcW w:type="dxa" w:w="415"/>
          </w:tcPr>
          <w:p>
            <w:pPr>
              <w:pStyle w:val="null3"/>
            </w:pPr>
            <w:r>
              <w:rPr/>
              <w:t>5</w:t>
            </w:r>
          </w:p>
        </w:tc>
        <w:tc>
          <w:tcPr>
            <w:tcW w:type="dxa" w:w="5814"/>
          </w:tcPr>
          <w:p>
            <w:pPr>
              <w:pStyle w:val="null3"/>
              <w:jc w:val="left"/>
            </w:pPr>
            <w:r>
              <w:rPr>
                <w:sz w:val="21"/>
                <w:b/>
                <w:color w:val="000000"/>
              </w:rPr>
              <w:t>4.系统功能及要求</w:t>
            </w:r>
          </w:p>
          <w:p>
            <w:pPr>
              <w:pStyle w:val="null3"/>
              <w:jc w:val="left"/>
            </w:pPr>
            <w:r>
              <w:rPr>
                <w:sz w:val="21"/>
                <w:color w:val="000000"/>
              </w:rPr>
              <w:t>4.1</w:t>
            </w:r>
            <w:r>
              <w:rPr>
                <w:sz w:val="21"/>
                <w:color w:val="000000"/>
              </w:rPr>
              <w:t>评审申请</w:t>
            </w:r>
          </w:p>
          <w:p>
            <w:pPr>
              <w:pStyle w:val="null3"/>
              <w:jc w:val="both"/>
            </w:pPr>
            <w:r>
              <w:rPr>
                <w:sz w:val="21"/>
                <w:color w:val="000000"/>
              </w:rPr>
              <w:t>评审申请需求包括以下内容：</w:t>
            </w:r>
          </w:p>
          <w:p>
            <w:pPr>
              <w:pStyle w:val="null3"/>
              <w:jc w:val="both"/>
            </w:pPr>
            <w:r>
              <w:rPr>
                <w:sz w:val="21"/>
                <w:color w:val="000000"/>
              </w:rPr>
              <w:t>1．申请单位填写申请鉴定评审资料（填写、上传、下载资料）</w:t>
            </w:r>
          </w:p>
          <w:p>
            <w:pPr>
              <w:pStyle w:val="null3"/>
              <w:jc w:val="both"/>
            </w:pPr>
            <w:r>
              <w:rPr>
                <w:sz w:val="21"/>
                <w:color w:val="000000"/>
              </w:rPr>
              <w:t>（</w:t>
            </w:r>
            <w:r>
              <w:rPr>
                <w:sz w:val="21"/>
                <w:color w:val="000000"/>
              </w:rPr>
              <w:t>1）选择申请评审项目和子项目、申请类别（首次、换证、增项、减项、变更等），可多选。</w:t>
            </w:r>
          </w:p>
          <w:p>
            <w:pPr>
              <w:pStyle w:val="null3"/>
              <w:ind w:firstLine="420"/>
              <w:jc w:val="both"/>
            </w:pPr>
            <w:r>
              <w:rPr>
                <w:sz w:val="21"/>
                <w:color w:val="000000"/>
              </w:rPr>
              <w:t>填写《特种设备许可鉴定评审申请表》、受理决定书日期、原许可证有效期（换证、增减项、变更需填写），上传受理决定书扫描件、鉴定评审委托告知书扫描件（广州市局受理的电梯安装项目申请单位不需要提供）、特种设备申请书扫描件、原许可证扫描件（换证、增减项、变更需提供）、质量保证手册扫描件、营业执照、试验塔照片（总局受理的电梯制造项目需提供）等。</w:t>
            </w:r>
          </w:p>
          <w:p>
            <w:pPr>
              <w:pStyle w:val="null3"/>
              <w:jc w:val="both"/>
            </w:pPr>
            <w:r>
              <w:rPr>
                <w:sz w:val="21"/>
                <w:color w:val="000000"/>
              </w:rPr>
              <w:t>（</w:t>
            </w:r>
            <w:r>
              <w:rPr>
                <w:sz w:val="21"/>
                <w:color w:val="000000"/>
              </w:rPr>
              <w:t>2）下载鉴定评审相关文件。</w:t>
            </w:r>
          </w:p>
          <w:p>
            <w:pPr>
              <w:pStyle w:val="null3"/>
              <w:ind w:firstLine="420"/>
              <w:jc w:val="both"/>
            </w:pPr>
            <w:r>
              <w:rPr>
                <w:sz w:val="21"/>
                <w:color w:val="000000"/>
              </w:rPr>
              <w:t>可下载的文件包括：特种设备生产单位鉴定评审工作指南、整改报告模板。</w:t>
            </w:r>
          </w:p>
          <w:p>
            <w:pPr>
              <w:pStyle w:val="null3"/>
              <w:jc w:val="both"/>
            </w:pPr>
            <w:r>
              <w:rPr>
                <w:sz w:val="21"/>
                <w:color w:val="000000"/>
              </w:rPr>
              <w:t>2.评审机构审核申请鉴定评审资料</w:t>
            </w:r>
          </w:p>
          <w:p>
            <w:pPr>
              <w:pStyle w:val="null3"/>
              <w:ind w:firstLine="420"/>
              <w:jc w:val="both"/>
            </w:pPr>
            <w:r>
              <w:rPr>
                <w:sz w:val="21"/>
                <w:color w:val="000000"/>
              </w:rPr>
              <w:t>经评审业务员和评审部门负责人核查资料通过后，申请单位可以到下一环节（申请现场评审）。如资料不通过，填写原因退回补齐，重新提交。（提交的资料保留最新的一次，申请单位可以在原基础上修改）。</w:t>
            </w:r>
          </w:p>
          <w:p>
            <w:pPr>
              <w:pStyle w:val="null3"/>
              <w:jc w:val="both"/>
            </w:pPr>
            <w:r>
              <w:rPr>
                <w:sz w:val="21"/>
                <w:color w:val="000000"/>
              </w:rPr>
              <w:t>3．取消评审申请</w:t>
            </w:r>
          </w:p>
          <w:p>
            <w:pPr>
              <w:pStyle w:val="null3"/>
              <w:ind w:firstLine="420"/>
              <w:jc w:val="both"/>
            </w:pPr>
            <w:r>
              <w:rPr>
                <w:sz w:val="21"/>
                <w:color w:val="000000"/>
              </w:rPr>
              <w:t>在提交申请资料阶段（接收评审通知函之前），如遇到需要取消申请的情况申请单位可以取消本次申请，结束流程。</w:t>
            </w:r>
          </w:p>
          <w:p>
            <w:pPr>
              <w:pStyle w:val="null3"/>
              <w:jc w:val="both"/>
            </w:pPr>
            <w:r>
              <w:rPr>
                <w:sz w:val="21"/>
                <w:color w:val="000000"/>
              </w:rPr>
              <w:t>4．窗口服务评价</w:t>
            </w:r>
          </w:p>
          <w:p>
            <w:pPr>
              <w:pStyle w:val="null3"/>
              <w:ind w:firstLine="420"/>
              <w:jc w:val="both"/>
            </w:pPr>
            <w:r>
              <w:rPr>
                <w:sz w:val="21"/>
                <w:color w:val="000000"/>
              </w:rPr>
              <w:t>对本次提交评审申请环节作出评价。</w:t>
            </w:r>
          </w:p>
          <w:p>
            <w:pPr>
              <w:pStyle w:val="null3"/>
              <w:jc w:val="both"/>
            </w:pPr>
            <w:r>
              <w:rPr>
                <w:sz w:val="21"/>
                <w:color w:val="000000"/>
              </w:rPr>
              <w:t>5．申请单位提交相关表格及证明文件附件</w:t>
            </w:r>
          </w:p>
          <w:p>
            <w:pPr>
              <w:pStyle w:val="null3"/>
              <w:ind w:firstLine="420"/>
              <w:jc w:val="both"/>
            </w:pPr>
            <w:r>
              <w:rPr>
                <w:sz w:val="21"/>
                <w:color w:val="000000"/>
              </w:rPr>
              <w:t>申请单位在提交现场评审时间后需填写、提交。</w:t>
            </w:r>
          </w:p>
          <w:p>
            <w:pPr>
              <w:pStyle w:val="null3"/>
              <w:ind w:firstLine="420"/>
              <w:jc w:val="both"/>
            </w:pPr>
            <w:r>
              <w:rPr>
                <w:sz w:val="21"/>
                <w:color w:val="000000"/>
              </w:rPr>
              <w:t>申请单位在评审前填写的附表内容和上传证明文件附件，提供导入、导出功能，填写完成后提交，由评审组长确认，在提交鉴定评审报告前确认。可以回退给申请单位修改内容，评审组长确认后申请单位不可修改，退回要写退回原因。评审组成员和评审业务员可以查看这些表格。如果评审报告在审核审批时被退回，此时状态回到评审组长提交评审报告前，评审组长可以再次修改评审报告和回退附表给申请单位填写修改附件。</w:t>
            </w:r>
          </w:p>
          <w:p>
            <w:pPr>
              <w:pStyle w:val="null3"/>
              <w:ind w:firstLine="420"/>
              <w:jc w:val="both"/>
            </w:pPr>
            <w:r>
              <w:rPr>
                <w:sz w:val="21"/>
                <w:color w:val="000000"/>
              </w:rPr>
              <w:t>申请单位提交表格后提取填写的人员信息，录入人员信息库。系统对申请单位填写的特种设备作业人员信息进行提取，与系统里的人员信息做对比，如发现人员有重复情况需要提醒，留下记录。</w:t>
            </w:r>
          </w:p>
          <w:p>
            <w:pPr>
              <w:pStyle w:val="null3"/>
              <w:jc w:val="both"/>
            </w:pPr>
            <w:r>
              <w:rPr>
                <w:sz w:val="21"/>
                <w:color w:val="000000"/>
              </w:rPr>
              <w:t>6．申请单位提交期望评审时间</w:t>
            </w:r>
          </w:p>
          <w:p>
            <w:pPr>
              <w:pStyle w:val="null3"/>
              <w:ind w:firstLine="420"/>
              <w:jc w:val="both"/>
            </w:pPr>
            <w:r>
              <w:rPr>
                <w:sz w:val="21"/>
                <w:color w:val="000000"/>
              </w:rPr>
              <w:t>系统中提交预计的现场评审时间，待评审机构反馈确认信息。如申请单位提交的评审时间距离许可证或受理决定书到期时间不足两个月，需要加签一份《评审期限少于</w:t>
            </w:r>
            <w:r>
              <w:rPr>
                <w:sz w:val="21"/>
                <w:color w:val="000000"/>
              </w:rPr>
              <w:t>2个月情况说明》。</w:t>
            </w:r>
          </w:p>
          <w:p>
            <w:pPr>
              <w:pStyle w:val="null3"/>
              <w:ind w:firstLine="420"/>
              <w:jc w:val="both"/>
            </w:pPr>
            <w:r>
              <w:rPr>
                <w:sz w:val="21"/>
                <w:color w:val="000000"/>
              </w:rPr>
              <w:t>双方确定评审时间后，申请单位如果有时间变动需要增加变动说明：《修改评审时间情况说明》。</w:t>
            </w:r>
          </w:p>
          <w:p>
            <w:pPr>
              <w:pStyle w:val="null3"/>
              <w:ind w:firstLine="420"/>
              <w:jc w:val="both"/>
            </w:pPr>
            <w:r>
              <w:rPr>
                <w:sz w:val="21"/>
                <w:color w:val="000000"/>
              </w:rPr>
              <w:t>系统提示申请单位应至少提前</w:t>
            </w:r>
            <w:r>
              <w:rPr>
                <w:sz w:val="21"/>
                <w:color w:val="000000"/>
              </w:rPr>
              <w:t>2周提交预计评审时间。评审机构在特殊情况下可以取消本次申请，填上理由。</w:t>
            </w:r>
          </w:p>
          <w:p>
            <w:pPr>
              <w:pStyle w:val="null3"/>
              <w:jc w:val="both"/>
            </w:pPr>
            <w:r>
              <w:rPr>
                <w:sz w:val="21"/>
                <w:color w:val="000000"/>
              </w:rPr>
              <w:t>7．评审机构反馈意见</w:t>
            </w:r>
          </w:p>
          <w:p>
            <w:pPr>
              <w:pStyle w:val="null3"/>
              <w:jc w:val="both"/>
            </w:pPr>
            <w:r>
              <w:rPr>
                <w:sz w:val="21"/>
                <w:color w:val="000000"/>
              </w:rPr>
              <w:t xml:space="preserve">       申请单位提交预计评审时间，评审业务员收到后，与申请单位沟通填写是否同意安排和预计评审日期，不同意安排则退回申请单位重新申请（可与申请单位沟通后退回再次修改时间），超过受理期限可以退回申请并结束流程。如申请单位过了受理决定书有效期还未提交申请现场评审，自动结束流程。</w:t>
            </w:r>
          </w:p>
        </w:tc>
      </w:tr>
      <w:tr>
        <w:tc>
          <w:tcPr>
            <w:tcW w:type="dxa" w:w="2076"/>
          </w:tcPr>
          <w:p/>
        </w:tc>
        <w:tc>
          <w:tcPr>
            <w:tcW w:type="dxa" w:w="415"/>
          </w:tcPr>
          <w:p>
            <w:pPr>
              <w:pStyle w:val="null3"/>
            </w:pPr>
            <w:r>
              <w:rPr/>
              <w:t>6</w:t>
            </w:r>
          </w:p>
        </w:tc>
        <w:tc>
          <w:tcPr>
            <w:tcW w:type="dxa" w:w="5814"/>
          </w:tcPr>
          <w:p>
            <w:pPr>
              <w:pStyle w:val="null3"/>
              <w:jc w:val="left"/>
            </w:pPr>
            <w:r>
              <w:rPr>
                <w:sz w:val="21"/>
                <w:b/>
                <w:color w:val="000000"/>
              </w:rPr>
              <w:t>4.系统功能及要求</w:t>
            </w:r>
          </w:p>
          <w:p>
            <w:pPr>
              <w:pStyle w:val="null3"/>
              <w:jc w:val="both"/>
            </w:pPr>
            <w:r>
              <w:rPr>
                <w:sz w:val="21"/>
                <w:color w:val="000000"/>
              </w:rPr>
              <w:t>4.2评审任务安排</w:t>
            </w:r>
          </w:p>
          <w:p>
            <w:pPr>
              <w:pStyle w:val="null3"/>
              <w:jc w:val="both"/>
            </w:pPr>
            <w:r>
              <w:rPr>
                <w:sz w:val="21"/>
                <w:color w:val="000000"/>
              </w:rPr>
              <w:t>评审任务安排需求包括以下内容：</w:t>
            </w:r>
          </w:p>
          <w:p>
            <w:pPr>
              <w:pStyle w:val="null3"/>
              <w:jc w:val="both"/>
            </w:pPr>
            <w:r>
              <w:rPr>
                <w:sz w:val="21"/>
                <w:color w:val="000000"/>
              </w:rPr>
              <w:t>1.评审机构的评审任务编制</w:t>
            </w:r>
          </w:p>
          <w:p>
            <w:pPr>
              <w:pStyle w:val="null3"/>
              <w:jc w:val="both"/>
            </w:pPr>
            <w:r>
              <w:rPr>
                <w:sz w:val="21"/>
                <w:color w:val="000000"/>
              </w:rPr>
              <w:t>（</w:t>
            </w:r>
            <w:r>
              <w:rPr>
                <w:sz w:val="21"/>
                <w:color w:val="000000"/>
              </w:rPr>
              <w:t>1）任务设置：评审业务员根据评审机构与申请单位协商确定的现场评审时间在系统内生成评审任务和对应报告编号。</w:t>
            </w:r>
          </w:p>
          <w:p>
            <w:pPr>
              <w:pStyle w:val="null3"/>
              <w:jc w:val="both"/>
            </w:pPr>
            <w:r>
              <w:rPr>
                <w:sz w:val="21"/>
                <w:color w:val="000000"/>
              </w:rPr>
              <w:t>（</w:t>
            </w:r>
            <w:r>
              <w:rPr>
                <w:sz w:val="21"/>
                <w:color w:val="000000"/>
              </w:rPr>
              <w:t>2）任务人员安排：每个任务的人员分为1名组长（组长可以做组员）和1-4名组员（组员不可以做组长，组员数量需要在报名时确认），评审员进行任务报名，无该任务资质的评审员不能报名，在截止报名日期前可以取消。通过勾选报名参加评审的评审员信息（可多选评审项目），系统可以进行随机分组（按报名频次优先安排），或者手工分组，随机分组后也可以手工调整。</w:t>
            </w:r>
          </w:p>
          <w:p>
            <w:pPr>
              <w:pStyle w:val="null3"/>
              <w:jc w:val="both"/>
            </w:pPr>
            <w:r>
              <w:rPr>
                <w:sz w:val="21"/>
                <w:color w:val="000000"/>
              </w:rPr>
              <w:t>（</w:t>
            </w:r>
            <w:r>
              <w:rPr>
                <w:sz w:val="21"/>
                <w:color w:val="000000"/>
              </w:rPr>
              <w:t>3）任务审核：评审业务员安排好评审人员后提交给评审部门负责人审核、审核完成后提交评审部门分管院领导审批。</w:t>
            </w:r>
          </w:p>
          <w:p>
            <w:pPr>
              <w:pStyle w:val="null3"/>
              <w:jc w:val="both"/>
            </w:pPr>
            <w:r>
              <w:rPr>
                <w:sz w:val="21"/>
                <w:color w:val="000000"/>
              </w:rPr>
              <w:t>（</w:t>
            </w:r>
            <w:r>
              <w:rPr>
                <w:sz w:val="21"/>
                <w:color w:val="000000"/>
              </w:rPr>
              <w:t>4）任务指派：待评审任务的人员安排审批完成后，生成报告编号，指派任务给相关评审员，评审员可以在系统内收到评审通知函和查看申请单位在系统内提交评审项目表格的信息。</w:t>
            </w:r>
          </w:p>
          <w:p>
            <w:pPr>
              <w:pStyle w:val="null3"/>
              <w:jc w:val="both"/>
            </w:pPr>
            <w:r>
              <w:rPr>
                <w:sz w:val="21"/>
                <w:color w:val="000000"/>
              </w:rPr>
              <w:t>（</w:t>
            </w:r>
            <w:r>
              <w:rPr>
                <w:sz w:val="21"/>
                <w:color w:val="000000"/>
              </w:rPr>
              <w:t>5）任务修改：如遇到特殊情况可修改评审任务，包括取消现场评审、修改评审时间、修改评审人员安排等。修改后需要提交审核审批。</w:t>
            </w:r>
          </w:p>
          <w:p>
            <w:pPr>
              <w:pStyle w:val="null3"/>
              <w:jc w:val="both"/>
            </w:pPr>
            <w:r>
              <w:rPr>
                <w:sz w:val="21"/>
                <w:color w:val="000000"/>
              </w:rPr>
              <w:t>2.评审通知函</w:t>
            </w:r>
          </w:p>
          <w:p>
            <w:pPr>
              <w:pStyle w:val="null3"/>
              <w:jc w:val="both"/>
            </w:pPr>
            <w:r>
              <w:rPr>
                <w:sz w:val="21"/>
                <w:color w:val="000000"/>
              </w:rPr>
              <w:t>申请单位、评审员、评审员所在的省院部门负责人或直属院院长可以在系统内接收评审通知函，并收到短信通知。评审通知函需要有电子印章。</w:t>
            </w:r>
          </w:p>
        </w:tc>
      </w:tr>
      <w:tr>
        <w:tc>
          <w:tcPr>
            <w:tcW w:type="dxa" w:w="2076"/>
          </w:tcPr>
          <w:p/>
        </w:tc>
        <w:tc>
          <w:tcPr>
            <w:tcW w:type="dxa" w:w="415"/>
          </w:tcPr>
          <w:p>
            <w:pPr>
              <w:pStyle w:val="null3"/>
            </w:pPr>
            <w:r>
              <w:rPr/>
              <w:t>7</w:t>
            </w:r>
          </w:p>
        </w:tc>
        <w:tc>
          <w:tcPr>
            <w:tcW w:type="dxa" w:w="5814"/>
          </w:tcPr>
          <w:p>
            <w:pPr>
              <w:pStyle w:val="null3"/>
              <w:jc w:val="left"/>
            </w:pPr>
            <w:r>
              <w:rPr>
                <w:sz w:val="21"/>
                <w:b/>
                <w:color w:val="000000"/>
              </w:rPr>
              <w:t>4.系统功能及要求</w:t>
            </w:r>
          </w:p>
          <w:p>
            <w:pPr>
              <w:pStyle w:val="null3"/>
              <w:jc w:val="both"/>
            </w:pPr>
            <w:r>
              <w:rPr>
                <w:sz w:val="21"/>
                <w:color w:val="000000"/>
              </w:rPr>
              <w:t>4.3现场评审环节</w:t>
            </w:r>
          </w:p>
          <w:p>
            <w:pPr>
              <w:pStyle w:val="null3"/>
              <w:jc w:val="both"/>
            </w:pPr>
            <w:r>
              <w:rPr>
                <w:sz w:val="21"/>
                <w:color w:val="000000"/>
              </w:rPr>
              <w:t>现场评审环节需求包括以下内容：</w:t>
            </w:r>
          </w:p>
          <w:p>
            <w:pPr>
              <w:pStyle w:val="null3"/>
              <w:jc w:val="both"/>
            </w:pPr>
            <w:r>
              <w:rPr>
                <w:sz w:val="21"/>
                <w:color w:val="000000"/>
              </w:rPr>
              <w:t>1.报告、记录、汇总表、附表、整改报告的组成</w:t>
            </w:r>
          </w:p>
          <w:p>
            <w:pPr>
              <w:pStyle w:val="null3"/>
              <w:ind w:firstLine="420"/>
              <w:jc w:val="both"/>
            </w:pPr>
            <w:r>
              <w:rPr>
                <w:sz w:val="21"/>
                <w:color w:val="000000"/>
              </w:rPr>
              <w:t>报告记录有模板，每个项目一个模板（详见附件</w:t>
            </w:r>
            <w:r>
              <w:rPr>
                <w:sz w:val="21"/>
                <w:color w:val="000000"/>
              </w:rPr>
              <w:t>-评审组填的评审报告、记录、汇总表、附表）。</w:t>
            </w:r>
          </w:p>
          <w:p>
            <w:pPr>
              <w:pStyle w:val="null3"/>
              <w:ind w:firstLine="420"/>
              <w:jc w:val="both"/>
            </w:pPr>
            <w:r>
              <w:rPr>
                <w:sz w:val="21"/>
                <w:color w:val="000000"/>
              </w:rPr>
              <w:t>报告：评审报告封面、目录、结论页、许可项目明细表、评审工作报告、评审项目及意见（资源条件、质量保证体系、保障特种设备安全性能的技术能力）、评审工作备忘录、整改情况确认报告、附件页。</w:t>
            </w:r>
          </w:p>
          <w:p>
            <w:pPr>
              <w:pStyle w:val="null3"/>
              <w:jc w:val="both"/>
            </w:pPr>
            <w:r>
              <w:rPr>
                <w:sz w:val="21"/>
                <w:color w:val="000000"/>
              </w:rPr>
              <w:t>评审记录：封面、目录、资源条件、质量保证体系、保障特种设备安全性能的技术能力。</w:t>
            </w:r>
          </w:p>
          <w:p>
            <w:pPr>
              <w:pStyle w:val="null3"/>
              <w:ind w:firstLine="420"/>
              <w:jc w:val="both"/>
            </w:pPr>
            <w:r>
              <w:rPr>
                <w:sz w:val="21"/>
                <w:color w:val="000000"/>
              </w:rPr>
              <w:t>整改报告：整改报告封面、汇总页面、整改项页面、整改措施内容由附件形式上传。</w:t>
            </w:r>
          </w:p>
          <w:p>
            <w:pPr>
              <w:pStyle w:val="null3"/>
              <w:jc w:val="both"/>
            </w:pPr>
            <w:r>
              <w:rPr>
                <w:sz w:val="21"/>
                <w:color w:val="000000"/>
              </w:rPr>
              <w:t>2.现场评审</w:t>
            </w:r>
          </w:p>
          <w:p>
            <w:pPr>
              <w:pStyle w:val="null3"/>
              <w:ind w:firstLine="420"/>
              <w:jc w:val="both"/>
            </w:pPr>
            <w:r>
              <w:rPr>
                <w:sz w:val="21"/>
                <w:color w:val="000000"/>
              </w:rPr>
              <w:t>评审组成员、评审组组长都可以在系统内上传现场评审的相关资料，例如：会议签到表（必传）、评审现场视频（照片）（必传）、人员有关见证材料（必传）、工作场所有关见证材料（必传）、试验能力有关见证材料（必传）、样机或业绩见证材料（必传）、质量保证手册（必传）、评审组认为有必要的其它见证材料等（选传）（这些资料在报告出具前都可以保存提交）。系统需要支持评审组长和评审组员并行上传，确保多用户上传操作互不干扰，并能根据文件名等检测手段防止重复上传。在线查看格式需要支持：文档格式：</w:t>
            </w:r>
            <w:r>
              <w:rPr>
                <w:sz w:val="21"/>
                <w:color w:val="000000"/>
              </w:rPr>
              <w:t>.doc、.docx、.xlsx、.pdf、.txt；图片格式：.jpeg、.jpg、.png、.bmp。</w:t>
            </w:r>
          </w:p>
          <w:p>
            <w:pPr>
              <w:pStyle w:val="null3"/>
              <w:ind w:firstLine="420"/>
              <w:jc w:val="both"/>
            </w:pPr>
            <w:r>
              <w:rPr>
                <w:sz w:val="21"/>
                <w:color w:val="000000"/>
              </w:rPr>
              <w:t>特种设备许可鉴定评审公正性要求与声明、禁止商业贿赂承诺书、评审工作备忘录分别由系统生成，评审组长在系统内分派给组员和申请单位签订，签定好返回给评审组长，评审工作备忘录签好后会合并在评审报告中。备忘录的填写需要按三大类问题和各个小项分别填写需要整改的问题，生成申请单位问题记录表。</w:t>
            </w:r>
          </w:p>
          <w:p>
            <w:pPr>
              <w:pStyle w:val="null3"/>
              <w:jc w:val="both"/>
            </w:pPr>
            <w:r>
              <w:rPr>
                <w:sz w:val="21"/>
                <w:color w:val="000000"/>
              </w:rPr>
              <w:t>3.评审资料填写</w:t>
            </w:r>
          </w:p>
          <w:p>
            <w:pPr>
              <w:pStyle w:val="null3"/>
              <w:ind w:firstLine="420"/>
              <w:jc w:val="both"/>
            </w:pPr>
            <w:r>
              <w:rPr>
                <w:sz w:val="21"/>
                <w:color w:val="000000"/>
              </w:rPr>
              <w:t>评审机构：由评审组长给评审组成员分配评审任务（资源条件、质量保证体系、保障特种设备安全性能的技术能力，三部分任务），系统按申请单位填写资料内容生成对应部分的评审报告、评审记录、评审附表等，评审组成员可以填写、修改、可随时保存自己那部分的报告、记录、附表。</w:t>
            </w:r>
          </w:p>
          <w:p>
            <w:pPr>
              <w:pStyle w:val="null3"/>
              <w:ind w:firstLine="420"/>
              <w:jc w:val="both"/>
            </w:pPr>
            <w:r>
              <w:rPr>
                <w:sz w:val="21"/>
                <w:color w:val="000000"/>
              </w:rPr>
              <w:t>如果现场评审结果为需要整改，生成评审工作备忘录，填写需要整改的问题，组长在系统内设定最后整改完成期限，由组长分派给申请单位确认整改问题。</w:t>
            </w:r>
          </w:p>
          <w:p>
            <w:pPr>
              <w:pStyle w:val="null3"/>
              <w:jc w:val="both"/>
            </w:pPr>
            <w:r>
              <w:rPr>
                <w:sz w:val="21"/>
                <w:color w:val="000000"/>
              </w:rPr>
              <w:t>4.整改报告</w:t>
            </w:r>
          </w:p>
          <w:p>
            <w:pPr>
              <w:pStyle w:val="null3"/>
              <w:jc w:val="both"/>
            </w:pPr>
            <w:r>
              <w:rPr>
                <w:sz w:val="21"/>
                <w:color w:val="000000"/>
              </w:rPr>
              <w:t>（</w:t>
            </w:r>
            <w:r>
              <w:rPr>
                <w:sz w:val="21"/>
                <w:color w:val="000000"/>
              </w:rPr>
              <w:t>1）生成整改报告</w:t>
            </w:r>
          </w:p>
          <w:p>
            <w:pPr>
              <w:pStyle w:val="null3"/>
              <w:ind w:firstLine="420"/>
              <w:jc w:val="both"/>
            </w:pPr>
            <w:r>
              <w:rPr>
                <w:sz w:val="21"/>
                <w:color w:val="000000"/>
              </w:rPr>
              <w:t>根据工作备忘录中需要整改的问题，生成整改报告。整改报告包含整改报告封面、整改措施汇总表、整改措施页、整改见证材料。</w:t>
            </w:r>
          </w:p>
          <w:p>
            <w:pPr>
              <w:pStyle w:val="null3"/>
              <w:jc w:val="both"/>
            </w:pPr>
            <w:r>
              <w:rPr>
                <w:sz w:val="21"/>
                <w:color w:val="000000"/>
              </w:rPr>
              <w:t>（</w:t>
            </w:r>
            <w:r>
              <w:rPr>
                <w:sz w:val="21"/>
                <w:color w:val="000000"/>
              </w:rPr>
              <w:t>2）在系统内填写整改报告、上传整改材料附件</w:t>
            </w:r>
          </w:p>
          <w:p>
            <w:pPr>
              <w:pStyle w:val="null3"/>
              <w:ind w:firstLine="420"/>
              <w:jc w:val="both"/>
            </w:pPr>
            <w:r>
              <w:rPr>
                <w:sz w:val="21"/>
                <w:color w:val="000000"/>
              </w:rPr>
              <w:t>申请单位：在系统按整改项提交整改报告给评审组长，评审组长按整改项分派给评审员审核确认。在评审结束后每半个月通过短信和系统提醒申请单位提交整改报告。在提交整改报告页面提醒申请单位要在整改期限内完成整改。整改期限结束仍未提交整改报告或整改后依然不符合条件，整改情况确认报告结论为</w:t>
            </w:r>
            <w:r>
              <w:rPr>
                <w:sz w:val="21"/>
                <w:color w:val="000000"/>
              </w:rPr>
              <w:t>“不符合条件”，评审组长提交记录、报告、评审附表。或由申请单位主动申请“终止评审”，由评审业务员审核通过后流程结束。</w:t>
            </w:r>
          </w:p>
          <w:p>
            <w:pPr>
              <w:pStyle w:val="null3"/>
              <w:jc w:val="both"/>
            </w:pPr>
            <w:r>
              <w:rPr>
                <w:sz w:val="21"/>
                <w:color w:val="000000"/>
              </w:rPr>
              <w:t>（</w:t>
            </w:r>
            <w:r>
              <w:rPr>
                <w:sz w:val="21"/>
                <w:color w:val="000000"/>
              </w:rPr>
              <w:t>3）确认整改报告</w:t>
            </w:r>
          </w:p>
          <w:p>
            <w:pPr>
              <w:pStyle w:val="null3"/>
              <w:ind w:firstLine="420"/>
              <w:jc w:val="both"/>
            </w:pPr>
            <w:r>
              <w:rPr>
                <w:sz w:val="21"/>
                <w:color w:val="000000"/>
              </w:rPr>
              <w:t>评审组各成员分别确认整改情况和现场评审相关见证材料后，由评审组长最终确认全部整改情况和全部现场评审相关见证材料，如整改材料和现场评审见证材料由评审组长确认合格生成整改情况确认报告，整改情况确认报告确认后会合并在评审报告中，由评审组长提交评审报告、评审记录、附表，在提交前可以进行修改。如整改和现场见证材料不合格由评审组长回退给申请单位提交整改资料，退回的页面保留申请单位最后一次保存的页面。如果评审报告在审核审批时被退回，此时状态回到评审组长提交评审报告前，评审组长如需要申请单位重新提交整改报告，可以再次退回整改报告给申请单位填写再次确认。</w:t>
            </w:r>
          </w:p>
          <w:p>
            <w:pPr>
              <w:pStyle w:val="null3"/>
              <w:jc w:val="both"/>
            </w:pPr>
            <w:r>
              <w:rPr>
                <w:sz w:val="21"/>
                <w:color w:val="000000"/>
              </w:rPr>
              <w:t>5.中止评审、终止评审</w:t>
            </w:r>
          </w:p>
          <w:p>
            <w:pPr>
              <w:pStyle w:val="null3"/>
              <w:ind w:firstLine="420"/>
              <w:jc w:val="both"/>
            </w:pPr>
            <w:r>
              <w:rPr>
                <w:sz w:val="21"/>
                <w:color w:val="000000"/>
              </w:rPr>
              <w:t>申请单位在评审过程中可以选择中止评审，并写上理由，评审业务员审核通过后流程跳回申请现场评审时间环节，等准备好后再次申请评审。申请单位在评审过程中，如确认放弃本次申请，可以选择终止评审，终止评审时需申请单位承诺不再就此受理决定书申请评审。</w:t>
            </w:r>
          </w:p>
          <w:p>
            <w:pPr>
              <w:pStyle w:val="null3"/>
              <w:ind w:firstLine="420"/>
              <w:jc w:val="both"/>
            </w:pPr>
            <w:r>
              <w:rPr>
                <w:sz w:val="21"/>
                <w:color w:val="000000"/>
              </w:rPr>
              <w:t>在评审过程中评审组成员发现申请单位准备不充分，资源条件、质量保证体系和保障特种设备安全性能的技术能力等项目严重不符合许可要求的，如申请单位不主动申请中止评审或终止评审，评审组可以选择中止评审，并提供相关证明文件，将业务回退到申请单位申请现场评审时间。</w:t>
            </w:r>
          </w:p>
          <w:p>
            <w:pPr>
              <w:pStyle w:val="null3"/>
              <w:jc w:val="both"/>
            </w:pPr>
            <w:r>
              <w:rPr>
                <w:sz w:val="21"/>
                <w:color w:val="000000"/>
              </w:rPr>
              <w:t>6.现场评审评价</w:t>
            </w:r>
          </w:p>
          <w:p>
            <w:pPr>
              <w:pStyle w:val="null3"/>
              <w:jc w:val="both"/>
            </w:pPr>
            <w:r>
              <w:rPr>
                <w:sz w:val="21"/>
                <w:color w:val="000000"/>
              </w:rPr>
              <w:t xml:space="preserve">       申请单位：对本次现场评审做出评价。</w:t>
            </w:r>
          </w:p>
        </w:tc>
      </w:tr>
      <w:tr>
        <w:tc>
          <w:tcPr>
            <w:tcW w:type="dxa" w:w="2076"/>
          </w:tcPr>
          <w:p/>
        </w:tc>
        <w:tc>
          <w:tcPr>
            <w:tcW w:type="dxa" w:w="415"/>
          </w:tcPr>
          <w:p>
            <w:pPr>
              <w:pStyle w:val="null3"/>
            </w:pPr>
            <w:r>
              <w:rPr/>
              <w:t>8</w:t>
            </w:r>
          </w:p>
        </w:tc>
        <w:tc>
          <w:tcPr>
            <w:tcW w:type="dxa" w:w="5814"/>
          </w:tcPr>
          <w:p>
            <w:pPr>
              <w:pStyle w:val="null3"/>
              <w:jc w:val="left"/>
            </w:pPr>
            <w:r>
              <w:rPr>
                <w:sz w:val="21"/>
                <w:b/>
                <w:color w:val="000000"/>
              </w:rPr>
              <w:t>4.系统功能及要求</w:t>
            </w:r>
          </w:p>
          <w:p>
            <w:pPr>
              <w:pStyle w:val="null3"/>
              <w:jc w:val="both"/>
            </w:pPr>
            <w:r>
              <w:rPr>
                <w:sz w:val="21"/>
                <w:color w:val="000000"/>
              </w:rPr>
              <w:t>4.4评审报告处理</w:t>
            </w:r>
          </w:p>
          <w:p>
            <w:pPr>
              <w:pStyle w:val="null3"/>
              <w:jc w:val="both"/>
            </w:pPr>
            <w:r>
              <w:rPr>
                <w:sz w:val="21"/>
                <w:color w:val="000000"/>
              </w:rPr>
              <w:t>1.报告预审核、审核、审批</w:t>
            </w:r>
          </w:p>
          <w:p>
            <w:pPr>
              <w:pStyle w:val="null3"/>
              <w:ind w:firstLine="420"/>
              <w:jc w:val="both"/>
            </w:pPr>
            <w:r>
              <w:rPr>
                <w:sz w:val="21"/>
                <w:color w:val="000000"/>
              </w:rPr>
              <w:t>评审组长完成评审报告的编制后，将评审报告、记录、整改报告一起提交到评审业务员处，然后由评审业务员提交进行预审、审核、审批，报告流转到预审、审核、审批人时系统应向预审、审核、审批人发出提醒。</w:t>
            </w:r>
          </w:p>
          <w:p>
            <w:pPr>
              <w:pStyle w:val="null3"/>
              <w:ind w:firstLine="420"/>
              <w:jc w:val="both"/>
            </w:pPr>
            <w:r>
              <w:rPr>
                <w:sz w:val="21"/>
                <w:color w:val="000000"/>
              </w:rPr>
              <w:t>预审、审核、审批过程中发现评审报告、记录、整改报告存在问题，报告预审、审核人可将评审报告退回上一步（填回退原因），保留最后一次报告修改保存的状态、交与评审组与申请单位或评审组长沟通解决，形成问题记录，记入相应评审员业绩记录，计入月度评审质量统计；评审组修改报告后提交给评审业务员，再提交预审、审核、审批，直到通过。</w:t>
            </w:r>
          </w:p>
          <w:p>
            <w:pPr>
              <w:pStyle w:val="null3"/>
              <w:ind w:firstLine="420"/>
              <w:jc w:val="both"/>
            </w:pPr>
            <w:r>
              <w:rPr>
                <w:sz w:val="21"/>
                <w:color w:val="000000"/>
              </w:rPr>
              <w:t>在评审报告未最终生成前，评审组长可以在系统中中止评审或终止评审，并给出理由，由评审业务员审核。中止评审系统跳转到申请单位申请现场评审时间，终止评审结束流程。</w:t>
            </w:r>
          </w:p>
          <w:p>
            <w:pPr>
              <w:pStyle w:val="null3"/>
              <w:jc w:val="both"/>
            </w:pPr>
            <w:r>
              <w:rPr>
                <w:sz w:val="21"/>
                <w:color w:val="000000"/>
              </w:rPr>
              <w:t>2.报告、记录、附表的打印</w:t>
            </w:r>
          </w:p>
          <w:p>
            <w:pPr>
              <w:pStyle w:val="null3"/>
              <w:ind w:firstLine="420"/>
              <w:jc w:val="both"/>
            </w:pPr>
            <w:r>
              <w:rPr>
                <w:sz w:val="21"/>
                <w:color w:val="000000"/>
              </w:rPr>
              <w:t>审批结束后系统提供报告、记录、附表、汇总表、整改报告等文件的下载、打印功能。其中评审报告带评审电子印章。</w:t>
            </w:r>
          </w:p>
          <w:p>
            <w:pPr>
              <w:pStyle w:val="null3"/>
              <w:ind w:firstLine="420"/>
              <w:jc w:val="both"/>
            </w:pPr>
            <w:r>
              <w:rPr>
                <w:sz w:val="21"/>
                <w:color w:val="000000"/>
              </w:rPr>
              <w:t>如报告审批后因发证机关退回等原因报告需要修改，可以由评审业务员描述原因回退到指定环节，形成问题记录，重新走流程。其中，问题记录包括的内容有：报告编号、项目、申请单位名称、评审组长、评审员、评审员、回退原因、问题发现环节。</w:t>
            </w:r>
          </w:p>
          <w:p>
            <w:pPr>
              <w:pStyle w:val="null3"/>
              <w:jc w:val="both"/>
            </w:pPr>
            <w:r>
              <w:rPr>
                <w:sz w:val="21"/>
                <w:color w:val="000000"/>
              </w:rPr>
              <w:t>3.资料归档</w:t>
            </w:r>
          </w:p>
          <w:p>
            <w:pPr>
              <w:pStyle w:val="null3"/>
              <w:jc w:val="both"/>
            </w:pPr>
            <w:r>
              <w:rPr>
                <w:sz w:val="21"/>
                <w:color w:val="000000"/>
              </w:rPr>
              <w:t xml:space="preserve">       报告提交至发证机关处理完毕后评审业务员将资料进行归档，结束流程。档案可以按照权限进行信息的查询和导出。每个评审任务归档后是单独的一个档案，跟院的档案系统链接。</w:t>
            </w:r>
          </w:p>
        </w:tc>
      </w:tr>
      <w:tr>
        <w:tc>
          <w:tcPr>
            <w:tcW w:type="dxa" w:w="2076"/>
          </w:tcPr>
          <w:p/>
        </w:tc>
        <w:tc>
          <w:tcPr>
            <w:tcW w:type="dxa" w:w="415"/>
          </w:tcPr>
          <w:p>
            <w:pPr>
              <w:pStyle w:val="null3"/>
            </w:pPr>
            <w:r>
              <w:rPr/>
              <w:t>9</w:t>
            </w:r>
          </w:p>
        </w:tc>
        <w:tc>
          <w:tcPr>
            <w:tcW w:type="dxa" w:w="5814"/>
          </w:tcPr>
          <w:p>
            <w:pPr>
              <w:pStyle w:val="null3"/>
              <w:jc w:val="left"/>
            </w:pPr>
            <w:r>
              <w:rPr>
                <w:sz w:val="21"/>
                <w:b/>
                <w:color w:val="000000"/>
              </w:rPr>
              <w:t>4.系统功能及要求</w:t>
            </w:r>
          </w:p>
          <w:p>
            <w:pPr>
              <w:pStyle w:val="null3"/>
              <w:jc w:val="both"/>
            </w:pPr>
            <w:r>
              <w:rPr>
                <w:sz w:val="21"/>
                <w:color w:val="000000"/>
              </w:rPr>
              <w:t>4.5数据管理功能</w:t>
            </w:r>
          </w:p>
          <w:p>
            <w:pPr>
              <w:pStyle w:val="null3"/>
              <w:ind w:firstLine="420"/>
              <w:jc w:val="both"/>
            </w:pPr>
            <w:r>
              <w:rPr>
                <w:sz w:val="21"/>
                <w:color w:val="000000"/>
              </w:rPr>
              <w:t>鉴定评审信息库有申请单位库、许可证库、评审人员库、申请单位人员库和评审信息库。评审业务员、评审部门负责人和分管院领导都有权限查看和导出操作。</w:t>
            </w:r>
          </w:p>
          <w:p>
            <w:pPr>
              <w:pStyle w:val="null3"/>
              <w:jc w:val="both"/>
            </w:pPr>
            <w:r>
              <w:rPr>
                <w:sz w:val="21"/>
                <w:color w:val="000000"/>
              </w:rPr>
              <w:t>1.申请单位库</w:t>
            </w:r>
          </w:p>
          <w:p>
            <w:pPr>
              <w:pStyle w:val="null3"/>
              <w:ind w:firstLine="420"/>
              <w:jc w:val="both"/>
            </w:pPr>
            <w:r>
              <w:rPr>
                <w:sz w:val="21"/>
                <w:color w:val="000000"/>
              </w:rPr>
              <w:t>申请单位库包含的信息有序号、申请单位名称、申请单位地址、法定代表人信息（姓名、联系电话、邮箱）、评审联系人信息（姓名、联系电话、邮箱）。</w:t>
            </w:r>
          </w:p>
          <w:p>
            <w:pPr>
              <w:pStyle w:val="null3"/>
              <w:jc w:val="both"/>
            </w:pPr>
            <w:r>
              <w:rPr>
                <w:sz w:val="21"/>
                <w:color w:val="000000"/>
              </w:rPr>
              <w:t>申请单位提交申请资料并且审核通过后，系统获取申请资料的单位信息自动录入单位库。同时，系统需要提供对单位库进行查询、修改和导出操作。</w:t>
            </w:r>
          </w:p>
          <w:p>
            <w:pPr>
              <w:pStyle w:val="null3"/>
              <w:jc w:val="both"/>
            </w:pPr>
            <w:r>
              <w:rPr>
                <w:sz w:val="21"/>
                <w:color w:val="000000"/>
              </w:rPr>
              <w:t>2.许可证库</w:t>
            </w:r>
          </w:p>
          <w:p>
            <w:pPr>
              <w:pStyle w:val="null3"/>
              <w:ind w:firstLine="420"/>
              <w:jc w:val="both"/>
            </w:pPr>
            <w:r>
              <w:rPr>
                <w:sz w:val="21"/>
                <w:color w:val="000000"/>
              </w:rPr>
              <w:t>许可证库包含的信息有：申请单位名称、许可证编号、许可项目、许可证有效期。申请单位注册时需要填写相关信息，提取信息入库。</w:t>
            </w:r>
          </w:p>
          <w:p>
            <w:pPr>
              <w:pStyle w:val="null3"/>
              <w:jc w:val="both"/>
            </w:pPr>
            <w:r>
              <w:rPr>
                <w:sz w:val="21"/>
                <w:color w:val="000000"/>
              </w:rPr>
              <w:t>3.评审人员库</w:t>
            </w:r>
          </w:p>
          <w:p>
            <w:pPr>
              <w:pStyle w:val="null3"/>
              <w:ind w:firstLine="420"/>
              <w:jc w:val="both"/>
            </w:pPr>
            <w:r>
              <w:rPr>
                <w:sz w:val="21"/>
                <w:color w:val="000000"/>
              </w:rPr>
              <w:t>评审人员库包含的信息有序号、任职单位、姓名、出生年月、年龄、拟聘评审项目、评审证号、职称、学历和手机号。当评审人员在系统注册并提交资料后，经评审业务员审核通过，系统将自动将其录入评审人员库。省院内部评审员关联</w:t>
            </w:r>
            <w:r>
              <w:rPr>
                <w:sz w:val="21"/>
                <w:color w:val="000000"/>
              </w:rPr>
              <w:t>HR系统读取部分信息，待评审员登陆后完善其他信息。同时，系统需要提供对评审人员库进行查询和导出操作。</w:t>
            </w:r>
          </w:p>
          <w:p>
            <w:pPr>
              <w:pStyle w:val="null3"/>
              <w:jc w:val="both"/>
            </w:pPr>
            <w:r>
              <w:rPr>
                <w:sz w:val="21"/>
                <w:color w:val="000000"/>
              </w:rPr>
              <w:t>4.申请单位人员库(焊工、技术人员、无损理化等)</w:t>
            </w:r>
          </w:p>
          <w:p>
            <w:pPr>
              <w:pStyle w:val="null3"/>
              <w:ind w:firstLine="420"/>
              <w:jc w:val="both"/>
            </w:pPr>
            <w:r>
              <w:rPr>
                <w:sz w:val="21"/>
                <w:color w:val="000000"/>
              </w:rPr>
              <w:t>申请单位人员库包含的信息有序号、任职单位、姓名、出生年月、年龄、持证项目、证书编号、职称、学历和手机号。</w:t>
            </w:r>
          </w:p>
          <w:p>
            <w:pPr>
              <w:pStyle w:val="null3"/>
              <w:ind w:firstLine="420"/>
              <w:jc w:val="both"/>
            </w:pPr>
            <w:r>
              <w:rPr>
                <w:sz w:val="21"/>
                <w:color w:val="000000"/>
              </w:rPr>
              <w:t>申请单位填写评审前所需填写的附表表格，系统自动将表格的申请单位人员信息录入申请单位人员库。</w:t>
            </w:r>
          </w:p>
          <w:p>
            <w:pPr>
              <w:pStyle w:val="null3"/>
              <w:ind w:firstLine="420"/>
              <w:jc w:val="both"/>
            </w:pPr>
            <w:r>
              <w:rPr>
                <w:sz w:val="21"/>
                <w:color w:val="000000"/>
              </w:rPr>
              <w:t>同时，系统需要提供对申请单位人员库进行查询和导出操作。</w:t>
            </w:r>
          </w:p>
          <w:p>
            <w:pPr>
              <w:pStyle w:val="null3"/>
              <w:jc w:val="both"/>
            </w:pPr>
            <w:r>
              <w:rPr>
                <w:sz w:val="21"/>
                <w:color w:val="000000"/>
              </w:rPr>
              <w:t>5.评审信息库</w:t>
            </w:r>
          </w:p>
          <w:p>
            <w:pPr>
              <w:pStyle w:val="null3"/>
              <w:ind w:firstLine="420"/>
              <w:jc w:val="both"/>
            </w:pPr>
            <w:r>
              <w:rPr>
                <w:sz w:val="21"/>
                <w:color w:val="000000"/>
              </w:rPr>
              <w:t>评审信息库的信息有序号、报告编号、申请项目、评审类别、受理日期、到期时间、申请单位名称、申请单位地址、联系人、联系电话、邮箱、约定评审时间、实际评审时间、评审人员（固定</w:t>
            </w:r>
            <w:r>
              <w:rPr>
                <w:sz w:val="21"/>
                <w:color w:val="000000"/>
              </w:rPr>
              <w:t>1个评审组长、0到4个评审员）、整改期限、提交整改时间、整改确认时间、报告审核人、报告出具时间、报告审批时间、下载报告时间（提交报告时间）和备注。评审信息库包含未评审和已评审的评审记录信息，系统自动获取。同时，系统需要提供对评审信息库进行查询导入历史数据（或手工补录）和导出操作。</w:t>
            </w:r>
          </w:p>
          <w:p>
            <w:pPr>
              <w:pStyle w:val="null3"/>
              <w:jc w:val="both"/>
            </w:pPr>
            <w:r>
              <w:rPr>
                <w:sz w:val="21"/>
                <w:color w:val="000000"/>
              </w:rPr>
              <w:t>6.接口需求</w:t>
            </w:r>
          </w:p>
          <w:p>
            <w:pPr>
              <w:pStyle w:val="null3"/>
              <w:ind w:firstLine="420"/>
              <w:jc w:val="both"/>
            </w:pPr>
            <w:r>
              <w:rPr>
                <w:sz w:val="21"/>
                <w:color w:val="000000"/>
              </w:rPr>
              <w:t>鉴定评审系统需要与广东特检院的其他系统进行接口对接，以实现广东特检验内部的信息交互和共享。具体包括：</w:t>
            </w:r>
          </w:p>
          <w:p>
            <w:pPr>
              <w:pStyle w:val="null3"/>
              <w:ind w:firstLine="420"/>
              <w:jc w:val="both"/>
            </w:pPr>
            <w:r>
              <w:rPr>
                <w:sz w:val="21"/>
                <w:color w:val="000000"/>
              </w:rPr>
              <w:t>（</w:t>
            </w:r>
            <w:r>
              <w:rPr>
                <w:sz w:val="21"/>
                <w:color w:val="000000"/>
              </w:rPr>
              <w:t>1）对接档案系统同步历史的鉴定评审信息,并将系统产生的评审记录、报告等资料和流转日志、业务等信息推送到档案系统。</w:t>
            </w:r>
          </w:p>
          <w:p>
            <w:pPr>
              <w:pStyle w:val="null3"/>
              <w:ind w:firstLine="420"/>
              <w:jc w:val="both"/>
            </w:pPr>
            <w:r>
              <w:rPr>
                <w:sz w:val="21"/>
                <w:color w:val="000000"/>
              </w:rPr>
              <w:t>（</w:t>
            </w:r>
            <w:r>
              <w:rPr>
                <w:sz w:val="21"/>
                <w:color w:val="000000"/>
              </w:rPr>
              <w:t>2）对接短信平台或企业微信实现鉴定评审的评审通知函、提交整改报告、注册登记验证等通知。</w:t>
            </w:r>
          </w:p>
          <w:p>
            <w:pPr>
              <w:pStyle w:val="null3"/>
              <w:ind w:firstLine="420"/>
              <w:jc w:val="both"/>
            </w:pPr>
            <w:r>
              <w:rPr>
                <w:sz w:val="21"/>
                <w:color w:val="000000"/>
              </w:rPr>
              <w:t>（</w:t>
            </w:r>
            <w:r>
              <w:rPr>
                <w:sz w:val="21"/>
                <w:color w:val="000000"/>
              </w:rPr>
              <w:t>3）对接电子签章系统进行评审报告等文书的电子签章。</w:t>
            </w:r>
          </w:p>
          <w:p>
            <w:pPr>
              <w:pStyle w:val="null3"/>
              <w:ind w:firstLine="420"/>
              <w:jc w:val="both"/>
            </w:pPr>
            <w:r>
              <w:rPr>
                <w:sz w:val="21"/>
                <w:color w:val="000000"/>
              </w:rPr>
              <w:t>（</w:t>
            </w:r>
            <w:r>
              <w:rPr>
                <w:sz w:val="21"/>
                <w:color w:val="000000"/>
              </w:rPr>
              <w:t>4）需要与省特检院的智慧特检云平台对接，按云平台的相关规范实现人员、组织架构的同步、单点登录和统一待办等功能。系统还需要预留功能对接作业人员考试系统进行申请单位作业人员信息同步，方便建立作业人员信息库。</w:t>
            </w:r>
          </w:p>
        </w:tc>
      </w:tr>
      <w:tr>
        <w:tc>
          <w:tcPr>
            <w:tcW w:type="dxa" w:w="2076"/>
          </w:tcPr>
          <w:p/>
        </w:tc>
        <w:tc>
          <w:tcPr>
            <w:tcW w:type="dxa" w:w="415"/>
          </w:tcPr>
          <w:p>
            <w:pPr>
              <w:pStyle w:val="null3"/>
            </w:pPr>
            <w:r>
              <w:rPr/>
              <w:t>10</w:t>
            </w:r>
          </w:p>
        </w:tc>
        <w:tc>
          <w:tcPr>
            <w:tcW w:type="dxa" w:w="5814"/>
          </w:tcPr>
          <w:p>
            <w:pPr>
              <w:pStyle w:val="null3"/>
              <w:jc w:val="left"/>
            </w:pPr>
            <w:r>
              <w:rPr>
                <w:sz w:val="21"/>
                <w:b/>
                <w:color w:val="000000"/>
              </w:rPr>
              <w:t>4.系统功能及要求</w:t>
            </w:r>
          </w:p>
          <w:p>
            <w:pPr>
              <w:pStyle w:val="null3"/>
              <w:jc w:val="left"/>
            </w:pPr>
            <w:r>
              <w:rPr>
                <w:sz w:val="21"/>
                <w:color w:val="000000"/>
              </w:rPr>
              <w:t>4.6账号管理</w:t>
            </w:r>
          </w:p>
          <w:p>
            <w:pPr>
              <w:pStyle w:val="null3"/>
              <w:ind w:firstLine="420"/>
              <w:jc w:val="both"/>
            </w:pPr>
            <w:r>
              <w:rPr>
                <w:sz w:val="21"/>
                <w:color w:val="000000"/>
              </w:rPr>
              <w:t>账号管理需求包括以下内容：</w:t>
            </w:r>
          </w:p>
          <w:p>
            <w:pPr>
              <w:pStyle w:val="null3"/>
              <w:ind w:firstLine="420"/>
              <w:jc w:val="both"/>
            </w:pPr>
            <w:r>
              <w:rPr>
                <w:sz w:val="21"/>
                <w:color w:val="000000"/>
              </w:rPr>
              <w:t>系统的主要用户机构包括申请单位、评审机构，针对不同用户提供个性化的服务和功能，确保系统的易用性和适用性。</w:t>
            </w:r>
          </w:p>
          <w:p>
            <w:pPr>
              <w:pStyle w:val="null3"/>
              <w:ind w:firstLine="420"/>
              <w:jc w:val="both"/>
            </w:pPr>
            <w:r>
              <w:rPr>
                <w:sz w:val="21"/>
                <w:color w:val="000000"/>
              </w:rPr>
              <w:t>1.申请单位账号注册</w:t>
            </w:r>
          </w:p>
          <w:p>
            <w:pPr>
              <w:pStyle w:val="null3"/>
              <w:ind w:firstLine="420"/>
              <w:jc w:val="both"/>
            </w:pPr>
            <w:r>
              <w:rPr>
                <w:sz w:val="21"/>
                <w:color w:val="000000"/>
              </w:rPr>
              <w:t>注册信息包括单位名称、统一社会信用代码、持有许可证编号、许可项目、许可证有效期、法人手机号码、密码、确认密码、短信验证，上传营业执照和电子签名。注册信息提交后由评审业务员进行审核。申请单位需使用单位名称进行登录。在收到省局委托评审的短信通知后，评审业务员应首先通过法人资源库对接，获取申请单位的基本信息，然后为其注册账号。其他发证机关委托评审的任务，申请单位联系评审时，评审业务员再通过对接法人资源库调取简单信息后先为申请单位注册账号。再由申请单位登录后（首次登录提示修改密码）完善相关信息。</w:t>
            </w:r>
          </w:p>
          <w:p>
            <w:pPr>
              <w:pStyle w:val="null3"/>
              <w:ind w:firstLine="420"/>
              <w:jc w:val="both"/>
            </w:pPr>
            <w:r>
              <w:rPr>
                <w:sz w:val="21"/>
                <w:color w:val="000000"/>
              </w:rPr>
              <w:t>2.评审人员账号注册</w:t>
            </w:r>
          </w:p>
          <w:p>
            <w:pPr>
              <w:pStyle w:val="null3"/>
              <w:ind w:firstLine="420"/>
              <w:jc w:val="both"/>
            </w:pPr>
            <w:r>
              <w:rPr>
                <w:sz w:val="21"/>
                <w:color w:val="000000"/>
              </w:rPr>
              <w:t>非省院人员的账号注册由评审业务员批量生成登录账号，然后将账号信息给到非省院的评审人员。非省院的评审人员第一次登录系统后，系统需要提示完善注册信息后才能进行其它功能操作，注册信息包括：姓名、身份证号码、手机号码，登陆后修改密码、确认密码、短信验证、上传电子签名、填写工作单位、联系方式、联系地址、评审项目、工作经历、能力相关证明文件、学历证书等信息。</w:t>
            </w:r>
          </w:p>
          <w:p>
            <w:pPr>
              <w:pStyle w:val="null3"/>
              <w:ind w:firstLine="420"/>
              <w:jc w:val="both"/>
            </w:pPr>
            <w:r>
              <w:rPr>
                <w:sz w:val="21"/>
                <w:color w:val="000000"/>
              </w:rPr>
              <w:t>省院人员无需自行注册账号，其账号信息将直接从人力资源（</w:t>
            </w:r>
            <w:r>
              <w:rPr>
                <w:sz w:val="21"/>
                <w:color w:val="000000"/>
              </w:rPr>
              <w:t>HR）系统中定时增量获取并生成，同步频率需要支持修改。评审员登陆后完善其它资料。</w:t>
            </w:r>
          </w:p>
          <w:p>
            <w:pPr>
              <w:pStyle w:val="null3"/>
              <w:ind w:firstLine="420"/>
              <w:jc w:val="both"/>
            </w:pPr>
            <w:r>
              <w:rPr>
                <w:sz w:val="21"/>
                <w:color w:val="000000"/>
              </w:rPr>
              <w:t>评审业务员需要对这些信息进行审核，如有修改，需要再次提交审核。</w:t>
            </w:r>
          </w:p>
          <w:p>
            <w:pPr>
              <w:pStyle w:val="null3"/>
              <w:ind w:firstLine="420"/>
              <w:jc w:val="both"/>
            </w:pPr>
            <w:r>
              <w:rPr>
                <w:sz w:val="21"/>
                <w:color w:val="000000"/>
              </w:rPr>
              <w:t>以上账号均可以进行密码重置操作。</w:t>
            </w:r>
          </w:p>
        </w:tc>
      </w:tr>
      <w:tr>
        <w:tc>
          <w:tcPr>
            <w:tcW w:type="dxa" w:w="2076"/>
          </w:tcPr>
          <w:p/>
        </w:tc>
        <w:tc>
          <w:tcPr>
            <w:tcW w:type="dxa" w:w="415"/>
          </w:tcPr>
          <w:p>
            <w:pPr>
              <w:pStyle w:val="null3"/>
            </w:pPr>
            <w:r>
              <w:rPr/>
              <w:t>11</w:t>
            </w:r>
          </w:p>
        </w:tc>
        <w:tc>
          <w:tcPr>
            <w:tcW w:type="dxa" w:w="5814"/>
          </w:tcPr>
          <w:p>
            <w:pPr>
              <w:pStyle w:val="null3"/>
              <w:jc w:val="left"/>
            </w:pPr>
            <w:r>
              <w:rPr>
                <w:sz w:val="21"/>
                <w:b/>
                <w:color w:val="000000"/>
              </w:rPr>
              <w:t>4.系统功能及要求</w:t>
            </w:r>
          </w:p>
          <w:p>
            <w:pPr>
              <w:pStyle w:val="null3"/>
              <w:jc w:val="left"/>
            </w:pPr>
            <w:r>
              <w:rPr>
                <w:sz w:val="21"/>
                <w:color w:val="000000"/>
              </w:rPr>
              <w:t>4.7角色管理</w:t>
            </w:r>
          </w:p>
          <w:p>
            <w:pPr>
              <w:pStyle w:val="null3"/>
              <w:ind w:firstLine="420"/>
              <w:jc w:val="both"/>
            </w:pPr>
            <w:r>
              <w:rPr>
                <w:sz w:val="21"/>
                <w:color w:val="000000"/>
              </w:rPr>
              <w:t>角色管理需求包括以下内容：</w:t>
            </w:r>
          </w:p>
          <w:p>
            <w:pPr>
              <w:pStyle w:val="null3"/>
              <w:ind w:firstLine="420"/>
              <w:jc w:val="both"/>
            </w:pPr>
            <w:r>
              <w:rPr>
                <w:sz w:val="21"/>
                <w:color w:val="000000"/>
              </w:rPr>
              <w:t>角色有：评审业务员、评审组员、评审组长、报告预审员、报告审核人、报告审批人、评审部门负责人、评审部门分管院领导。</w:t>
            </w:r>
          </w:p>
          <w:p>
            <w:pPr>
              <w:pStyle w:val="null3"/>
              <w:ind w:firstLine="420"/>
              <w:jc w:val="both"/>
            </w:pPr>
            <w:r>
              <w:rPr>
                <w:sz w:val="21"/>
                <w:color w:val="000000"/>
              </w:rPr>
              <w:t>评审业务员、评审部门负责人、分管院领导可以查看申请单位和评审员注册信息。还可以对不同角色的账号，进行新建、删除、修改、停用、权限设置等功能。</w:t>
            </w:r>
          </w:p>
        </w:tc>
      </w:tr>
      <w:tr>
        <w:tc>
          <w:tcPr>
            <w:tcW w:type="dxa" w:w="2076"/>
          </w:tcPr>
          <w:p/>
        </w:tc>
        <w:tc>
          <w:tcPr>
            <w:tcW w:type="dxa" w:w="415"/>
          </w:tcPr>
          <w:p>
            <w:pPr>
              <w:pStyle w:val="null3"/>
            </w:pPr>
            <w:r>
              <w:rPr/>
              <w:t>12</w:t>
            </w:r>
          </w:p>
        </w:tc>
        <w:tc>
          <w:tcPr>
            <w:tcW w:type="dxa" w:w="5814"/>
          </w:tcPr>
          <w:p>
            <w:pPr>
              <w:pStyle w:val="null3"/>
              <w:jc w:val="left"/>
            </w:pPr>
            <w:r>
              <w:rPr>
                <w:sz w:val="21"/>
                <w:b/>
                <w:color w:val="000000"/>
              </w:rPr>
              <w:t>4.系统功能及要求</w:t>
            </w:r>
          </w:p>
          <w:p>
            <w:pPr>
              <w:pStyle w:val="null3"/>
              <w:jc w:val="left"/>
            </w:pPr>
            <w:r>
              <w:rPr>
                <w:sz w:val="21"/>
                <w:color w:val="000000"/>
              </w:rPr>
              <w:t>4.8流程配置</w:t>
            </w:r>
          </w:p>
          <w:p>
            <w:pPr>
              <w:pStyle w:val="null3"/>
              <w:ind w:firstLine="420"/>
              <w:jc w:val="both"/>
            </w:pPr>
            <w:r>
              <w:rPr>
                <w:sz w:val="21"/>
                <w:color w:val="000000"/>
              </w:rPr>
              <w:t>流程配置需求包括以下内容：</w:t>
            </w:r>
          </w:p>
          <w:p>
            <w:pPr>
              <w:pStyle w:val="null3"/>
              <w:ind w:firstLine="420"/>
              <w:jc w:val="both"/>
            </w:pPr>
            <w:r>
              <w:rPr>
                <w:sz w:val="21"/>
                <w:color w:val="000000"/>
              </w:rPr>
              <w:t>流程配置适用于业务流程和办公自动化管理。流程由节点组成，节点指从流程抽象出来的操作组合模块。可以根据不同流程定义流程的节点数量与顺序，流程定义须进行审批。</w:t>
            </w:r>
          </w:p>
        </w:tc>
      </w:tr>
      <w:tr>
        <w:tc>
          <w:tcPr>
            <w:tcW w:type="dxa" w:w="2076"/>
          </w:tcPr>
          <w:p/>
        </w:tc>
        <w:tc>
          <w:tcPr>
            <w:tcW w:type="dxa" w:w="415"/>
          </w:tcPr>
          <w:p>
            <w:pPr>
              <w:pStyle w:val="null3"/>
            </w:pPr>
            <w:r>
              <w:rPr/>
              <w:t>13</w:t>
            </w:r>
          </w:p>
        </w:tc>
        <w:tc>
          <w:tcPr>
            <w:tcW w:type="dxa" w:w="5814"/>
          </w:tcPr>
          <w:p>
            <w:pPr>
              <w:pStyle w:val="null3"/>
              <w:jc w:val="left"/>
            </w:pPr>
            <w:r>
              <w:rPr>
                <w:sz w:val="21"/>
                <w:b/>
                <w:color w:val="000000"/>
              </w:rPr>
              <w:t>4.系统功能及要求</w:t>
            </w:r>
          </w:p>
          <w:p>
            <w:pPr>
              <w:pStyle w:val="null3"/>
              <w:jc w:val="left"/>
            </w:pPr>
            <w:r>
              <w:rPr>
                <w:sz w:val="21"/>
                <w:color w:val="000000"/>
              </w:rPr>
              <w:t>4.9模板管理</w:t>
            </w:r>
          </w:p>
          <w:p>
            <w:pPr>
              <w:pStyle w:val="null3"/>
              <w:ind w:firstLine="420"/>
              <w:jc w:val="both"/>
            </w:pPr>
            <w:r>
              <w:rPr>
                <w:sz w:val="21"/>
                <w:color w:val="000000"/>
              </w:rPr>
              <w:t>模板管理需求包括以下内容：</w:t>
            </w:r>
          </w:p>
          <w:p>
            <w:pPr>
              <w:pStyle w:val="null3"/>
              <w:ind w:firstLine="420"/>
              <w:jc w:val="both"/>
            </w:pPr>
            <w:r>
              <w:rPr>
                <w:sz w:val="21"/>
                <w:color w:val="000000"/>
              </w:rPr>
              <w:t>1.模板的基本功能</w:t>
            </w:r>
          </w:p>
          <w:p>
            <w:pPr>
              <w:pStyle w:val="null3"/>
              <w:ind w:firstLine="420"/>
              <w:jc w:val="both"/>
            </w:pPr>
            <w:r>
              <w:rPr>
                <w:sz w:val="21"/>
              </w:rPr>
              <w:t>▲</w:t>
            </w:r>
            <w:r>
              <w:rPr>
                <w:sz w:val="21"/>
                <w:color w:val="000000"/>
              </w:rPr>
              <w:t>表单模板可视化设计，基本元件界面的实现无需编码；支持高级脚本语言，提高表单填报交互体验；支持</w:t>
            </w:r>
            <w:r>
              <w:rPr>
                <w:sz w:val="21"/>
                <w:color w:val="000000"/>
              </w:rPr>
              <w:t>Word模板快速导入成表单基础模板，平均一页新模板制作和配置的时间应不超过10分钟；支持在模板上制作表格、文本、日期元件、下拉元件、复选元件、图片元件；适配本项目模板中数据项的动态变化，需支持流式布局，元件至上而下动态布局，支持模板表格行可通过数据动态生成；支持模板表格行通过重复区域动态生成；支持模板预览功能；支持表格元件的单元格内容高度自适应。</w:t>
            </w:r>
          </w:p>
          <w:p>
            <w:pPr>
              <w:pStyle w:val="null3"/>
              <w:ind w:firstLine="420"/>
              <w:jc w:val="both"/>
            </w:pPr>
            <w:r>
              <w:rPr>
                <w:sz w:val="21"/>
                <w:color w:val="000000"/>
              </w:rPr>
              <w:t>2.模板操作</w:t>
            </w:r>
          </w:p>
          <w:p>
            <w:pPr>
              <w:pStyle w:val="null3"/>
              <w:ind w:firstLine="420"/>
              <w:jc w:val="both"/>
            </w:pPr>
            <w:r>
              <w:rPr>
                <w:sz w:val="21"/>
              </w:rPr>
              <w:t>▲</w:t>
            </w:r>
            <w:r>
              <w:rPr>
                <w:sz w:val="21"/>
                <w:color w:val="000000"/>
              </w:rPr>
              <w:t>对所有表单页进行统一管理包括如下功能</w:t>
            </w:r>
            <w:r>
              <w:rPr>
                <w:sz w:val="21"/>
                <w:color w:val="000000"/>
              </w:rPr>
              <w:t>:提供导航窗口定位表单页功能；支持对表单进行导出备份/导入还原的操作；实现表单类型、名称等基本信息的增改查等维护；实现表单页的分级分目录管理,方便归类查找；提供历史表单模板页归档功能；提供审阅数据历史记录功能，可记录、查看修订过程。</w:t>
            </w:r>
          </w:p>
          <w:p>
            <w:pPr>
              <w:pStyle w:val="null3"/>
              <w:ind w:firstLine="420"/>
              <w:jc w:val="both"/>
            </w:pPr>
            <w:r>
              <w:rPr>
                <w:sz w:val="21"/>
                <w:color w:val="000000"/>
              </w:rPr>
              <w:t>3.文书录入与打印要求</w:t>
            </w:r>
          </w:p>
          <w:p>
            <w:pPr>
              <w:pStyle w:val="null3"/>
              <w:ind w:firstLine="420"/>
              <w:jc w:val="both"/>
            </w:pPr>
            <w:r>
              <w:rPr>
                <w:sz w:val="21"/>
                <w:color w:val="000000"/>
              </w:rPr>
              <w:t>为了提高用户对系统打印报告、记录等文书的可读性和视觉体验，要求系统默认的打印格式能够确保生成或打印的文书完整、整洁、美观，包括合适的排版、字体、字号、间距等版式调节。同时，系统需要支持人工调整文书的排版、字体、字号、间距等版式调节（报告审批后，只需要进行格式调节，不允许对报告进行增加、删除、修改等内容修订操作）。</w:t>
            </w:r>
          </w:p>
        </w:tc>
      </w:tr>
      <w:tr>
        <w:tc>
          <w:tcPr>
            <w:tcW w:type="dxa" w:w="2076"/>
          </w:tcPr>
          <w:p/>
        </w:tc>
        <w:tc>
          <w:tcPr>
            <w:tcW w:type="dxa" w:w="415"/>
          </w:tcPr>
          <w:p>
            <w:pPr>
              <w:pStyle w:val="null3"/>
            </w:pPr>
            <w:r>
              <w:rPr/>
              <w:t>14</w:t>
            </w:r>
          </w:p>
        </w:tc>
        <w:tc>
          <w:tcPr>
            <w:tcW w:type="dxa" w:w="5814"/>
          </w:tcPr>
          <w:p>
            <w:pPr>
              <w:pStyle w:val="null3"/>
              <w:jc w:val="left"/>
            </w:pPr>
            <w:r>
              <w:rPr>
                <w:sz w:val="21"/>
                <w:b/>
              </w:rPr>
              <w:t>4.系统功能及要求</w:t>
            </w:r>
          </w:p>
          <w:p>
            <w:pPr>
              <w:pStyle w:val="null3"/>
              <w:jc w:val="left"/>
            </w:pPr>
            <w:r>
              <w:rPr>
                <w:sz w:val="21"/>
              </w:rPr>
              <w:t>4.10查询统计</w:t>
            </w:r>
          </w:p>
          <w:p>
            <w:pPr>
              <w:pStyle w:val="null3"/>
              <w:ind w:firstLine="420"/>
              <w:jc w:val="both"/>
            </w:pPr>
            <w:r>
              <w:rPr>
                <w:sz w:val="21"/>
              </w:rPr>
              <w:t>查询统计需求包括以下内容：</w:t>
            </w:r>
          </w:p>
          <w:p>
            <w:pPr>
              <w:pStyle w:val="null3"/>
              <w:ind w:firstLine="420"/>
              <w:jc w:val="both"/>
            </w:pPr>
            <w:r>
              <w:rPr>
                <w:sz w:val="21"/>
              </w:rPr>
              <w:t>1.申请单位查看功能</w:t>
            </w:r>
          </w:p>
          <w:p>
            <w:pPr>
              <w:pStyle w:val="null3"/>
              <w:ind w:firstLine="420"/>
              <w:jc w:val="both"/>
            </w:pPr>
            <w:r>
              <w:rPr>
                <w:sz w:val="21"/>
              </w:rPr>
              <w:t>鉴定评审指南、评审通知函、评审进度（包括接收申请资料、资料审核、评审约请、现场鉴定评审、问题整改、报告审核审批）、评审机构联系方式等。</w:t>
            </w:r>
          </w:p>
          <w:p>
            <w:pPr>
              <w:pStyle w:val="null3"/>
              <w:ind w:firstLine="420"/>
              <w:jc w:val="both"/>
            </w:pPr>
            <w:r>
              <w:rPr>
                <w:sz w:val="21"/>
              </w:rPr>
              <w:t>2.评审机构查询、统计、分析功能</w:t>
            </w:r>
          </w:p>
          <w:p>
            <w:pPr>
              <w:pStyle w:val="null3"/>
              <w:ind w:firstLine="420"/>
              <w:jc w:val="both"/>
            </w:pPr>
            <w:r>
              <w:rPr>
                <w:sz w:val="21"/>
              </w:rPr>
              <w:t>系统根据申请单位资料形成台账，提供综合查询功能，业务流程进度查询、评审员工作量统计、申请单位从业人员资质比对查询、报告回退问题记录表、申请单位现场评审备忘录问题汇总表、评审项目汇总表等。其中表格可以导出为</w:t>
            </w:r>
            <w:r>
              <w:rPr>
                <w:sz w:val="21"/>
              </w:rPr>
              <w:t>Excel。</w:t>
            </w:r>
          </w:p>
        </w:tc>
      </w:tr>
      <w:tr>
        <w:tc>
          <w:tcPr>
            <w:tcW w:type="dxa" w:w="2076"/>
          </w:tcPr>
          <w:p/>
        </w:tc>
        <w:tc>
          <w:tcPr>
            <w:tcW w:type="dxa" w:w="415"/>
          </w:tcPr>
          <w:p>
            <w:pPr>
              <w:pStyle w:val="null3"/>
            </w:pPr>
            <w:r>
              <w:rPr/>
              <w:t>15</w:t>
            </w:r>
          </w:p>
        </w:tc>
        <w:tc>
          <w:tcPr>
            <w:tcW w:type="dxa" w:w="5814"/>
          </w:tcPr>
          <w:p>
            <w:pPr>
              <w:pStyle w:val="null3"/>
              <w:jc w:val="left"/>
            </w:pPr>
            <w:r>
              <w:rPr>
                <w:sz w:val="21"/>
                <w:b/>
              </w:rPr>
              <w:t>4.系统功能及要求</w:t>
            </w:r>
          </w:p>
          <w:p>
            <w:pPr>
              <w:pStyle w:val="null3"/>
              <w:jc w:val="left"/>
            </w:pPr>
            <w:r>
              <w:rPr>
                <w:sz w:val="21"/>
              </w:rPr>
              <w:t>4.11数据自动统计</w:t>
            </w:r>
          </w:p>
          <w:p>
            <w:pPr>
              <w:pStyle w:val="null3"/>
              <w:ind w:firstLine="420"/>
              <w:jc w:val="both"/>
            </w:pPr>
            <w:r>
              <w:rPr>
                <w:sz w:val="21"/>
              </w:rPr>
              <w:t>数据自动统计需求包括以下内容：</w:t>
            </w:r>
          </w:p>
          <w:p>
            <w:pPr>
              <w:pStyle w:val="null3"/>
              <w:ind w:firstLine="420"/>
              <w:jc w:val="both"/>
            </w:pPr>
            <w:r>
              <w:rPr>
                <w:sz w:val="21"/>
              </w:rPr>
              <w:t>▲</w:t>
            </w:r>
            <w:r>
              <w:rPr>
                <w:sz w:val="21"/>
              </w:rPr>
              <w:t>根据项目需求，需要实现记录和报告数据的自动统计功能，具体要求为：一是根据人员信息表的人员种类和级别等属性，系统应能够自动对人员进行分类统计，并展示各个种类和级别的人员数量和占比等信息。二是根据设备设施数量表中的设备设施名称，系统应能够自动对设备进行分类统计，并展示各个设备设施名称的设备数量和占比等信息。三是根据评审内容的审查结果（符合、需要整改、不适用），系统应能够自动对评审内容进行分类统计，并展示各个审查结果的评审内容数量和占比等信息。四是评审工作备忘录中发现的问题需要按照资源条件、质量保证体系、保障特种设备安全性能的能力三类分类统计问题，生成数据统计表。五是报告预审、审核、审批发现的问题需要按照资源条件、质量保证体系、保障特种设备安全性能的能力、其它四类分类统计，生成数据统计表。</w:t>
            </w:r>
          </w:p>
        </w:tc>
      </w:tr>
      <w:tr>
        <w:tc>
          <w:tcPr>
            <w:tcW w:type="dxa" w:w="2076"/>
          </w:tcPr>
          <w:p/>
        </w:tc>
        <w:tc>
          <w:tcPr>
            <w:tcW w:type="dxa" w:w="415"/>
          </w:tcPr>
          <w:p>
            <w:pPr>
              <w:pStyle w:val="null3"/>
            </w:pPr>
            <w:r>
              <w:rPr/>
              <w:t>16</w:t>
            </w:r>
          </w:p>
        </w:tc>
        <w:tc>
          <w:tcPr>
            <w:tcW w:type="dxa" w:w="5814"/>
          </w:tcPr>
          <w:p>
            <w:pPr>
              <w:pStyle w:val="null3"/>
              <w:jc w:val="left"/>
            </w:pPr>
            <w:r>
              <w:rPr>
                <w:sz w:val="21"/>
                <w:b/>
              </w:rPr>
              <w:t>4.系统功能及要求</w:t>
            </w:r>
          </w:p>
          <w:p>
            <w:pPr>
              <w:pStyle w:val="null3"/>
              <w:jc w:val="left"/>
            </w:pPr>
            <w:r>
              <w:rPr>
                <w:sz w:val="21"/>
              </w:rPr>
              <w:t>4.12提醒管理</w:t>
            </w:r>
          </w:p>
          <w:p>
            <w:pPr>
              <w:pStyle w:val="null3"/>
              <w:ind w:firstLine="420"/>
              <w:jc w:val="both"/>
            </w:pPr>
            <w:r>
              <w:rPr>
                <w:sz w:val="21"/>
              </w:rPr>
              <w:t>提醒管理需求包括以下内容：</w:t>
            </w:r>
          </w:p>
          <w:p>
            <w:pPr>
              <w:pStyle w:val="null3"/>
              <w:ind w:firstLine="420"/>
              <w:jc w:val="both"/>
            </w:pPr>
            <w:r>
              <w:rPr>
                <w:sz w:val="21"/>
              </w:rPr>
              <w:t>对接短信平台或企业微信，实现鉴定评审工作的及时通知。首先对接短信平台，并为后续接入企业微信预留接口。具体功能包括：</w:t>
            </w:r>
          </w:p>
          <w:p>
            <w:pPr>
              <w:pStyle w:val="null3"/>
              <w:ind w:firstLine="420"/>
              <w:jc w:val="both"/>
            </w:pPr>
            <w:r>
              <w:rPr>
                <w:sz w:val="21"/>
              </w:rPr>
              <w:t>1.通过短信提醒许可证有效期不足6个月的申请单位提交评审申请，并要求短信回执。</w:t>
            </w:r>
          </w:p>
          <w:p>
            <w:pPr>
              <w:pStyle w:val="null3"/>
              <w:ind w:firstLine="420"/>
              <w:jc w:val="both"/>
            </w:pPr>
            <w:r>
              <w:rPr>
                <w:sz w:val="21"/>
              </w:rPr>
              <w:t>2.向申请单位和评审员发送评审通知函的短信通知。</w:t>
            </w:r>
          </w:p>
          <w:p>
            <w:pPr>
              <w:pStyle w:val="null3"/>
              <w:ind w:firstLine="420"/>
              <w:jc w:val="both"/>
            </w:pPr>
            <w:r>
              <w:rPr>
                <w:sz w:val="21"/>
              </w:rPr>
              <w:t>3.及时提醒申请单位提交整改报告。</w:t>
            </w:r>
          </w:p>
          <w:p>
            <w:pPr>
              <w:pStyle w:val="null3"/>
              <w:ind w:firstLine="420"/>
              <w:jc w:val="both"/>
            </w:pPr>
            <w:r>
              <w:rPr>
                <w:sz w:val="21"/>
              </w:rPr>
              <w:t>4.参加评审任务的评审员所在的省院部门负责人或直属院院长可收到短信提醒，提醒登录评审系统查看相关人员的评审通知函。</w:t>
            </w:r>
          </w:p>
          <w:p>
            <w:pPr>
              <w:pStyle w:val="null3"/>
              <w:ind w:firstLine="420"/>
              <w:jc w:val="both"/>
            </w:pPr>
            <w:r>
              <w:rPr>
                <w:sz w:val="21"/>
              </w:rPr>
              <w:t>注意：当一个直属院每周的任务安排有多位评审员参加，该直属院院长只收到一条信息提醒。</w:t>
            </w:r>
          </w:p>
        </w:tc>
      </w:tr>
      <w:tr>
        <w:tc>
          <w:tcPr>
            <w:tcW w:type="dxa" w:w="2076"/>
          </w:tcPr>
          <w:p/>
        </w:tc>
        <w:tc>
          <w:tcPr>
            <w:tcW w:type="dxa" w:w="415"/>
          </w:tcPr>
          <w:p>
            <w:pPr>
              <w:pStyle w:val="null3"/>
            </w:pPr>
            <w:r>
              <w:rPr/>
              <w:t>17</w:t>
            </w:r>
          </w:p>
        </w:tc>
        <w:tc>
          <w:tcPr>
            <w:tcW w:type="dxa" w:w="5814"/>
          </w:tcPr>
          <w:p>
            <w:pPr>
              <w:pStyle w:val="null3"/>
              <w:jc w:val="left"/>
            </w:pPr>
            <w:r>
              <w:rPr>
                <w:sz w:val="21"/>
                <w:b/>
                <w:color w:val="000000"/>
              </w:rPr>
              <w:t>5</w:t>
            </w:r>
            <w:r>
              <w:rPr>
                <w:sz w:val="21"/>
                <w:b/>
                <w:color w:val="000000"/>
              </w:rPr>
              <w:t>.</w:t>
            </w:r>
            <w:r>
              <w:rPr>
                <w:sz w:val="21"/>
                <w:b/>
                <w:color w:val="000000"/>
              </w:rPr>
              <w:t>技术平台要求</w:t>
            </w:r>
          </w:p>
          <w:p>
            <w:pPr>
              <w:pStyle w:val="null3"/>
              <w:jc w:val="both"/>
            </w:pPr>
            <w:r>
              <w:rPr>
                <w:sz w:val="21"/>
              </w:rPr>
              <w:t>5.1架构要求</w:t>
            </w:r>
          </w:p>
          <w:p>
            <w:pPr>
              <w:pStyle w:val="null3"/>
              <w:ind w:firstLine="420"/>
              <w:jc w:val="both"/>
            </w:pPr>
            <w:r>
              <w:rPr>
                <w:sz w:val="21"/>
              </w:rPr>
              <w:t>为了满足系统的高可靠性、可伸缩性和可维护性等需求，需要采用微服务架构。以下是具体要求：</w:t>
            </w:r>
          </w:p>
          <w:p>
            <w:pPr>
              <w:pStyle w:val="null3"/>
              <w:ind w:firstLine="420"/>
              <w:jc w:val="both"/>
            </w:pPr>
            <w:r>
              <w:rPr>
                <w:sz w:val="21"/>
              </w:rPr>
              <w:t>1.模块化设计</w:t>
            </w:r>
          </w:p>
          <w:p>
            <w:pPr>
              <w:pStyle w:val="null3"/>
              <w:ind w:firstLine="420"/>
              <w:jc w:val="both"/>
            </w:pPr>
            <w:r>
              <w:rPr>
                <w:sz w:val="21"/>
              </w:rPr>
              <w:t>系统将被拆分为多个独立部署的微服务模块，每个模块负责执行特定的功能。例如，用户管理、评审流程管理可以作为独立的微服务模块。</w:t>
            </w:r>
          </w:p>
          <w:p>
            <w:pPr>
              <w:pStyle w:val="null3"/>
              <w:ind w:firstLine="420"/>
              <w:jc w:val="both"/>
            </w:pPr>
            <w:r>
              <w:rPr>
                <w:sz w:val="21"/>
              </w:rPr>
              <w:t>2.松耦合通信</w:t>
            </w:r>
          </w:p>
          <w:p>
            <w:pPr>
              <w:pStyle w:val="null3"/>
              <w:ind w:firstLine="420"/>
              <w:jc w:val="both"/>
            </w:pPr>
            <w:r>
              <w:rPr>
                <w:sz w:val="21"/>
              </w:rPr>
              <w:t>微服务之间使用轻量级的通信机制进行交互，例如采用</w:t>
            </w:r>
            <w:r>
              <w:rPr>
                <w:sz w:val="21"/>
              </w:rPr>
              <w:t>RESTful API或消息队列。模块之间的通信应该具备灵活性和可扩展性，并且能够容错处理。</w:t>
            </w:r>
          </w:p>
          <w:p>
            <w:pPr>
              <w:pStyle w:val="null3"/>
              <w:ind w:firstLine="420"/>
              <w:jc w:val="both"/>
            </w:pPr>
            <w:r>
              <w:rPr>
                <w:sz w:val="21"/>
              </w:rPr>
              <w:t>3.安全性</w:t>
            </w:r>
          </w:p>
          <w:p>
            <w:pPr>
              <w:pStyle w:val="null3"/>
              <w:ind w:firstLine="420"/>
              <w:jc w:val="both"/>
            </w:pPr>
            <w:r>
              <w:rPr>
                <w:sz w:val="21"/>
              </w:rPr>
              <w:t>微服务之间的通信和数据传输需要通过合适的安全机制进行保护，例如使用</w:t>
            </w:r>
            <w:r>
              <w:rPr>
                <w:sz w:val="21"/>
              </w:rPr>
              <w:t>HTTPS协议和身份验证授权机制。同时，可以采用微服务间鉴权、访问控制和数据加密等措施来加强系统的安全性。</w:t>
            </w:r>
          </w:p>
          <w:p>
            <w:pPr>
              <w:pStyle w:val="null3"/>
              <w:jc w:val="both"/>
            </w:pPr>
            <w:r>
              <w:rPr>
                <w:sz w:val="21"/>
              </w:rPr>
              <w:t>5.2服务端运行环境要求</w:t>
            </w:r>
          </w:p>
          <w:p>
            <w:pPr>
              <w:pStyle w:val="null3"/>
              <w:ind w:firstLine="420"/>
              <w:jc w:val="both"/>
            </w:pPr>
            <w:r>
              <w:rPr>
                <w:sz w:val="21"/>
              </w:rPr>
              <w:t>支持国产的服务器、操作系统、数据库、中间件，具体选型在建设过程中由采购人指定。操作系统不限于麒麟、统信；数据库不限于达梦、人大金仓；中间件不限于金蝶天燕、宝兰德、东方通；同时支持国外主流开源的服务器、操作系统、数据库、中间件。</w:t>
            </w:r>
          </w:p>
          <w:p>
            <w:pPr>
              <w:pStyle w:val="null3"/>
              <w:jc w:val="left"/>
            </w:pPr>
            <w:r>
              <w:rPr>
                <w:sz w:val="21"/>
                <w:color w:val="000000"/>
              </w:rPr>
              <w:t>5.3客户端访问环境要求</w:t>
            </w:r>
          </w:p>
          <w:p>
            <w:pPr>
              <w:pStyle w:val="null3"/>
              <w:ind w:firstLine="420"/>
              <w:jc w:val="both"/>
            </w:pPr>
            <w:r>
              <w:rPr>
                <w:sz w:val="21"/>
              </w:rPr>
              <w:t>客户端操作系统：</w:t>
            </w:r>
            <w:r>
              <w:rPr>
                <w:sz w:val="21"/>
              </w:rPr>
              <w:t>适</w:t>
            </w:r>
            <w:r>
              <w:rPr>
                <w:sz w:val="21"/>
              </w:rPr>
              <w:t>配但不限于以下国产主流桌面操作系统及服务器操作系统：银河麒麟（</w:t>
            </w:r>
            <w:r>
              <w:rPr>
                <w:sz w:val="21"/>
              </w:rPr>
              <w:t>V10及以上版本）、UOS统信、方德操作系统等；适配Windows桌面操作系统的各版本。</w:t>
            </w:r>
          </w:p>
          <w:p>
            <w:pPr>
              <w:pStyle w:val="null3"/>
              <w:ind w:firstLine="420"/>
              <w:jc w:val="both"/>
            </w:pPr>
            <w:r>
              <w:rPr>
                <w:sz w:val="21"/>
              </w:rPr>
              <w:t>客户端浏览器：</w:t>
            </w:r>
            <w:r>
              <w:rPr>
                <w:sz w:val="21"/>
              </w:rPr>
              <w:t>适配但不限于</w:t>
            </w:r>
            <w:r>
              <w:rPr>
                <w:sz w:val="21"/>
              </w:rPr>
              <w:t>统信</w:t>
            </w:r>
            <w:r>
              <w:rPr>
                <w:sz w:val="21"/>
              </w:rPr>
              <w:t>UOS浏览器、360安全浏览器、谷歌浏览器、火狐浏览器、Windows自带浏览器等国内外浏览器。</w:t>
            </w:r>
          </w:p>
          <w:p>
            <w:pPr>
              <w:pStyle w:val="null3"/>
              <w:ind w:firstLine="420"/>
              <w:jc w:val="both"/>
            </w:pPr>
            <w:r>
              <w:rPr>
                <w:sz w:val="21"/>
              </w:rPr>
              <w:t>流式软件：</w:t>
            </w:r>
            <w:r>
              <w:rPr>
                <w:sz w:val="21"/>
              </w:rPr>
              <w:t>适配但不限于</w:t>
            </w:r>
            <w:r>
              <w:rPr>
                <w:sz w:val="21"/>
              </w:rPr>
              <w:t>WPS（金山办公）、Microsoft Word等国内外流式软件。</w:t>
            </w:r>
          </w:p>
          <w:p>
            <w:pPr>
              <w:pStyle w:val="null3"/>
              <w:ind w:firstLine="420"/>
              <w:jc w:val="both"/>
            </w:pPr>
            <w:r>
              <w:rPr>
                <w:sz w:val="21"/>
              </w:rPr>
              <w:t>OFD版式软件：</w:t>
            </w:r>
            <w:r>
              <w:rPr>
                <w:sz w:val="21"/>
              </w:rPr>
              <w:t>适配但不限于</w:t>
            </w:r>
            <w:r>
              <w:rPr>
                <w:sz w:val="21"/>
              </w:rPr>
              <w:t>福昕软件（福昕鲲鹏）、金山办公（数科网维）、</w:t>
            </w:r>
            <w:r>
              <w:rPr>
                <w:sz w:val="21"/>
              </w:rPr>
              <w:t>Adobe等国内外OFD版式软件。</w:t>
            </w:r>
          </w:p>
          <w:p>
            <w:pPr>
              <w:pStyle w:val="null3"/>
              <w:jc w:val="both"/>
            </w:pPr>
            <w:r>
              <w:rPr>
                <w:sz w:val="21"/>
              </w:rPr>
              <w:t>5.4基础硬件配置</w:t>
            </w:r>
          </w:p>
          <w:p>
            <w:pPr>
              <w:pStyle w:val="null3"/>
              <w:ind w:firstLine="420"/>
              <w:jc w:val="both"/>
            </w:pPr>
            <w:r>
              <w:rPr>
                <w:sz w:val="21"/>
              </w:rPr>
              <w:t>基础硬件配置要求如下：采购人提供两台或更多满足以上配置要求的服务器设备和带宽要求的网络，并确保这些设备具有稳定可靠的硬件性能和网络连接。服务器和带宽的具体配置为：</w:t>
            </w:r>
            <w:r>
              <w:rPr>
                <w:sz w:val="21"/>
              </w:rPr>
              <w:t>CPU为16 vCPUs或以上，内存为16G或以上，存储为512G或以上，带宽为10Mbps以上互联网访问。</w:t>
            </w:r>
          </w:p>
          <w:p>
            <w:pPr>
              <w:pStyle w:val="null3"/>
              <w:jc w:val="both"/>
            </w:pPr>
            <w:r>
              <w:rPr>
                <w:sz w:val="21"/>
              </w:rPr>
              <w:t>5.5性能要求</w:t>
            </w:r>
          </w:p>
          <w:p>
            <w:pPr>
              <w:pStyle w:val="null3"/>
              <w:ind w:firstLine="420"/>
              <w:jc w:val="both"/>
            </w:pPr>
            <w:r>
              <w:rPr>
                <w:sz w:val="21"/>
              </w:rPr>
              <w:t>要求最大线程并发指标不低于</w:t>
            </w:r>
            <w:r>
              <w:rPr>
                <w:sz w:val="21"/>
              </w:rPr>
              <w:t>100，平均反应时间不超过5秒，最大负载反应时间不超过10秒，系统软硬件整体及其功能模块能够稳定运作，软件系统可用率不低于99.8%。</w:t>
            </w:r>
          </w:p>
          <w:p>
            <w:pPr>
              <w:pStyle w:val="null3"/>
              <w:jc w:val="both"/>
            </w:pPr>
            <w:r>
              <w:rPr>
                <w:sz w:val="21"/>
              </w:rPr>
              <w:t>5.6安全性要求</w:t>
            </w:r>
          </w:p>
          <w:p>
            <w:pPr>
              <w:pStyle w:val="null3"/>
              <w:ind w:firstLine="420"/>
              <w:jc w:val="both"/>
            </w:pPr>
            <w:r>
              <w:rPr>
                <w:sz w:val="21"/>
              </w:rPr>
              <w:t>本项目软件系统满足以下安全要求：</w:t>
            </w:r>
          </w:p>
          <w:p>
            <w:pPr>
              <w:pStyle w:val="null3"/>
              <w:ind w:firstLine="420"/>
              <w:jc w:val="both"/>
            </w:pPr>
            <w:r>
              <w:rPr>
                <w:sz w:val="21"/>
              </w:rPr>
              <w:t>1.符合国家信息系统安全等级保护（二级）的相关要求。</w:t>
            </w:r>
          </w:p>
          <w:p>
            <w:pPr>
              <w:pStyle w:val="null3"/>
              <w:ind w:firstLine="420"/>
              <w:jc w:val="both"/>
            </w:pPr>
            <w:r>
              <w:rPr>
                <w:sz w:val="21"/>
              </w:rPr>
              <w:t>2.身份认证：基于账号密码进行身份认证，实现用户的身份认证，并确保信息的完整性和来源合法性。</w:t>
            </w:r>
          </w:p>
          <w:p>
            <w:pPr>
              <w:pStyle w:val="null3"/>
              <w:ind w:firstLine="420"/>
              <w:jc w:val="both"/>
            </w:pPr>
            <w:r>
              <w:rPr>
                <w:sz w:val="21"/>
              </w:rPr>
              <w:t>3.数据保密性：将账号、密码、身份证号、手机号和家庭住址、金融账户等敏感信息进行加密处理，确保在数据存储、传输和处理过程中，只有授权人员能够解密和访问数据内容。</w:t>
            </w:r>
          </w:p>
          <w:p>
            <w:pPr>
              <w:pStyle w:val="null3"/>
              <w:ind w:firstLine="420"/>
              <w:jc w:val="both"/>
            </w:pPr>
            <w:r>
              <w:rPr>
                <w:sz w:val="21"/>
              </w:rPr>
              <w:t>4.访问控制：采用基于角色管理的系统访问控制策略。对于系统资源的访问，将根据用户的角色进行相应的授权，通过动态更改用户的角色，灵活控制资源的访问策略，并通过角色之间的关联体现用户之间的授权机制，提供方便的授权/取消机制和检查机制。</w:t>
            </w:r>
          </w:p>
          <w:p>
            <w:pPr>
              <w:pStyle w:val="null3"/>
              <w:jc w:val="both"/>
            </w:pPr>
            <w:r>
              <w:rPr>
                <w:sz w:val="21"/>
                <w:b/>
              </w:rPr>
              <w:t>6</w:t>
            </w:r>
            <w:r>
              <w:rPr>
                <w:sz w:val="21"/>
                <w:b/>
              </w:rPr>
              <w:t>.</w:t>
            </w:r>
            <w:r>
              <w:rPr>
                <w:sz w:val="21"/>
                <w:b/>
              </w:rPr>
              <w:t>源代码等要求</w:t>
            </w:r>
          </w:p>
          <w:p>
            <w:pPr>
              <w:pStyle w:val="null3"/>
              <w:jc w:val="both"/>
            </w:pPr>
            <w:r>
              <w:rPr>
                <w:sz w:val="21"/>
              </w:rPr>
              <w:t xml:space="preserve">       提供系统全部二次开发代码给采购人。允许采购人进行二次开发，可提供二次开发规范、开发工具、资料及各种合理的协助。</w:t>
            </w:r>
          </w:p>
        </w:tc>
      </w:tr>
      <w:tr>
        <w:tc>
          <w:tcPr>
            <w:tcW w:type="dxa" w:w="2076"/>
          </w:tcPr>
          <w:p/>
        </w:tc>
        <w:tc>
          <w:tcPr>
            <w:tcW w:type="dxa" w:w="415"/>
          </w:tcPr>
          <w:p>
            <w:pPr>
              <w:pStyle w:val="null3"/>
            </w:pPr>
            <w:r>
              <w:rPr/>
              <w:t>18</w:t>
            </w:r>
          </w:p>
        </w:tc>
        <w:tc>
          <w:tcPr>
            <w:tcW w:type="dxa" w:w="5814"/>
          </w:tcPr>
          <w:p>
            <w:pPr>
              <w:pStyle w:val="null3"/>
              <w:jc w:val="left"/>
            </w:pPr>
            <w:r>
              <w:rPr>
                <w:sz w:val="21"/>
                <w:b/>
                <w:color w:val="000000"/>
              </w:rPr>
              <w:t>7</w:t>
            </w:r>
            <w:r>
              <w:rPr>
                <w:sz w:val="21"/>
                <w:b/>
                <w:color w:val="000000"/>
              </w:rPr>
              <w:t>.</w:t>
            </w:r>
            <w:r>
              <w:rPr>
                <w:sz w:val="21"/>
                <w:b/>
                <w:color w:val="000000"/>
              </w:rPr>
              <w:t>培训要求</w:t>
            </w:r>
          </w:p>
          <w:p>
            <w:pPr>
              <w:pStyle w:val="null3"/>
              <w:ind w:firstLine="420"/>
              <w:jc w:val="both"/>
            </w:pPr>
            <w:r>
              <w:rPr>
                <w:sz w:val="21"/>
              </w:rPr>
              <w:t>1.培训对象包括：①.系统使用人员、②.系统维护人员</w:t>
            </w:r>
          </w:p>
          <w:p>
            <w:pPr>
              <w:pStyle w:val="null3"/>
              <w:ind w:firstLine="420"/>
              <w:jc w:val="both"/>
            </w:pPr>
            <w:r>
              <w:rPr>
                <w:sz w:val="21"/>
              </w:rPr>
              <w:t>2.培训方式：集中现场培训、材料辅助</w:t>
            </w:r>
          </w:p>
          <w:p>
            <w:pPr>
              <w:pStyle w:val="null3"/>
              <w:ind w:firstLine="420"/>
              <w:jc w:val="both"/>
            </w:pPr>
            <w:r>
              <w:rPr>
                <w:sz w:val="21"/>
              </w:rPr>
              <w:t>3.培训内容：系统部署维护、系统运行管理、系统应用功能使用</w:t>
            </w:r>
          </w:p>
          <w:p>
            <w:pPr>
              <w:pStyle w:val="null3"/>
              <w:ind w:firstLine="420"/>
              <w:jc w:val="both"/>
            </w:pPr>
            <w:r>
              <w:rPr>
                <w:sz w:val="21"/>
              </w:rPr>
              <w:t>4.培训地点：采购人指定</w:t>
            </w:r>
          </w:p>
          <w:p>
            <w:pPr>
              <w:pStyle w:val="null3"/>
              <w:ind w:firstLine="420"/>
              <w:jc w:val="both"/>
            </w:pPr>
            <w:r>
              <w:rPr>
                <w:sz w:val="21"/>
              </w:rPr>
              <w:t>5.培训时间及次数：根据项目进展情况具体安排</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采购包2（特种设备大屏建设项目）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自合同签订之日起四个月内完成项目主要功能开发，项目终验合格后提供一年系统维保期。</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本项目合同签署生效后10日内，中标人向采购人支付合同总价5%的履约保证金，采购人在收到中标人提供的合同总价30%的增值税专用发票后，10个工作日内向中标人支付合同总价的30%作为本项目预付款；</w:t>
            </w:r>
          </w:p>
          <w:p>
            <w:pPr>
              <w:pStyle w:val="null3"/>
            </w:pPr>
            <w:r>
              <w:rPr/>
              <w:t>2期：支付比例70%,通过采购人组织的验收合格后，采购人收到中标人开具的合同总价70%的增值税专用发票后，10个工作日内由采购人向中标人支付合同总价的70%。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1期：1.交付验收标准依次序对照适用标准为： （1）符合中华人民共和国国家安全质量标准、环保标准或行业标准； （2）符合采购文件和响应承诺中采购人认可的合理最佳配置、参数及各项要求； 2.采购人组成验收小组按国家有关规定、规范，对照合同约定进行验收，必要时邀请相关的专业人员或机构参与验收。 3.验收时如发现所提供的服务不符合用户要求规定之情形者，采购人应作出详尽的现场记录，或由采购人、中标人双方签署备忘录。 4.验收材料包括以下内容： （1）按照合同本身及其技术协议等附件约定的所有文件和文档。 （2）根据招标文件所编写的投标文件中所标明的软件模块，及相关技术维护文档、培训教材、使用说明书及双方协商认为必要的材料。 5.采购人组织验收，对中标人提供的项目成果和验收资料进行核实，并做好验收记录，验收记录与验收材料共同组成验收报告作为本项目支付的条件。 6.项目终验，本项目成果符合验收标准，且系统在试运行期间稳定运行，试运行结束后，中标人应以书面形式向采购人提出项目终验申请,采购人应在收到该申请的7日内组织终验。 7.如果验收不合格的，采购人有权作更换或退回处理，并由中标人承担全部费用。</w:t>
            </w:r>
          </w:p>
        </w:tc>
      </w:tr>
      <w:tr>
        <w:tc>
          <w:tcPr>
            <w:tcW w:type="dxa" w:w="4153"/>
          </w:tcPr>
          <w:p>
            <w:pPr>
              <w:pStyle w:val="null3"/>
            </w:pPr>
            <w:r>
              <w:rPr/>
              <w:t>履约保证金</w:t>
            </w:r>
          </w:p>
        </w:tc>
        <w:tc>
          <w:tcPr>
            <w:tcW w:type="dxa" w:w="4153"/>
          </w:tcPr>
          <w:p>
            <w:pPr>
              <w:pStyle w:val="null3"/>
            </w:pPr>
            <w:r>
              <w:rPr/>
              <w:t>收取比例：5%,说明：说明： (一)提交说明 1.时间：合同签订之日起10日内； 2.金额：合同总金额的5%； 3.方式：支票、汇票、本票、转账、银行履约保函； (二)退还说明： 1.时间、方式和条件：本合同履行期间中标人无违约行为，项目验收合格以及运维服务完成，并经采购人确认平台无质量问题后，采购人在收到中标人提出申请退还履约保证金后15日内退回中标人的履约保证金（履约保证金不计利息）或履约保函失效。 2.采购人逾期退还履约保证金的，除应当退还履约保证金本金外，还应当每日按合同总价的万分之一向中标人偿付违约金，但因中标人自身原因导致无法及时退还的除外。 3.中标人违反合同及其附件约定的任何义务，采购人有权在履约保证金中直接扣除中标人应向采购人支付的违约金或损失赔偿额，如有不足的，中标人应对超过的部分予以赔偿。并自发生扣除次日开始，10个日历日内补齐履约保证金的金额至约定的总额。 （三）不予退还的情形： 1.中标人将本项目进行分包或转包给他人； 2.在履行合同期间，中标人提前终止本项目合同； 3.在履行合同期间，中标人因在经营活动中存在违法被吊销营业执照或相关许可，导致本项目合同无法继续履行的。</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报价要求，投标人的投标报价包含本项目采购文件《采购需求》要求的全部内容、技术协议的全部内容，包含但不限于投标人成本费、雇员费（包括但不限于人员工资、褔利等）、交通费、场地费、税金（全额含税发票）以及项目实施过程中其它应预见和不可预见费用等完成本采购项目的一切费用。投标报价超出本采购包预算金额（最高限价）的，将导致其投标无效。</w:t>
            </w:r>
          </w:p>
          <w:p>
            <w:pPr>
              <w:pStyle w:val="null3"/>
            </w:pPr>
            <w:r>
              <w:rPr/>
              <w:t>（二）合同履行期限及履行地点，1.合同履行期限：自合同签订之日起四个月内完成项目主要功能开发，项目终验合格后提供一年系统维保期。 2.履行地点：采购人指定地点。</w:t>
            </w:r>
          </w:p>
          <w:p>
            <w:pPr>
              <w:pStyle w:val="null3"/>
            </w:pPr>
            <w:r>
              <w:rPr/>
              <w:t>（三）维保期及售后服务，1.系统维保期：系统的维保期为项目通过验收之日起1年。维保期内所有软件维保服务费用（包括人工、交通等费用）由中标人承担。 2.维保期内，中标人需保障平台运行的稳定性，所提供的软件在使用中出现的问题，能够提供7x24小时的技术响应支持，包括但不限于热线支持、现场支撑以及远程协助等服务方式。若软件出现故障影响正常使用，中标人应在工作日内2小时内予以回复，需现场处理的问题4小时内到现场解决排除故障。投标人需提供售后服务方案（包含但不限于服务范围、服务内容、服务方式、服务水平等）。 3.在维保期内，提供软件产品改正性维护，即在软件使用过程中识别和纠正软件错误，改正软件性能缺陷。 4.培训要求： （1）培训总则 中标人必须提供高水平的培训，培训内容、时间及相关安排与采购人协商，在征得采购人同意后方可实施。培训应包括平台的部署、使用、维护等。投标人需提供培训方案（包括但不限于总体培训计划、内容、课时、师资情况等）。 对于所有培训，中标人须派出具有相应专业资格和实际工作经验的培训教员进行培训，所有的培训教员必须用中文授课，除非有其它的协议规定。 中标人必须为所有被培训人员提供培训用文字资料和讲义等相关用品。 （2）培训内容要求 中标人负责制定培训教材、培训课程以及时间表，并明确提供系统管理、用户操作、系统部署维护、项目维护等方面的培训内容。需针对不同用户角色安排不同的培训课程，并提供运维手册、用户操作手册，并发送到各个使用单位。 （3）培训费用 所有培训费用（含培训教材费）及各项支出已计入合同总价，采购人不再支付任何费用。</w:t>
            </w:r>
          </w:p>
          <w:p>
            <w:pPr>
              <w:pStyle w:val="null3"/>
            </w:pPr>
            <w:r>
              <w:rPr/>
              <w:t>（四）服务要求，1.根据本项目建设目标和项目建设功能要求开发一套规范化、自动化、智能化的大数据可视化平台，并用可视化平台搭建广东省特检院特种设备数据大屏，为管理决策、科学决策提供数据支持。 2.投标人应有自主研发能力，具有自主研究的可视化产品，具有自主研发的BI报表功能。 3.投标人需提供项目实施方案（包括但不限于实施进度、工期保证措施、安全控制措施、实施质量控制方案等）。</w:t>
            </w:r>
          </w:p>
          <w:p>
            <w:pPr>
              <w:pStyle w:val="null3"/>
            </w:pPr>
            <w:r>
              <w:rPr/>
              <w:t>（五）服务标准，符合《行政事业单位内部控制规范（试行）》（财会〔2012〕21号）单位经济活动的内部控制要求和《政府会计制度》改革的要求。</w:t>
            </w:r>
          </w:p>
          <w:p>
            <w:pPr>
              <w:pStyle w:val="null3"/>
            </w:pPr>
            <w:r>
              <w:rPr/>
              <w:t>（六），本项目合同模板及相关条款，以本项目采购文件“第五章 合同文本”为准。</w:t>
            </w:r>
          </w:p>
          <w:p>
            <w:pPr>
              <w:pStyle w:val="null3"/>
            </w:pPr>
            <w:r>
              <w:rPr/>
              <w:t>（七），本项目对供应商的服务质量要求高、对企业实力及体系标准有较高要求，要求供应商在企业标准化工作体系、流程、企业信用信誉、服务质量、履约能力、企业体系认证管理等方面应完善、规范，并获得相关认证。</w:t>
            </w:r>
          </w:p>
          <w:p>
            <w:pPr>
              <w:pStyle w:val="null3"/>
            </w:pPr>
            <w:r>
              <w:rPr/>
              <w:t>（八）演示要求，1.演示人数：一般不超过 2 人（含授权委托代表） 2.演示时间：不得超过20分钟。 3.演示设备：投影仪投标现场已具备，投标人不需另行准备，电脑等设备投标人自带，同时须考虑设备与投标现场设备的兼容性。 4.演示方式：实际系统或原型演示。 5.演示顺序：按投标人在广东省政府采购网的签到顺序。 6.演示内容 6.1投标人演示的内容不得与本项目的采购需求的内容无关。 6.2演示内容 系统功能演示要求包括但不限于： （1）快速搭建可视化大屏（过程要求体现但不限于以下功能：C/S设计器、数据集成、智慧布局）； （2）替换可视化大屏中某个组件的样式（过程要求体现但不限于以下功能：UI组件库、组件复用、一键切换主题风格）； （3）人机交互实现跳转、下钻数据（过程要求体现但不限于以下功能：高级交互、钻取联动、点击跳转）； （4）平台BI功能演示（过程要求体现但不限于以下功能：报表&amp;参数查询、仪表板、自定义地图、BI平台管理功能等）。</w:t>
            </w:r>
          </w:p>
          <w:p>
            <w:pPr>
              <w:pStyle w:val="null3"/>
            </w:pPr>
            <w:r>
              <w:rPr/>
              <w:t>（九）知识产权要求，1.本项目不会引起任何已申请、登记的知识产权所有权的转移。 2.投标人、采购人双方一致同意，投标人为履行本合同义务所形成的服务成果的知识产权归采购人所有。 3.本合同所涉及的数据所有权归采购人所有，中标人只能用于履行本合同之义务。 4.中标人提供的相关软件应是自行开发的产品或具备合法、合规授权，满足知识产权等方面的有关规定和要求。 5.中标人保证向采购人提供的服务成果是其独立实施完成，不存在任何侵犯第三方专利权、商标权、著作权等合法权益。如因中标人提供的服务成果侵犯任何第三方的合法权益，导致该第三方追究采购人责任的，中标人应负责解决并赔偿因此给采购人造成的全部损失。</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行业应用软件开发服务</w:t>
            </w:r>
          </w:p>
        </w:tc>
        <w:tc>
          <w:tcPr>
            <w:tcW w:type="dxa" w:w="933"/>
          </w:tcPr>
          <w:p>
            <w:pPr>
              <w:pStyle w:val="null3"/>
              <w:jc w:val="left"/>
            </w:pPr>
            <w:r>
              <w:rPr/>
              <w:t>特种设备大屏建设项目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500,000.00</w:t>
            </w:r>
          </w:p>
        </w:tc>
        <w:tc>
          <w:tcPr>
            <w:tcW w:type="dxa" w:w="933"/>
          </w:tcPr>
          <w:p>
            <w:pPr>
              <w:pStyle w:val="null3"/>
              <w:jc w:val="right"/>
            </w:pPr>
            <w:r>
              <w:rPr/>
              <w:t>500,000.00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特种设备大屏建设项目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1.项目背景</w:t>
            </w:r>
          </w:p>
          <w:p>
            <w:pPr>
              <w:pStyle w:val="null3"/>
              <w:ind w:firstLine="420"/>
              <w:jc w:val="left"/>
            </w:pPr>
            <w:r>
              <w:rPr>
                <w:sz w:val="21"/>
                <w:color w:val="000000"/>
              </w:rPr>
              <w:t>广东省特种设备大数据研究平台自建设投用以来，已成为我院对外宣传、信息公开和人机交互的重要渠道，是对外展示我院整体实力的首要窗口。但目前该平台展示的内容仅有简单几项关键指标，图形结构单一，数据内容较为分散、不够具体，而且平台的系统架构陈旧，难以运维和升级改造，已不能满足我院对外宣传的需求。特别是机构改革以来，存在较多领导莅临我院视察的现状，提出了较多升级改进的建议。</w:t>
            </w:r>
          </w:p>
          <w:p>
            <w:pPr>
              <w:pStyle w:val="null3"/>
              <w:ind w:firstLine="420"/>
              <w:jc w:val="left"/>
            </w:pPr>
            <w:r>
              <w:rPr>
                <w:sz w:val="21"/>
                <w:color w:val="000000"/>
              </w:rPr>
              <w:t>随着近几年我院的业务发展和信息化水平的提高，各业务系统每天产出大量的数据，且数据类型多、体量大。数据可视化是数据内在价值的最终呈现手段，通过利用各类图表、趋势图和渲染效果将巨大的、复杂的、枯燥的数据展现出来，以便获得更深的洞察力、更好的决策力以及更强的自动化处理能力。通过正确的数据抽取和数据挖掘，得到有价值的信息，并进行可视化展示，可让管理人员更加全面认识数据，更加直观的理解数据，也有利于更好地发现问题。建设特种设备大屏对于提升我院的组织决策判断力、整合优化我院信息资源和服务、提高决策人员的工作效率等具有重要意义。因此，重新建设特种设备大屏可视化平台具有必要性。</w:t>
            </w:r>
          </w:p>
        </w:tc>
      </w:tr>
      <w:tr>
        <w:tc>
          <w:tcPr>
            <w:tcW w:type="dxa" w:w="2076"/>
          </w:tcPr>
          <w:p/>
        </w:tc>
        <w:tc>
          <w:tcPr>
            <w:tcW w:type="dxa" w:w="415"/>
          </w:tcPr>
          <w:p>
            <w:pPr>
              <w:pStyle w:val="null3"/>
            </w:pPr>
            <w:r>
              <w:rPr/>
              <w:t>2</w:t>
            </w:r>
          </w:p>
        </w:tc>
        <w:tc>
          <w:tcPr>
            <w:tcW w:type="dxa" w:w="5814"/>
          </w:tcPr>
          <w:p>
            <w:pPr>
              <w:pStyle w:val="null3"/>
              <w:jc w:val="both"/>
            </w:pPr>
            <w:r>
              <w:rPr>
                <w:sz w:val="21"/>
                <w:b/>
              </w:rPr>
              <w:t>2.项目目标</w:t>
            </w:r>
          </w:p>
          <w:p>
            <w:pPr>
              <w:pStyle w:val="null3"/>
              <w:jc w:val="both"/>
            </w:pPr>
            <w:r>
              <w:rPr>
                <w:sz w:val="21"/>
                <w:color w:val="000000"/>
              </w:rPr>
              <w:t xml:space="preserve">       通过大数据可视化平台，打破信息孤岛，整合特种设备数据以及与其关联的数据资源，以大屏综合展示的方式，实现满足广东省特检院特种设备数据可视化集成呈现需求。通过建成省特检院数据大屏，及时跟踪、掌握和监控特种设备的总体状况、业务发展趋势和安全质量，并为管理决策、科学决策提供数据支持，推进智慧特检的管理和发展。</w:t>
            </w:r>
          </w:p>
        </w:tc>
      </w:tr>
      <w:tr>
        <w:tc>
          <w:tcPr>
            <w:tcW w:type="dxa" w:w="2076"/>
          </w:tcPr>
          <w:p/>
        </w:tc>
        <w:tc>
          <w:tcPr>
            <w:tcW w:type="dxa" w:w="415"/>
          </w:tcPr>
          <w:p>
            <w:pPr>
              <w:pStyle w:val="null3"/>
            </w:pPr>
            <w:r>
              <w:rPr/>
              <w:t>3</w:t>
            </w:r>
          </w:p>
        </w:tc>
        <w:tc>
          <w:tcPr>
            <w:tcW w:type="dxa" w:w="5814"/>
          </w:tcPr>
          <w:p>
            <w:pPr>
              <w:pStyle w:val="null3"/>
              <w:jc w:val="both"/>
            </w:pPr>
            <w:r>
              <w:rPr>
                <w:sz w:val="21"/>
                <w:b/>
              </w:rPr>
              <w:t>3.项目建设范围</w:t>
            </w:r>
          </w:p>
          <w:p>
            <w:pPr>
              <w:pStyle w:val="null3"/>
              <w:jc w:val="both"/>
            </w:pPr>
            <w:r>
              <w:rPr>
                <w:sz w:val="21"/>
              </w:rPr>
              <w:t>3.1 项目建设内容</w:t>
            </w:r>
          </w:p>
          <w:p>
            <w:pPr>
              <w:pStyle w:val="null3"/>
              <w:ind w:firstLine="420"/>
              <w:jc w:val="both"/>
            </w:pPr>
            <w:r>
              <w:rPr>
                <w:sz w:val="21"/>
              </w:rPr>
              <w:t>本期的项目建设的内容为：</w:t>
            </w:r>
          </w:p>
          <w:tbl>
            <w:tblPr>
              <w:tblInd w:type="dxa" w:w="120"/>
              <w:tblBorders>
                <w:top w:val="none" w:color="000000" w:sz="4"/>
                <w:left w:val="none" w:color="000000" w:sz="4"/>
                <w:bottom w:val="none" w:color="000000" w:sz="4"/>
                <w:right w:val="none" w:color="000000" w:sz="4"/>
                <w:insideH w:val="none"/>
                <w:insideV w:val="none"/>
              </w:tblBorders>
            </w:tblPr>
            <w:tblGrid>
              <w:gridCol w:w="465"/>
              <w:gridCol w:w="1947"/>
              <w:gridCol w:w="3174"/>
            </w:tblGrid>
            <w:tr>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9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需求项</w:t>
                  </w:r>
                </w:p>
              </w:tc>
              <w:tc>
                <w:tcPr>
                  <w:tcW w:type="dxa" w:w="3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需求描述</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pPr>
                  <w:r>
                    <w:rPr>
                      <w:sz w:val="21"/>
                    </w:rPr>
                    <w:t>1</w:t>
                  </w:r>
                </w:p>
              </w:tc>
              <w:tc>
                <w:tcPr>
                  <w:tcW w:type="dxa" w:w="1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大数据可视化平台</w:t>
                  </w:r>
                </w:p>
              </w:tc>
              <w:tc>
                <w:tcPr>
                  <w:tcW w:type="dxa" w:w="3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搭建规范化、自动化、智能化的大数据可视化平台，包括数据汇集、数据可视化、基础管理等功能模块，具体需求详见本采购包采购需求中</w:t>
                  </w:r>
                  <w:r>
                    <w:rPr>
                      <w:sz w:val="21"/>
                    </w:rPr>
                    <w:t>“4.1”。</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pPr>
                  <w:r>
                    <w:rPr>
                      <w:sz w:val="21"/>
                    </w:rPr>
                    <w:t>2</w:t>
                  </w:r>
                </w:p>
              </w:tc>
              <w:tc>
                <w:tcPr>
                  <w:tcW w:type="dxa" w:w="1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数据大屏</w:t>
                  </w:r>
                </w:p>
              </w:tc>
              <w:tc>
                <w:tcPr>
                  <w:tcW w:type="dxa" w:w="3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制作广东省级的特种设备数据大屏，包括智慧特检</w:t>
                  </w:r>
                  <w:r>
                    <w:rPr>
                      <w:sz w:val="21"/>
                    </w:rPr>
                    <w:t>·全院、智慧特检•分院、业务发展专题、隐患分析专题等4个主题，具体需求详见本采购包采购需求中“4.2”和“4.3”。</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3</w:t>
                  </w:r>
                </w:p>
              </w:tc>
              <w:tc>
                <w:tcPr>
                  <w:tcW w:type="dxa" w:w="1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总技术要求</w:t>
                  </w:r>
                </w:p>
              </w:tc>
              <w:tc>
                <w:tcPr>
                  <w:tcW w:type="dxa" w:w="3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包括服务端运行环境、客户端运行环境、基础硬件配置、安全性等要求，详见本采购包采购需求中</w:t>
                  </w:r>
                  <w:r>
                    <w:rPr>
                      <w:sz w:val="21"/>
                    </w:rPr>
                    <w:t>“5.总技术要求”。</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4</w:t>
                  </w:r>
                </w:p>
              </w:tc>
              <w:tc>
                <w:tcPr>
                  <w:tcW w:type="dxa" w:w="1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总服务需求</w:t>
                  </w:r>
                </w:p>
              </w:tc>
              <w:tc>
                <w:tcPr>
                  <w:tcW w:type="dxa" w:w="3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包括实施要求、交付文档要求，具体需求详见本采购包采购需求中</w:t>
                  </w:r>
                  <w:r>
                    <w:rPr>
                      <w:sz w:val="21"/>
                    </w:rPr>
                    <w:t>“6.总服务需求”。</w:t>
                  </w:r>
                </w:p>
              </w:tc>
            </w:tr>
          </w:tbl>
          <w:p>
            <w:pPr>
              <w:pStyle w:val="null3"/>
              <w:jc w:val="both"/>
            </w:pPr>
            <w:r>
              <w:rPr>
                <w:sz w:val="21"/>
                <w:color w:val="000000"/>
              </w:rPr>
              <w:t>备注：以上实施内容名称不一定需要完全一样，但功能要符合系统功能要求里面的内容，具体功能参照系统功能要求部分。</w:t>
            </w:r>
          </w:p>
        </w:tc>
      </w:tr>
      <w:tr>
        <w:tc>
          <w:tcPr>
            <w:tcW w:type="dxa" w:w="2076"/>
          </w:tcPr>
          <w:p/>
        </w:tc>
        <w:tc>
          <w:tcPr>
            <w:tcW w:type="dxa" w:w="415"/>
          </w:tcPr>
          <w:p>
            <w:pPr>
              <w:pStyle w:val="null3"/>
            </w:pPr>
            <w:r>
              <w:rPr/>
              <w:t>4</w:t>
            </w:r>
          </w:p>
        </w:tc>
        <w:tc>
          <w:tcPr>
            <w:tcW w:type="dxa" w:w="5814"/>
          </w:tcPr>
          <w:p>
            <w:pPr>
              <w:pStyle w:val="null3"/>
              <w:jc w:val="both"/>
            </w:pPr>
            <w:r>
              <w:rPr>
                <w:sz w:val="21"/>
                <w:b/>
              </w:rPr>
              <w:t>3.项目建设范围</w:t>
            </w:r>
          </w:p>
          <w:p>
            <w:pPr>
              <w:pStyle w:val="null3"/>
              <w:jc w:val="both"/>
            </w:pPr>
            <w:r>
              <w:rPr>
                <w:sz w:val="21"/>
              </w:rPr>
              <w:t>3.2实施组织范围</w:t>
            </w:r>
          </w:p>
          <w:p>
            <w:pPr>
              <w:pStyle w:val="null3"/>
              <w:jc w:val="both"/>
            </w:pPr>
            <w:r>
              <w:rPr>
                <w:sz w:val="21"/>
                <w:color w:val="000000"/>
              </w:rPr>
              <w:t>本期项目建设的组织范围为：广东省特检院。</w:t>
            </w:r>
          </w:p>
        </w:tc>
      </w:tr>
      <w:tr>
        <w:tc>
          <w:tcPr>
            <w:tcW w:type="dxa" w:w="2076"/>
          </w:tcPr>
          <w:p/>
        </w:tc>
        <w:tc>
          <w:tcPr>
            <w:tcW w:type="dxa" w:w="415"/>
          </w:tcPr>
          <w:p>
            <w:pPr>
              <w:pStyle w:val="null3"/>
            </w:pPr>
            <w:r>
              <w:rPr/>
              <w:t>5</w:t>
            </w:r>
          </w:p>
        </w:tc>
        <w:tc>
          <w:tcPr>
            <w:tcW w:type="dxa" w:w="5814"/>
          </w:tcPr>
          <w:p>
            <w:pPr>
              <w:pStyle w:val="null3"/>
              <w:jc w:val="both"/>
            </w:pPr>
            <w:r>
              <w:rPr>
                <w:sz w:val="21"/>
                <w:b/>
              </w:rPr>
              <w:t>4.功能要求</w:t>
            </w:r>
          </w:p>
          <w:p>
            <w:pPr>
              <w:pStyle w:val="null3"/>
              <w:ind w:firstLine="420"/>
              <w:jc w:val="left"/>
            </w:pPr>
            <w:r>
              <w:rPr>
                <w:sz w:val="21"/>
                <w:color w:val="000000"/>
              </w:rPr>
              <w:t>要求提供并使用规范化、自动化、智能化的大数据可视化平台搭建特种设备大屏，主要通过地图、饼图、折线图、柱形图、面积图、条形图等多种样式的图形和高性能、高渲染质量进行数据展示，以实现高效、美观易用的特种设备数据可视化分析，让特检数据内在价值得到最大的呈现。</w:t>
            </w:r>
          </w:p>
          <w:p>
            <w:pPr>
              <w:pStyle w:val="null3"/>
              <w:jc w:val="left"/>
            </w:pPr>
            <w:r>
              <w:rPr>
                <w:sz w:val="21"/>
                <w:b/>
                <w:color w:val="000000"/>
              </w:rPr>
              <w:t xml:space="preserve">4.1 </w:t>
            </w:r>
            <w:r>
              <w:rPr>
                <w:sz w:val="21"/>
                <w:b/>
                <w:color w:val="000000"/>
              </w:rPr>
              <w:t>平台功能要求</w:t>
            </w:r>
          </w:p>
          <w:p>
            <w:pPr>
              <w:pStyle w:val="null3"/>
              <w:ind w:firstLine="420"/>
              <w:jc w:val="left"/>
            </w:pPr>
            <w:r>
              <w:rPr>
                <w:sz w:val="21"/>
                <w:color w:val="000000"/>
              </w:rPr>
              <w:t>搭建大数据可视化平台，平台应满足以下功能要求：</w:t>
            </w:r>
          </w:p>
          <w:tbl>
            <w:tblPr>
              <w:tblInd w:type="dxa" w:w="120"/>
              <w:tblBorders>
                <w:top w:val="none" w:color="000000" w:sz="4"/>
                <w:left w:val="none" w:color="000000" w:sz="4"/>
                <w:bottom w:val="none" w:color="000000" w:sz="4"/>
                <w:right w:val="none" w:color="000000" w:sz="4"/>
                <w:insideH w:val="none"/>
                <w:insideV w:val="none"/>
              </w:tblBorders>
            </w:tblPr>
            <w:tblGrid>
              <w:gridCol w:w="453"/>
              <w:gridCol w:w="474"/>
              <w:gridCol w:w="948"/>
              <w:gridCol w:w="3655"/>
            </w:tblGrid>
            <w:tr>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一级功能</w:t>
                  </w:r>
                </w:p>
              </w:tc>
              <w:tc>
                <w:tcPr>
                  <w:tcW w:type="dxa" w:w="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二级功能</w:t>
                  </w:r>
                </w:p>
              </w:tc>
              <w:tc>
                <w:tcPr>
                  <w:tcW w:type="dxa" w:w="3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功能要求描述</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数据汇集</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数据集成</w:t>
                  </w: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具备界面化数据管理能力，支持多种数据来源接入，可以快速方便的加载数据，包含但不限于达梦、</w:t>
                  </w:r>
                  <w:r>
                    <w:rPr>
                      <w:sz w:val="21"/>
                    </w:rPr>
                    <w:t>OceanBase、OpenGauss、Gbase、TDSQL等国产数据库、Oracle、Mysql、SQL Server、PostgreSQL等主流数据库、EXCEL\CSV\TXT</w:t>
                  </w:r>
                  <w:r>
                    <w:rPr>
                      <w:sz w:val="21"/>
                    </w:rPr>
                    <w:t>\</w:t>
                  </w:r>
                  <w:r>
                    <w:rPr>
                      <w:sz w:val="21"/>
                    </w:rPr>
                    <w:t>Log\Xml等本地数据源。</w:t>
                  </w:r>
                  <w:r>
                    <w:rPr>
                      <w:sz w:val="21"/>
                    </w:rPr>
                    <w:t>支持内置数据集，数据直接内建在模板文件中。</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74"/>
                  <w:vMerge/>
                  <w:tcBorders>
                    <w:top w:val="none" w:color="000000" w:sz="4"/>
                    <w:left w:val="single" w:color="000000" w:sz="4"/>
                    <w:bottom w:val="single" w:color="000000" w:sz="4"/>
                    <w:right w:val="single" w:color="000000" w:sz="4"/>
                  </w:tcBorders>
                </w:tcPr>
                <w:p/>
              </w:tc>
              <w:tc>
                <w:tcPr>
                  <w:tcW w:type="dxa" w:w="9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数据处理</w:t>
                  </w: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支持多个表的数据进行关联和定义。针对组件或模板，有明确的数据接入示例，以便用户高效快速地接入数据。</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74"/>
                  <w:vMerge/>
                  <w:tcBorders>
                    <w:top w:val="none" w:color="000000" w:sz="4"/>
                    <w:left w:val="single" w:color="000000" w:sz="4"/>
                    <w:bottom w:val="single" w:color="000000" w:sz="4"/>
                    <w:right w:val="single" w:color="000000" w:sz="4"/>
                  </w:tcBorders>
                </w:tcPr>
                <w:p/>
              </w:tc>
              <w:tc>
                <w:tcPr>
                  <w:tcW w:type="dxa" w:w="948"/>
                  <w:vMerge/>
                  <w:tcBorders>
                    <w:top w:val="none" w:color="000000" w:sz="4"/>
                    <w:left w:val="single" w:color="000000" w:sz="4"/>
                    <w:bottom w:val="single" w:color="000000" w:sz="4"/>
                    <w:right w:val="single" w:color="000000" w:sz="4"/>
                  </w:tcBorders>
                </w:tcP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支持基于多维度对数据进行多角度展示和灵活动态分析，实现数据下钻和数据联动跳转。</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74"/>
                  <w:vMerge/>
                  <w:tcBorders>
                    <w:top w:val="none" w:color="000000" w:sz="4"/>
                    <w:left w:val="single" w:color="000000" w:sz="4"/>
                    <w:bottom w:val="single" w:color="000000" w:sz="4"/>
                    <w:right w:val="single" w:color="000000" w:sz="4"/>
                  </w:tcBorders>
                </w:tcPr>
                <w:p/>
              </w:tc>
              <w:tc>
                <w:tcPr>
                  <w:tcW w:type="dxa" w:w="948"/>
                  <w:vMerge/>
                  <w:tcBorders>
                    <w:top w:val="none" w:color="000000" w:sz="4"/>
                    <w:left w:val="single" w:color="000000" w:sz="4"/>
                    <w:bottom w:val="single" w:color="000000" w:sz="4"/>
                    <w:right w:val="single" w:color="000000" w:sz="4"/>
                  </w:tcBorders>
                </w:tcP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内置函数公式，包括但不限于数学和三角函数、文本函数、日期、时间函数、逻辑函数、数据函数、报表函数等。且可根据业务需求用</w:t>
                  </w:r>
                  <w:r>
                    <w:rPr>
                      <w:sz w:val="21"/>
                    </w:rPr>
                    <w:t>JAVA二次开发自定义公式。</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74"/>
                  <w:vMerge/>
                  <w:tcBorders>
                    <w:top w:val="none" w:color="000000" w:sz="4"/>
                    <w:left w:val="single" w:color="000000" w:sz="4"/>
                    <w:bottom w:val="single" w:color="000000" w:sz="4"/>
                    <w:right w:val="single" w:color="000000" w:sz="4"/>
                  </w:tcBorders>
                </w:tcPr>
                <w:p/>
              </w:tc>
              <w:tc>
                <w:tcPr>
                  <w:tcW w:type="dxa" w:w="948"/>
                  <w:vMerge/>
                  <w:tcBorders>
                    <w:top w:val="none" w:color="000000" w:sz="4"/>
                    <w:left w:val="single" w:color="000000" w:sz="4"/>
                    <w:bottom w:val="single" w:color="000000" w:sz="4"/>
                    <w:right w:val="single" w:color="000000" w:sz="4"/>
                  </w:tcBorders>
                </w:tcP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支持</w:t>
                  </w:r>
                  <w:r>
                    <w:rPr>
                      <w:sz w:val="21"/>
                    </w:rPr>
                    <w:t>SQL输入、处理数据，SQL代码语法提示和自动补全。</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74"/>
                  <w:vMerge/>
                  <w:tcBorders>
                    <w:top w:val="none" w:color="000000" w:sz="4"/>
                    <w:left w:val="single" w:color="000000" w:sz="4"/>
                    <w:bottom w:val="single" w:color="000000" w:sz="4"/>
                    <w:right w:val="single" w:color="000000" w:sz="4"/>
                  </w:tcBorders>
                </w:tcP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数据响应</w:t>
                  </w: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每个组件应允许自定义和配置数据更新频率，支持超大数据量的查询性能，秒级响应。</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数据可视化</w:t>
                  </w:r>
                </w:p>
              </w:tc>
              <w:tc>
                <w:tcPr>
                  <w:tcW w:type="dxa" w:w="9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智慧布局</w:t>
                  </w: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实现大屏幕布局简单灵活的拖拉拽快捷设计，模版开发所见即所得以及个性化的设计需求。</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74"/>
                  <w:vMerge/>
                  <w:tcBorders>
                    <w:top w:val="none" w:color="000000" w:sz="4"/>
                    <w:left w:val="single" w:color="000000" w:sz="4"/>
                    <w:bottom w:val="single" w:color="000000" w:sz="4"/>
                    <w:right w:val="single" w:color="000000" w:sz="4"/>
                  </w:tcBorders>
                </w:tcPr>
                <w:p/>
              </w:tc>
              <w:tc>
                <w:tcPr>
                  <w:tcW w:type="dxa" w:w="948"/>
                  <w:vMerge/>
                  <w:tcBorders>
                    <w:top w:val="none" w:color="000000" w:sz="4"/>
                    <w:left w:val="single" w:color="000000" w:sz="4"/>
                    <w:bottom w:val="single" w:color="000000" w:sz="4"/>
                    <w:right w:val="single" w:color="000000" w:sz="4"/>
                  </w:tcBorders>
                </w:tcP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支持多种模板自适应属性（包括双向自适应、横向自适应、字体自适应等），支持制作一张模板，即可在</w:t>
                  </w:r>
                  <w:r>
                    <w:rPr>
                      <w:sz w:val="21"/>
                    </w:rPr>
                    <w:t>PC、大屏、平板、手机等不同终端下自适应展示，无需重复建设。</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74"/>
                  <w:vMerge/>
                  <w:tcBorders>
                    <w:top w:val="none" w:color="000000" w:sz="4"/>
                    <w:left w:val="single" w:color="000000" w:sz="4"/>
                    <w:bottom w:val="single" w:color="000000" w:sz="4"/>
                    <w:right w:val="single" w:color="000000" w:sz="4"/>
                  </w:tcBorders>
                </w:tcP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高级交互</w:t>
                  </w: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提供多种灵活的人机交互方式，可实现通过平板触屏或语音识别进行跳转、</w:t>
                  </w:r>
                  <w:r>
                    <w:rPr>
                      <w:sz w:val="21"/>
                    </w:rPr>
                    <w:t>下钻数据和弹窗等</w:t>
                  </w:r>
                  <w:r>
                    <w:rPr>
                      <w:sz w:val="21"/>
                    </w:rPr>
                    <w:t>。</w:t>
                  </w:r>
                  <w:r>
                    <w:rPr>
                      <w:sz w:val="21"/>
                    </w:rPr>
                    <w:t>支持数据监控刷新、闪烁变化、数据点自动提示等。</w:t>
                  </w:r>
                </w:p>
                <w:p>
                  <w:pPr>
                    <w:pStyle w:val="null3"/>
                    <w:jc w:val="both"/>
                  </w:pPr>
                  <w:r>
                    <w:rPr>
                      <w:sz w:val="21"/>
                    </w:rPr>
                    <w:t>支持图表联动（点击图表中数据，其余图表或单元格数据变化；或移动到某个区域能显示该区域的数据）、监控刷新（数据库中数据变化时，图表对应动态变化）和闪烁动画（闪烁显示某些重要图形或指标）。</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74"/>
                  <w:vMerge/>
                  <w:tcBorders>
                    <w:top w:val="none" w:color="000000" w:sz="4"/>
                    <w:left w:val="single" w:color="000000" w:sz="4"/>
                    <w:bottom w:val="single" w:color="000000" w:sz="4"/>
                    <w:right w:val="single" w:color="000000" w:sz="4"/>
                  </w:tcBorders>
                </w:tcP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UI组件库</w:t>
                  </w: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具有丰富多样、炫酷美观的</w:t>
                  </w:r>
                  <w:r>
                    <w:rPr>
                      <w:sz w:val="21"/>
                    </w:rPr>
                    <w:t>自研图表</w:t>
                  </w:r>
                  <w:r>
                    <w:rPr>
                      <w:sz w:val="21"/>
                    </w:rPr>
                    <w:t>组件和大屏模板，组件和模板定期更新升级。包括但不限于</w:t>
                  </w:r>
                  <w:r>
                    <w:rPr>
                      <w:sz w:val="21"/>
                    </w:rPr>
                    <w:t>3D动画图、</w:t>
                  </w:r>
                  <w:r>
                    <w:rPr>
                      <w:sz w:val="21"/>
                    </w:rPr>
                    <w:t>折线图、面积图、柱形图、条形图、多层饼图、堆积雷达图、词云、</w:t>
                  </w:r>
                  <w:r>
                    <w:rPr>
                      <w:sz w:val="21"/>
                    </w:rPr>
                    <w:t>力学气泡图、</w:t>
                  </w:r>
                  <w:r>
                    <w:rPr>
                      <w:sz w:val="21"/>
                    </w:rPr>
                    <w:t>矩形树图在内的等多种</w:t>
                  </w:r>
                  <w:r>
                    <w:rPr>
                      <w:sz w:val="21"/>
                    </w:rPr>
                    <w:t>UI组件。支持天气预报、实时时间、视频播放、滚动轮播图片或新闻等模块。</w:t>
                  </w:r>
                  <w:r>
                    <w:rPr>
                      <w:sz w:val="21"/>
                    </w:rPr>
                    <w:t>支持在系统内直接配置自定义地图。</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74"/>
                  <w:vMerge/>
                  <w:tcBorders>
                    <w:top w:val="none" w:color="000000" w:sz="4"/>
                    <w:left w:val="single" w:color="000000" w:sz="4"/>
                    <w:bottom w:val="single" w:color="000000" w:sz="4"/>
                    <w:right w:val="single" w:color="000000" w:sz="4"/>
                  </w:tcBorders>
                </w:tcP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组件复用</w:t>
                  </w: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具有较好的便捷性、稳定性、可扩展性和复用性，图表更换样式便捷，组件模板能够快速复用、替换数据。</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74"/>
                  <w:vMerge/>
                  <w:tcBorders>
                    <w:top w:val="none" w:color="000000" w:sz="4"/>
                    <w:left w:val="single" w:color="000000" w:sz="4"/>
                    <w:bottom w:val="single" w:color="000000" w:sz="4"/>
                    <w:right w:val="single" w:color="000000" w:sz="4"/>
                  </w:tcBorders>
                </w:tcP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扩展组件</w:t>
                  </w: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支持图表等组件、模板二次开发，包括生成与共享本地组件、下载与复用组件和模板、导入第三方开源图表如</w:t>
                  </w:r>
                  <w:r>
                    <w:rPr>
                      <w:sz w:val="21"/>
                    </w:rPr>
                    <w:t>Echarts等方式新增组件或模板。</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4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基础管理</w:t>
                  </w:r>
                </w:p>
              </w:tc>
              <w:tc>
                <w:tcPr>
                  <w:tcW w:type="dxa" w:w="9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资源管理</w:t>
                  </w: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具有项目管理、组件管理和模板管理等资源管理功能，允许用户建设不同项目来搭建可视化大屏，通过自定义管理各类组件、模板。</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74"/>
                  <w:vMerge/>
                  <w:tcBorders>
                    <w:top w:val="none" w:color="000000" w:sz="4"/>
                    <w:left w:val="single" w:color="000000" w:sz="4"/>
                    <w:bottom w:val="single" w:color="000000" w:sz="4"/>
                    <w:right w:val="single" w:color="000000" w:sz="4"/>
                  </w:tcBorders>
                </w:tcPr>
                <w:p/>
              </w:tc>
              <w:tc>
                <w:tcPr>
                  <w:tcW w:type="dxa" w:w="948"/>
                  <w:vMerge/>
                  <w:tcBorders>
                    <w:top w:val="none" w:color="000000" w:sz="4"/>
                    <w:left w:val="single" w:color="000000" w:sz="4"/>
                    <w:bottom w:val="single" w:color="000000" w:sz="4"/>
                    <w:right w:val="single" w:color="000000" w:sz="4"/>
                  </w:tcBorders>
                </w:tcP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▲支持模板版本管理，支持对任意模板保存任意多个历史版本，并支持从任意历史版本还原。</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74"/>
                  <w:vMerge/>
                  <w:tcBorders>
                    <w:top w:val="none" w:color="000000" w:sz="4"/>
                    <w:left w:val="single" w:color="000000" w:sz="4"/>
                    <w:bottom w:val="single" w:color="000000" w:sz="4"/>
                    <w:right w:val="single" w:color="000000" w:sz="4"/>
                  </w:tcBorders>
                </w:tcP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用户管理</w:t>
                  </w: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★平台不限制用户数量，支持</w:t>
                  </w:r>
                  <w:r>
                    <w:rPr>
                      <w:sz w:val="21"/>
                    </w:rPr>
                    <w:t>增加或删除用户，支持手动添加、导入用户或同步用户数据集等方式批量添加组织架构。</w:t>
                  </w:r>
                  <w:r>
                    <w:rPr>
                      <w:sz w:val="21"/>
                    </w:rPr>
                    <w:t>提供内置认证、</w:t>
                  </w:r>
                  <w:r>
                    <w:rPr>
                      <w:sz w:val="21"/>
                    </w:rPr>
                    <w:t>LDAP认证、HTTP认证等多种用户身份验证方式。</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74"/>
                  <w:vMerge/>
                  <w:tcBorders>
                    <w:top w:val="none" w:color="000000" w:sz="4"/>
                    <w:left w:val="single" w:color="000000" w:sz="4"/>
                    <w:bottom w:val="single" w:color="000000" w:sz="4"/>
                    <w:right w:val="single" w:color="000000" w:sz="4"/>
                  </w:tcBorders>
                </w:tcP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安全管理</w:t>
                  </w: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提供全方位的安全防护，包括</w:t>
                  </w:r>
                  <w:r>
                    <w:rPr>
                      <w:sz w:val="21"/>
                    </w:rPr>
                    <w:t>数据脱敏、</w:t>
                  </w:r>
                  <w:r>
                    <w:rPr>
                      <w:sz w:val="21"/>
                    </w:rPr>
                    <w:t>SQL 防注入、全局水印主动防御、密码增强策略、访问控制等解决方案。</w:t>
                  </w:r>
                  <w:r>
                    <w:rPr>
                      <w:sz w:val="21"/>
                    </w:rPr>
                    <w:t>支持对所有报表添加水印，水印包含用户名、</w:t>
                  </w:r>
                  <w:r>
                    <w:rPr>
                      <w:sz w:val="21"/>
                    </w:rPr>
                    <w:t>IP、电话号码等。</w:t>
                  </w:r>
                </w:p>
                <w:p>
                  <w:pPr>
                    <w:pStyle w:val="null3"/>
                    <w:jc w:val="both"/>
                  </w:pPr>
                  <w:r>
                    <w:rPr>
                      <w:sz w:val="21"/>
                    </w:rPr>
                    <w:t>提供文件上传校验、</w:t>
                  </w:r>
                  <w:r>
                    <w:rPr>
                      <w:sz w:val="21"/>
                    </w:rPr>
                    <w:t>Security Headers及访问控制、SQL注入等一系列安全防护功能。</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474"/>
                  <w:vMerge/>
                  <w:tcBorders>
                    <w:top w:val="none" w:color="000000" w:sz="4"/>
                    <w:left w:val="single" w:color="000000" w:sz="4"/>
                    <w:bottom w:val="single" w:color="000000" w:sz="4"/>
                    <w:right w:val="single" w:color="000000" w:sz="4"/>
                  </w:tcBorders>
                </w:tcP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运维管理</w:t>
                  </w: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智能检测系统存在的问题和风险，</w:t>
                  </w:r>
                  <w:r>
                    <w:rPr>
                      <w:sz w:val="21"/>
                    </w:rPr>
                    <w:t>支</w:t>
                  </w:r>
                  <w:r>
                    <w:rPr>
                      <w:sz w:val="21"/>
                    </w:rPr>
                    <w:t>持监控平台内的用户操作行为，</w:t>
                  </w:r>
                  <w:r>
                    <w:rPr>
                      <w:sz w:val="21"/>
                    </w:rPr>
                    <w:t>帮助系统管理员实现运行监控与问题排查，以便定位性能瓶颈、优化系统参数，包括：</w:t>
                  </w:r>
                  <w:r>
                    <w:rPr>
                      <w:sz w:val="21"/>
                    </w:rPr>
                    <w:t>用户行为分析、</w:t>
                  </w:r>
                  <w:r>
                    <w:rPr>
                      <w:sz w:val="21"/>
                    </w:rPr>
                    <w:t>网络分析、内存分析、</w:t>
                  </w:r>
                  <w:r>
                    <w:rPr>
                      <w:sz w:val="21"/>
                    </w:rPr>
                    <w:t>CPU 分析、SQL 监控、安全补丁更新等。</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474"/>
                  <w:vMerge/>
                  <w:tcBorders>
                    <w:top w:val="none" w:color="000000" w:sz="4"/>
                    <w:left w:val="single" w:color="000000" w:sz="4"/>
                    <w:bottom w:val="single" w:color="000000" w:sz="4"/>
                    <w:right w:val="single" w:color="000000" w:sz="4"/>
                  </w:tcBorders>
                </w:tcPr>
                <w:p/>
              </w:tc>
              <w:tc>
                <w:tcPr>
                  <w:tcW w:type="dxa" w:w="9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权限管理</w:t>
                  </w: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支持数据库连接权限、可视化设计权限、大屏查看和管理权限等平台操作权限的分级授权管控。</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474"/>
                  <w:vMerge/>
                  <w:tcBorders>
                    <w:top w:val="none" w:color="000000" w:sz="4"/>
                    <w:left w:val="single" w:color="000000" w:sz="4"/>
                    <w:bottom w:val="single" w:color="000000" w:sz="4"/>
                    <w:right w:val="single" w:color="000000" w:sz="4"/>
                  </w:tcBorders>
                </w:tcPr>
                <w:p/>
              </w:tc>
              <w:tc>
                <w:tcPr>
                  <w:tcW w:type="dxa" w:w="948"/>
                  <w:vMerge/>
                  <w:tcBorders>
                    <w:top w:val="none" w:color="000000" w:sz="4"/>
                    <w:left w:val="single" w:color="000000" w:sz="4"/>
                    <w:bottom w:val="single" w:color="000000" w:sz="4"/>
                    <w:right w:val="single" w:color="000000" w:sz="4"/>
                  </w:tcBorders>
                </w:tcP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支持控制数据访问的权限配置，实现不同用户登录后只能看到其所属区域及子区域的数据。如：东莞院只能看到本院的数据，省院可以看到全省数据。</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74"/>
                  <w:vMerge/>
                  <w:tcBorders>
                    <w:top w:val="none" w:color="000000" w:sz="4"/>
                    <w:left w:val="single" w:color="000000" w:sz="4"/>
                    <w:bottom w:val="single" w:color="000000" w:sz="4"/>
                    <w:right w:val="single" w:color="000000" w:sz="4"/>
                  </w:tcBorders>
                </w:tcP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智能搜索</w:t>
                  </w: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支持进行模糊搜索和简单的语义搜索（包括功能、模板内容、插件、设置等）。</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42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产品架构</w:t>
                  </w: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▲产品为独立产品架构，采用C/S+B/S架构充分利用两端硬件性能，无需依赖ffice、WPS等第三方商用组件。</w:t>
                  </w:r>
                </w:p>
              </w:tc>
            </w:tr>
          </w:tbl>
          <w:p>
            <w:pPr>
              <w:pStyle w:val="null3"/>
              <w:jc w:val="both"/>
            </w:pPr>
            <w:r>
              <w:rPr/>
              <w:t xml:space="preserve"> </w:t>
            </w:r>
          </w:p>
          <w:p>
            <w:pPr>
              <w:pStyle w:val="null3"/>
              <w:jc w:val="both"/>
            </w:pPr>
            <w:r>
              <w:rPr/>
              <w:t xml:space="preserve"> </w:t>
            </w:r>
          </w:p>
        </w:tc>
      </w:tr>
      <w:tr>
        <w:tc>
          <w:tcPr>
            <w:tcW w:type="dxa" w:w="2076"/>
          </w:tcPr>
          <w:p/>
        </w:tc>
        <w:tc>
          <w:tcPr>
            <w:tcW w:type="dxa" w:w="415"/>
          </w:tcPr>
          <w:p>
            <w:pPr>
              <w:pStyle w:val="null3"/>
            </w:pPr>
            <w:r>
              <w:rPr/>
              <w:t>6</w:t>
            </w:r>
          </w:p>
        </w:tc>
        <w:tc>
          <w:tcPr>
            <w:tcW w:type="dxa" w:w="5814"/>
          </w:tcPr>
          <w:p>
            <w:pPr>
              <w:pStyle w:val="null3"/>
              <w:jc w:val="both"/>
            </w:pPr>
            <w:r>
              <w:rPr>
                <w:sz w:val="21"/>
                <w:b/>
              </w:rPr>
              <w:t>4.功能要求</w:t>
            </w:r>
          </w:p>
          <w:p>
            <w:pPr>
              <w:pStyle w:val="null3"/>
              <w:jc w:val="left"/>
            </w:pPr>
            <w:r>
              <w:rPr>
                <w:sz w:val="21"/>
                <w:b/>
                <w:color w:val="000000"/>
              </w:rPr>
              <w:t>4.2 大屏需求</w:t>
            </w:r>
          </w:p>
          <w:p>
            <w:pPr>
              <w:pStyle w:val="null3"/>
              <w:ind w:firstLine="420"/>
              <w:jc w:val="left"/>
            </w:pPr>
            <w:r>
              <w:rPr>
                <w:sz w:val="21"/>
                <w:color w:val="000000"/>
              </w:rPr>
              <w:t>建设省特种设备可视化大屏，具体展示的指标根据项目需求分析和实施情况予以调整。</w:t>
            </w:r>
          </w:p>
          <w:p>
            <w:pPr>
              <w:pStyle w:val="null3"/>
              <w:ind w:firstLine="420"/>
              <w:jc w:val="left"/>
            </w:pPr>
            <w:r>
              <w:rPr>
                <w:sz w:val="21"/>
                <w:color w:val="000000"/>
              </w:rPr>
              <w:t>（一）智慧特检</w:t>
            </w:r>
            <w:r>
              <w:rPr>
                <w:sz w:val="21"/>
                <w:color w:val="000000"/>
              </w:rPr>
              <w:t>·全院</w:t>
            </w:r>
          </w:p>
          <w:p>
            <w:pPr>
              <w:pStyle w:val="null3"/>
              <w:ind w:firstLine="420"/>
              <w:jc w:val="left"/>
            </w:pPr>
            <w:r>
              <w:rPr>
                <w:sz w:val="21"/>
                <w:color w:val="000000"/>
              </w:rPr>
              <w:t>首页驾驶舱用于展示全院的整体情况，包括在用设备情况、当天实时状况、年度业务情况和发现隐患情况，展示的指标内容主要包括：</w:t>
            </w:r>
          </w:p>
          <w:tbl>
            <w:tblPr>
              <w:tblInd w:type="dxa" w:w="120"/>
              <w:tblBorders>
                <w:top w:val="none" w:color="000000" w:sz="4"/>
                <w:left w:val="none" w:color="000000" w:sz="4"/>
                <w:bottom w:val="none" w:color="000000" w:sz="4"/>
                <w:right w:val="none" w:color="000000" w:sz="4"/>
                <w:insideH w:val="none"/>
                <w:insideV w:val="none"/>
              </w:tblBorders>
            </w:tblPr>
            <w:tblGrid>
              <w:gridCol w:w="625"/>
              <w:gridCol w:w="1028"/>
              <w:gridCol w:w="1219"/>
              <w:gridCol w:w="1049"/>
              <w:gridCol w:w="795"/>
              <w:gridCol w:w="848"/>
            </w:tblGrid>
            <w:tr>
              <w:tc>
                <w:tcPr>
                  <w:tcW w:type="dxa" w:w="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模块</w:t>
                  </w:r>
                </w:p>
              </w:tc>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一级指标</w:t>
                  </w:r>
                </w:p>
              </w:tc>
              <w:tc>
                <w:tcPr>
                  <w:tcW w:type="dxa" w:w="1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一级指标逻辑</w:t>
                  </w:r>
                </w:p>
              </w:tc>
              <w:tc>
                <w:tcPr>
                  <w:tcW w:type="dxa" w:w="10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二级指标</w:t>
                  </w:r>
                </w:p>
              </w:tc>
              <w:tc>
                <w:tcPr>
                  <w:tcW w:type="dxa" w:w="7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更新频率</w:t>
                  </w:r>
                </w:p>
              </w:tc>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6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在用设备情况</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在用设备分布</w:t>
                  </w:r>
                </w:p>
              </w:tc>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展示全院责任范围内的在用设备分布情况</w:t>
                  </w:r>
                </w:p>
              </w:tc>
              <w:tc>
                <w:tcPr>
                  <w:tcW w:type="dxa" w:w="1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各直属院的在用设备分布</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使用</w:t>
                  </w:r>
                  <w:r>
                    <w:rPr>
                      <w:sz w:val="21"/>
                    </w:rPr>
                    <w:t>GIS地图展示</w:t>
                  </w:r>
                </w:p>
              </w:tc>
            </w:tr>
            <w:tr>
              <w:tc>
                <w:tcPr>
                  <w:tcW w:type="dxa" w:w="625"/>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在用设备数量</w:t>
                  </w:r>
                </w:p>
              </w:tc>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在用设备总数</w:t>
                  </w:r>
                </w:p>
                <w:p>
                  <w:pPr>
                    <w:pStyle w:val="null3"/>
                    <w:jc w:val="left"/>
                  </w:pPr>
                  <w:r>
                    <w:rPr>
                      <w:sz w:val="21"/>
                    </w:rPr>
                    <w:t>各类设备在用数</w:t>
                  </w:r>
                </w:p>
              </w:tc>
              <w:tc>
                <w:tcPr>
                  <w:tcW w:type="dxa" w:w="1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各直属院的在用设备数量</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当天业务实况</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申报业务量</w:t>
                  </w:r>
                </w:p>
              </w:tc>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全院当天申报的业务数量</w:t>
                  </w:r>
                </w:p>
              </w:tc>
              <w:tc>
                <w:tcPr>
                  <w:tcW w:type="dxa" w:w="1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各直属院申报业务量</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实时</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5"/>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申报设备台数</w:t>
                  </w:r>
                </w:p>
              </w:tc>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全院当天申报的设备台数</w:t>
                  </w:r>
                </w:p>
              </w:tc>
              <w:tc>
                <w:tcPr>
                  <w:tcW w:type="dxa" w:w="1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各直属院申报设备台数</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实时</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5"/>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受理业务量</w:t>
                  </w:r>
                </w:p>
              </w:tc>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全院当天受理的业务设备台数</w:t>
                  </w:r>
                </w:p>
              </w:tc>
              <w:tc>
                <w:tcPr>
                  <w:tcW w:type="dxa" w:w="1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各直属院受理业务量</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实时</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5"/>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安排业务量</w:t>
                  </w:r>
                </w:p>
              </w:tc>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全院当天安排检验的设备台数</w:t>
                  </w:r>
                </w:p>
              </w:tc>
              <w:tc>
                <w:tcPr>
                  <w:tcW w:type="dxa" w:w="1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各直属院安排业务量</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实时</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5"/>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出具报告量</w:t>
                  </w:r>
                </w:p>
              </w:tc>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全院当天审批的报告数量</w:t>
                  </w:r>
                </w:p>
              </w:tc>
              <w:tc>
                <w:tcPr>
                  <w:tcW w:type="dxa" w:w="1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各直属院出具报告量</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实时</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年度业务情况</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检验设备量</w:t>
                  </w:r>
                </w:p>
              </w:tc>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全院本年度已完成检验的设备数量</w:t>
                  </w:r>
                </w:p>
              </w:tc>
              <w:tc>
                <w:tcPr>
                  <w:tcW w:type="dxa" w:w="1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各直属院检验设备量</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5"/>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检验报告量</w:t>
                  </w:r>
                </w:p>
              </w:tc>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全院本年度已出具报告数量</w:t>
                  </w:r>
                </w:p>
              </w:tc>
              <w:tc>
                <w:tcPr>
                  <w:tcW w:type="dxa" w:w="1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各直属院检验报告量</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5"/>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检验完成率</w:t>
                  </w:r>
                </w:p>
              </w:tc>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全院本年度检验完成率</w:t>
                  </w:r>
                </w:p>
              </w:tc>
              <w:tc>
                <w:tcPr>
                  <w:tcW w:type="dxa" w:w="1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各直属院检验完成率</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来源于检验完成率报表</w:t>
                  </w:r>
                </w:p>
              </w:tc>
            </w:tr>
            <w:tr>
              <w:tc>
                <w:tcPr>
                  <w:tcW w:type="dxa" w:w="625"/>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服务企业数量</w:t>
                  </w:r>
                </w:p>
              </w:tc>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全院本年度完成检验服务的企业数量</w:t>
                  </w:r>
                </w:p>
              </w:tc>
              <w:tc>
                <w:tcPr>
                  <w:tcW w:type="dxa" w:w="1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各直属院服务企业数量</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发现隐患情况</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隐患设备量</w:t>
                  </w:r>
                </w:p>
              </w:tc>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全院本年度发现的隐患设备量</w:t>
                  </w:r>
                </w:p>
              </w:tc>
              <w:tc>
                <w:tcPr>
                  <w:tcW w:type="dxa" w:w="1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上报监察严重隐患</w:t>
                  </w:r>
                  <w:r>
                    <w:rPr>
                      <w:sz w:val="21"/>
                    </w:rPr>
                    <w:t>/重大问题（承压）/一般问题设备量</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5"/>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发现隐患量</w:t>
                  </w:r>
                </w:p>
              </w:tc>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全院本年度发现的隐患数量</w:t>
                  </w:r>
                </w:p>
              </w:tc>
              <w:tc>
                <w:tcPr>
                  <w:tcW w:type="dxa" w:w="1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上报监察严重隐患</w:t>
                  </w:r>
                  <w:r>
                    <w:rPr>
                      <w:sz w:val="21"/>
                    </w:rPr>
                    <w:t>/重大问题（承压）/一般问题隐患量</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sz w:val="21"/>
                <w:color w:val="000000"/>
              </w:rPr>
              <w:t>补充说明如下：</w:t>
            </w:r>
          </w:p>
          <w:p>
            <w:pPr>
              <w:pStyle w:val="null3"/>
              <w:ind w:firstLine="420"/>
              <w:jc w:val="left"/>
            </w:pPr>
            <w:r>
              <w:rPr>
                <w:sz w:val="21"/>
                <w:color w:val="000000"/>
              </w:rPr>
              <w:t>1.GIS地图：省级地图应包含各市级的区域划分，并可下钻到市级地图；市级地图应包含各区级的层级划分（无区级划分的需展示到镇街层级划分）。</w:t>
            </w:r>
          </w:p>
          <w:p>
            <w:pPr>
              <w:pStyle w:val="null3"/>
              <w:ind w:firstLine="420"/>
              <w:jc w:val="left"/>
            </w:pPr>
            <w:r>
              <w:rPr>
                <w:sz w:val="21"/>
                <w:color w:val="000000"/>
              </w:rPr>
              <w:t>2.实时数据：统计当天的实况，每隔30秒刷新一次数据。</w:t>
            </w:r>
          </w:p>
          <w:p>
            <w:pPr>
              <w:pStyle w:val="null3"/>
              <w:ind w:firstLine="420"/>
              <w:jc w:val="left"/>
            </w:pPr>
            <w:r>
              <w:rPr>
                <w:sz w:val="21"/>
                <w:color w:val="000000"/>
              </w:rPr>
              <w:t>3.下钻需求：可按各直属院的区域维度下钻，同步展示该直属院的数据，直属院的各项指标与全院的指标一致。地图同步下钻，展示该地区的市级地图。</w:t>
            </w:r>
          </w:p>
          <w:p>
            <w:pPr>
              <w:pStyle w:val="null3"/>
              <w:ind w:firstLine="420"/>
              <w:jc w:val="left"/>
            </w:pPr>
            <w:r>
              <w:rPr>
                <w:sz w:val="21"/>
                <w:color w:val="000000"/>
              </w:rPr>
              <w:t>4.跳转需求：提供导航菜单，通过人机交互的方式跳转到其他页面。</w:t>
            </w:r>
          </w:p>
          <w:p>
            <w:pPr>
              <w:pStyle w:val="null3"/>
              <w:ind w:firstLine="420"/>
              <w:jc w:val="left"/>
            </w:pPr>
            <w:r>
              <w:rPr>
                <w:sz w:val="21"/>
                <w:color w:val="000000"/>
              </w:rPr>
              <w:t>（二）智慧特检</w:t>
            </w:r>
            <w:r>
              <w:rPr>
                <w:sz w:val="21"/>
                <w:color w:val="000000"/>
              </w:rPr>
              <w:t>•分院</w:t>
            </w:r>
          </w:p>
          <w:p>
            <w:pPr>
              <w:pStyle w:val="null3"/>
              <w:ind w:firstLine="420"/>
              <w:jc w:val="left"/>
            </w:pPr>
            <w:r>
              <w:rPr>
                <w:sz w:val="21"/>
                <w:color w:val="000000"/>
              </w:rPr>
              <w:t>分院页面是指从首页驾驶舱下钻和跳转过来的分页，主要用于展示</w:t>
            </w:r>
            <w:r>
              <w:rPr>
                <w:sz w:val="21"/>
                <w:color w:val="000000"/>
              </w:rPr>
              <w:t>20个直属院的整体情况，包含的指标基本与首页的一致，个别指标视建设情况予以适当调整。此外，分院页面增加设备按使用状态区分的热力分布地图，点击可以查看基本设备信息。</w:t>
            </w:r>
          </w:p>
          <w:p>
            <w:pPr>
              <w:pStyle w:val="null3"/>
              <w:ind w:firstLine="420"/>
              <w:jc w:val="left"/>
            </w:pPr>
            <w:r>
              <w:rPr>
                <w:sz w:val="21"/>
                <w:color w:val="000000"/>
              </w:rPr>
              <w:t>（三）智慧特检</w:t>
            </w:r>
            <w:r>
              <w:rPr>
                <w:sz w:val="21"/>
                <w:color w:val="000000"/>
              </w:rPr>
              <w:t>·业务发展专题</w:t>
            </w:r>
          </w:p>
          <w:p>
            <w:pPr>
              <w:pStyle w:val="null3"/>
              <w:ind w:firstLine="420"/>
              <w:jc w:val="left"/>
            </w:pPr>
            <w:r>
              <w:rPr>
                <w:sz w:val="21"/>
                <w:color w:val="000000"/>
              </w:rPr>
              <w:t>此页面主要用于展示全院设备和业务相关的数据分析，展示的指标内容主要包括：</w:t>
            </w:r>
          </w:p>
          <w:tbl>
            <w:tblPr>
              <w:tblInd w:type="dxa" w:w="120"/>
              <w:tblBorders>
                <w:top w:val="none" w:color="000000" w:sz="4"/>
                <w:left w:val="none" w:color="000000" w:sz="4"/>
                <w:bottom w:val="none" w:color="000000" w:sz="4"/>
                <w:right w:val="none" w:color="000000" w:sz="4"/>
                <w:insideH w:val="none"/>
                <w:insideV w:val="none"/>
              </w:tblBorders>
            </w:tblPr>
            <w:tblGrid>
              <w:gridCol w:w="639"/>
              <w:gridCol w:w="991"/>
              <w:gridCol w:w="2303"/>
              <w:gridCol w:w="831"/>
              <w:gridCol w:w="810"/>
            </w:tblGrid>
            <w:tr>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模块</w:t>
                  </w:r>
                </w:p>
              </w:tc>
              <w:tc>
                <w:tcPr>
                  <w:tcW w:type="dxa" w:w="9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指标</w:t>
                  </w:r>
                </w:p>
              </w:tc>
              <w:tc>
                <w:tcPr>
                  <w:tcW w:type="dxa" w:w="2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指标逻辑</w:t>
                  </w:r>
                </w:p>
              </w:tc>
              <w:tc>
                <w:tcPr>
                  <w:tcW w:type="dxa" w:w="8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更新频率</w:t>
                  </w:r>
                </w:p>
              </w:tc>
              <w:tc>
                <w:tcPr>
                  <w:tcW w:type="dxa" w:w="8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6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特检设备情况</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在用设备量</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全院在用设备总数</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9"/>
                  <w:vMerge/>
                  <w:tcBorders>
                    <w:top w:val="none" w:color="000000" w:sz="4"/>
                    <w:left w:val="single" w:color="000000" w:sz="4"/>
                    <w:bottom w:val="single" w:color="000000" w:sz="4"/>
                    <w:right w:val="single" w:color="000000" w:sz="4"/>
                  </w:tcBorders>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新增设备量</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全院本年度在系统完成首次检验的设备量</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9"/>
                  <w:vMerge/>
                  <w:tcBorders>
                    <w:top w:val="none" w:color="000000" w:sz="4"/>
                    <w:left w:val="single" w:color="000000" w:sz="4"/>
                    <w:bottom w:val="single" w:color="000000" w:sz="4"/>
                    <w:right w:val="single" w:color="000000" w:sz="4"/>
                  </w:tcBorders>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设备增长率</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新增设备量</w:t>
                  </w:r>
                  <w:r>
                    <w:rPr>
                      <w:sz w:val="21"/>
                    </w:rPr>
                    <w:t>/设备总量</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9"/>
                  <w:vMerge/>
                  <w:tcBorders>
                    <w:top w:val="none" w:color="000000" w:sz="4"/>
                    <w:left w:val="single" w:color="000000" w:sz="4"/>
                    <w:bottom w:val="single" w:color="000000" w:sz="4"/>
                    <w:right w:val="single" w:color="000000" w:sz="4"/>
                  </w:tcBorders>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超期设备量</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全院飘红设备数量</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按检验完成率报表</w:t>
                  </w:r>
                </w:p>
              </w:tc>
            </w:tr>
            <w:tr>
              <w:tc>
                <w:tcPr>
                  <w:tcW w:type="dxa" w:w="639"/>
                  <w:vMerge/>
                  <w:tcBorders>
                    <w:top w:val="none" w:color="000000" w:sz="4"/>
                    <w:left w:val="single" w:color="000000" w:sz="4"/>
                    <w:bottom w:val="single" w:color="000000" w:sz="4"/>
                    <w:right w:val="single" w:color="000000" w:sz="4"/>
                  </w:tcBorders>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不合格设备</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全院本年度检验不合格设备数量</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9"/>
                  <w:vMerge/>
                  <w:tcBorders>
                    <w:top w:val="none" w:color="000000" w:sz="4"/>
                    <w:left w:val="single" w:color="000000" w:sz="4"/>
                    <w:bottom w:val="single" w:color="000000" w:sz="4"/>
                    <w:right w:val="single" w:color="000000" w:sz="4"/>
                  </w:tcBorders>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复检设备</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全院本年度复检设备数量</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设备趋势分析</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设备占比</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直属院设备占比：各直属院在用设备占比图</w:t>
                  </w:r>
                </w:p>
                <w:p>
                  <w:pPr>
                    <w:pStyle w:val="null3"/>
                    <w:jc w:val="left"/>
                  </w:pPr>
                  <w:r>
                    <w:rPr>
                      <w:sz w:val="21"/>
                    </w:rPr>
                    <w:t>设备种类占比：在用设备种类占比图</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按分析报告</w:t>
                  </w:r>
                </w:p>
              </w:tc>
            </w:tr>
            <w:tr>
              <w:tc>
                <w:tcPr>
                  <w:tcW w:type="dxa" w:w="639"/>
                  <w:vMerge/>
                  <w:tcBorders>
                    <w:top w:val="none" w:color="000000" w:sz="4"/>
                    <w:left w:val="single" w:color="000000" w:sz="4"/>
                    <w:bottom w:val="single" w:color="000000" w:sz="4"/>
                    <w:right w:val="single" w:color="000000" w:sz="4"/>
                  </w:tcBorders>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设备走势</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在用设备量走势：</w:t>
                  </w:r>
                  <w:r>
                    <w:rPr>
                      <w:sz w:val="21"/>
                    </w:rPr>
                    <w:t>17年以后在用设备总数趋势</w:t>
                  </w:r>
                </w:p>
                <w:p>
                  <w:pPr>
                    <w:pStyle w:val="null3"/>
                    <w:jc w:val="left"/>
                  </w:pPr>
                  <w:r>
                    <w:rPr>
                      <w:sz w:val="21"/>
                    </w:rPr>
                    <w:t>各类设备量走势：</w:t>
                  </w:r>
                  <w:r>
                    <w:rPr>
                      <w:sz w:val="21"/>
                    </w:rPr>
                    <w:t>17年以后各类设备数量趋势</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按分析报告</w:t>
                  </w:r>
                </w:p>
              </w:tc>
            </w:tr>
            <w:tr>
              <w:tc>
                <w:tcPr>
                  <w:tcW w:type="dxa" w:w="6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特检业务情况</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申报业务量</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全院本年度申报检验业务数量</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9"/>
                  <w:vMerge/>
                  <w:tcBorders>
                    <w:top w:val="none" w:color="000000" w:sz="4"/>
                    <w:left w:val="single" w:color="000000" w:sz="4"/>
                    <w:bottom w:val="single" w:color="000000" w:sz="4"/>
                    <w:right w:val="single" w:color="000000" w:sz="4"/>
                  </w:tcBorders>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受理业务量</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全院本年度申报受理业务数量</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9"/>
                  <w:vMerge/>
                  <w:tcBorders>
                    <w:top w:val="none" w:color="000000" w:sz="4"/>
                    <w:left w:val="single" w:color="000000" w:sz="4"/>
                    <w:bottom w:val="single" w:color="000000" w:sz="4"/>
                    <w:right w:val="single" w:color="000000" w:sz="4"/>
                  </w:tcBorders>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安排业务量</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全院本年度申报安排业务数量</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9"/>
                  <w:vMerge/>
                  <w:tcBorders>
                    <w:top w:val="none" w:color="000000" w:sz="4"/>
                    <w:left w:val="single" w:color="000000" w:sz="4"/>
                    <w:bottom w:val="single" w:color="000000" w:sz="4"/>
                    <w:right w:val="single" w:color="000000" w:sz="4"/>
                  </w:tcBorders>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检验报告量</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全院本年度出具报告数量</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9"/>
                  <w:vMerge/>
                  <w:tcBorders>
                    <w:top w:val="none" w:color="000000" w:sz="4"/>
                    <w:left w:val="single" w:color="000000" w:sz="4"/>
                    <w:bottom w:val="single" w:color="000000" w:sz="4"/>
                    <w:right w:val="single" w:color="000000" w:sz="4"/>
                  </w:tcBorders>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检验设备量</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全院本年度检验的设备数量</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业务发展分析</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业务占比</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各类检验报告量占比、各类检验设备量占比：全院本年度出具定期检验和监督检验的报告</w:t>
                  </w:r>
                  <w:r>
                    <w:rPr>
                      <w:sz w:val="21"/>
                    </w:rPr>
                    <w:t>/设备数量占检验报告/设备量的比率</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9"/>
                  <w:vMerge/>
                  <w:tcBorders>
                    <w:top w:val="none" w:color="000000" w:sz="4"/>
                    <w:left w:val="single" w:color="000000" w:sz="4"/>
                    <w:bottom w:val="single" w:color="000000" w:sz="4"/>
                    <w:right w:val="single" w:color="000000" w:sz="4"/>
                  </w:tcBorders>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业务比对</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各直属院检验设备量比对：本年度检验设备量</w:t>
                  </w:r>
                </w:p>
                <w:p>
                  <w:pPr>
                    <w:pStyle w:val="null3"/>
                    <w:jc w:val="left"/>
                  </w:pPr>
                  <w:r>
                    <w:rPr>
                      <w:sz w:val="21"/>
                    </w:rPr>
                    <w:t>各直属院检验完成率比对：本年度检验完成率</w:t>
                  </w:r>
                </w:p>
                <w:p>
                  <w:pPr>
                    <w:pStyle w:val="null3"/>
                    <w:jc w:val="left"/>
                  </w:pPr>
                  <w:r>
                    <w:rPr>
                      <w:sz w:val="21"/>
                    </w:rPr>
                    <w:t>各类设备检验完成率比对：本年度检验完成率</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sz w:val="21"/>
                <w:color w:val="000000"/>
              </w:rPr>
              <w:t>补充说明如下：</w:t>
            </w:r>
          </w:p>
          <w:p>
            <w:pPr>
              <w:pStyle w:val="null3"/>
              <w:ind w:firstLine="420"/>
              <w:jc w:val="left"/>
            </w:pPr>
            <w:r>
              <w:rPr>
                <w:sz w:val="21"/>
                <w:color w:val="000000"/>
              </w:rPr>
              <w:t>1.提供导航菜单，通过人机交互的方式跳回首页或转到其他专题。</w:t>
            </w:r>
          </w:p>
          <w:p>
            <w:pPr>
              <w:pStyle w:val="null3"/>
              <w:ind w:firstLine="420"/>
              <w:jc w:val="left"/>
            </w:pPr>
            <w:r>
              <w:rPr>
                <w:sz w:val="21"/>
                <w:color w:val="000000"/>
              </w:rPr>
              <w:t>（四）智慧特检</w:t>
            </w:r>
            <w:r>
              <w:rPr>
                <w:sz w:val="21"/>
                <w:color w:val="000000"/>
              </w:rPr>
              <w:t>·隐患分析专题</w:t>
            </w:r>
          </w:p>
          <w:p>
            <w:pPr>
              <w:pStyle w:val="null3"/>
              <w:ind w:firstLine="420"/>
              <w:jc w:val="left"/>
            </w:pPr>
            <w:r>
              <w:rPr>
                <w:sz w:val="21"/>
                <w:color w:val="000000"/>
              </w:rPr>
              <w:t>此页面主要用于展示发现隐患能力和隐患数据分析，展示的指标内容主要包括：</w:t>
            </w:r>
          </w:p>
          <w:tbl>
            <w:tblPr>
              <w:tblInd w:type="dxa" w:w="120"/>
              <w:tblBorders>
                <w:top w:val="none" w:color="000000" w:sz="4"/>
                <w:left w:val="none" w:color="000000" w:sz="4"/>
                <w:bottom w:val="none" w:color="000000" w:sz="4"/>
                <w:right w:val="none" w:color="000000" w:sz="4"/>
                <w:insideH w:val="none"/>
                <w:insideV w:val="none"/>
              </w:tblBorders>
            </w:tblPr>
            <w:tblGrid>
              <w:gridCol w:w="773"/>
              <w:gridCol w:w="1378"/>
              <w:gridCol w:w="2650"/>
              <w:gridCol w:w="773"/>
            </w:tblGrid>
            <w:tr>
              <w:tc>
                <w:tcPr>
                  <w:tcW w:type="dxa" w:w="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模块</w:t>
                  </w:r>
                </w:p>
              </w:tc>
              <w:tc>
                <w:tcPr>
                  <w:tcW w:type="dxa" w:w="1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指标</w:t>
                  </w:r>
                </w:p>
              </w:tc>
              <w:tc>
                <w:tcPr>
                  <w:tcW w:type="dxa" w:w="26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指标逻辑</w:t>
                  </w:r>
                </w:p>
              </w:tc>
              <w:tc>
                <w:tcPr>
                  <w:tcW w:type="dxa" w:w="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更新频率</w:t>
                  </w:r>
                </w:p>
              </w:tc>
            </w:tr>
            <w:tr>
              <w:tc>
                <w:tcPr>
                  <w:tcW w:type="dxa" w:w="7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隐患发现能力</w:t>
                  </w:r>
                </w:p>
              </w:tc>
              <w:tc>
                <w:tcPr>
                  <w:tcW w:type="dxa" w:w="1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发现隐患量</w:t>
                  </w:r>
                </w:p>
              </w:tc>
              <w:tc>
                <w:tcPr>
                  <w:tcW w:type="dxa" w:w="2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全院本年度发现的隐患数量</w:t>
                  </w: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r>
            <w:tr>
              <w:tc>
                <w:tcPr>
                  <w:tcW w:type="dxa" w:w="773"/>
                  <w:vMerge/>
                  <w:tcBorders>
                    <w:top w:val="none" w:color="000000" w:sz="4"/>
                    <w:left w:val="single" w:color="000000" w:sz="4"/>
                    <w:bottom w:val="single" w:color="000000" w:sz="4"/>
                    <w:right w:val="single" w:color="000000" w:sz="4"/>
                  </w:tcBorders>
                </w:tcPr>
                <w:p/>
              </w:tc>
              <w:tc>
                <w:tcPr>
                  <w:tcW w:type="dxa" w:w="1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定期检验隐患量</w:t>
                  </w:r>
                </w:p>
              </w:tc>
              <w:tc>
                <w:tcPr>
                  <w:tcW w:type="dxa" w:w="2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全院本年度定期检验发现的隐患数量</w:t>
                  </w: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r>
            <w:tr>
              <w:tc>
                <w:tcPr>
                  <w:tcW w:type="dxa" w:w="773"/>
                  <w:vMerge/>
                  <w:tcBorders>
                    <w:top w:val="none" w:color="000000" w:sz="4"/>
                    <w:left w:val="single" w:color="000000" w:sz="4"/>
                    <w:bottom w:val="single" w:color="000000" w:sz="4"/>
                    <w:right w:val="single" w:color="000000" w:sz="4"/>
                  </w:tcBorders>
                </w:tcPr>
                <w:p/>
              </w:tc>
              <w:tc>
                <w:tcPr>
                  <w:tcW w:type="dxa" w:w="1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监督检验隐患量</w:t>
                  </w:r>
                </w:p>
              </w:tc>
              <w:tc>
                <w:tcPr>
                  <w:tcW w:type="dxa" w:w="2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全院本年度监督检验发现的隐患数量</w:t>
                  </w: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r>
            <w:tr>
              <w:tc>
                <w:tcPr>
                  <w:tcW w:type="dxa" w:w="773"/>
                  <w:vMerge/>
                  <w:tcBorders>
                    <w:top w:val="none" w:color="000000" w:sz="4"/>
                    <w:left w:val="single" w:color="000000" w:sz="4"/>
                    <w:bottom w:val="single" w:color="000000" w:sz="4"/>
                    <w:right w:val="single" w:color="000000" w:sz="4"/>
                  </w:tcBorders>
                </w:tcPr>
                <w:p/>
              </w:tc>
              <w:tc>
                <w:tcPr>
                  <w:tcW w:type="dxa" w:w="1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隐患设备量</w:t>
                  </w:r>
                </w:p>
              </w:tc>
              <w:tc>
                <w:tcPr>
                  <w:tcW w:type="dxa" w:w="2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全院本年度发现的隐患设备量</w:t>
                  </w: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r>
            <w:tr>
              <w:tc>
                <w:tcPr>
                  <w:tcW w:type="dxa" w:w="773"/>
                  <w:vMerge/>
                  <w:tcBorders>
                    <w:top w:val="none" w:color="000000" w:sz="4"/>
                    <w:left w:val="single" w:color="000000" w:sz="4"/>
                    <w:bottom w:val="single" w:color="000000" w:sz="4"/>
                    <w:right w:val="single" w:color="000000" w:sz="4"/>
                  </w:tcBorders>
                </w:tcPr>
                <w:p/>
              </w:tc>
              <w:tc>
                <w:tcPr>
                  <w:tcW w:type="dxa" w:w="1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隐患设备发现率</w:t>
                  </w:r>
                </w:p>
              </w:tc>
              <w:tc>
                <w:tcPr>
                  <w:tcW w:type="dxa" w:w="2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全院本年度发现隐患设备数量占检验设备量的比率</w:t>
                  </w: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r>
            <w:tr>
              <w:tc>
                <w:tcPr>
                  <w:tcW w:type="dxa" w:w="773"/>
                  <w:vMerge/>
                  <w:tcBorders>
                    <w:top w:val="none" w:color="000000" w:sz="4"/>
                    <w:left w:val="single" w:color="000000" w:sz="4"/>
                    <w:bottom w:val="single" w:color="000000" w:sz="4"/>
                    <w:right w:val="single" w:color="000000" w:sz="4"/>
                  </w:tcBorders>
                </w:tcPr>
                <w:p/>
              </w:tc>
              <w:tc>
                <w:tcPr>
                  <w:tcW w:type="dxa" w:w="1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整改隐患量</w:t>
                  </w:r>
                </w:p>
              </w:tc>
              <w:tc>
                <w:tcPr>
                  <w:tcW w:type="dxa" w:w="2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全院本年度完成整改的隐患数量</w:t>
                  </w: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r>
            <w:tr>
              <w:tc>
                <w:tcPr>
                  <w:tcW w:type="dxa" w:w="773"/>
                  <w:vMerge/>
                  <w:tcBorders>
                    <w:top w:val="none" w:color="000000" w:sz="4"/>
                    <w:left w:val="single" w:color="000000" w:sz="4"/>
                    <w:bottom w:val="single" w:color="000000" w:sz="4"/>
                    <w:right w:val="single" w:color="000000" w:sz="4"/>
                  </w:tcBorders>
                </w:tcPr>
                <w:p/>
              </w:tc>
              <w:tc>
                <w:tcPr>
                  <w:tcW w:type="dxa" w:w="1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意见通知书、联络单数据</w:t>
                  </w:r>
                </w:p>
              </w:tc>
              <w:tc>
                <w:tcPr>
                  <w:tcW w:type="dxa" w:w="2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全院本年度发出意见通知书、联络单的数量</w:t>
                  </w: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r>
            <w:tr>
              <w:tc>
                <w:tcPr>
                  <w:tcW w:type="dxa" w:w="7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隐患情况分析</w:t>
                  </w:r>
                </w:p>
              </w:tc>
              <w:tc>
                <w:tcPr>
                  <w:tcW w:type="dxa" w:w="1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发现各类隐患数量占比</w:t>
                  </w:r>
                </w:p>
              </w:tc>
              <w:tc>
                <w:tcPr>
                  <w:tcW w:type="dxa" w:w="2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全院本年度发现一类（上报监察严重隐患）、二类（承压类设备重大隐患）、三类（一般）问题数量占发现隐患数量的比例</w:t>
                  </w: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r>
            <w:tr>
              <w:tc>
                <w:tcPr>
                  <w:tcW w:type="dxa" w:w="773"/>
                  <w:vMerge/>
                  <w:tcBorders>
                    <w:top w:val="none" w:color="000000" w:sz="4"/>
                    <w:left w:val="single" w:color="000000" w:sz="4"/>
                    <w:bottom w:val="single" w:color="000000" w:sz="4"/>
                    <w:right w:val="single" w:color="000000" w:sz="4"/>
                  </w:tcBorders>
                </w:tcPr>
                <w:p/>
              </w:tc>
              <w:tc>
                <w:tcPr>
                  <w:tcW w:type="dxa" w:w="1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发现各类隐患设备占比</w:t>
                  </w:r>
                </w:p>
              </w:tc>
              <w:tc>
                <w:tcPr>
                  <w:tcW w:type="dxa" w:w="2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全院本年度发现一类、二类、三类问题设备数量占发现隐患设备的比率</w:t>
                  </w:r>
                </w:p>
                <w:p>
                  <w:pPr>
                    <w:pStyle w:val="null3"/>
                    <w:jc w:val="left"/>
                  </w:pPr>
                  <w:r>
                    <w:rPr>
                      <w:sz w:val="21"/>
                    </w:rPr>
                    <w:t>全院本年度发现一类、二类、三类问题设备数量占检验设备量的比率</w:t>
                  </w: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r>
            <w:tr>
              <w:tc>
                <w:tcPr>
                  <w:tcW w:type="dxa" w:w="773"/>
                  <w:vMerge/>
                  <w:tcBorders>
                    <w:top w:val="none" w:color="000000" w:sz="4"/>
                    <w:left w:val="single" w:color="000000" w:sz="4"/>
                    <w:bottom w:val="single" w:color="000000" w:sz="4"/>
                    <w:right w:val="single" w:color="000000" w:sz="4"/>
                  </w:tcBorders>
                </w:tcPr>
                <w:p/>
              </w:tc>
              <w:tc>
                <w:tcPr>
                  <w:tcW w:type="dxa" w:w="1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各类设备发现隐患占比</w:t>
                  </w:r>
                </w:p>
              </w:tc>
              <w:tc>
                <w:tcPr>
                  <w:tcW w:type="dxa" w:w="2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各类设备发现隐患占全部隐患数量的比率</w:t>
                  </w: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r>
            <w:tr>
              <w:tc>
                <w:tcPr>
                  <w:tcW w:type="dxa" w:w="773"/>
                  <w:vMerge/>
                  <w:tcBorders>
                    <w:top w:val="none" w:color="000000" w:sz="4"/>
                    <w:left w:val="single" w:color="000000" w:sz="4"/>
                    <w:bottom w:val="single" w:color="000000" w:sz="4"/>
                    <w:right w:val="single" w:color="000000" w:sz="4"/>
                  </w:tcBorders>
                </w:tcPr>
                <w:p/>
              </w:tc>
              <w:tc>
                <w:tcPr>
                  <w:tcW w:type="dxa" w:w="1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各类设备隐患设备占比</w:t>
                  </w:r>
                </w:p>
              </w:tc>
              <w:tc>
                <w:tcPr>
                  <w:tcW w:type="dxa" w:w="2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各类设备发现隐患设备数量占检验设备量的比率</w:t>
                  </w: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p>
              </w:tc>
            </w:tr>
          </w:tbl>
          <w:p>
            <w:pPr>
              <w:pStyle w:val="null3"/>
              <w:ind w:firstLine="420"/>
              <w:jc w:val="left"/>
            </w:pPr>
            <w:r>
              <w:rPr>
                <w:sz w:val="21"/>
                <w:color w:val="000000"/>
              </w:rPr>
              <w:t>补充说明如下：</w:t>
            </w:r>
          </w:p>
          <w:p>
            <w:pPr>
              <w:pStyle w:val="null3"/>
              <w:ind w:firstLine="420"/>
              <w:jc w:val="left"/>
            </w:pPr>
            <w:r>
              <w:rPr>
                <w:sz w:val="21"/>
                <w:color w:val="000000"/>
              </w:rPr>
              <w:t>1.隐患问题分类：一类问题指上报监察严重隐患，二类问题指承压类设备重大隐患，三类问题指一般问题。</w:t>
            </w:r>
          </w:p>
          <w:p>
            <w:pPr>
              <w:pStyle w:val="null3"/>
              <w:ind w:firstLine="420"/>
              <w:jc w:val="left"/>
            </w:pPr>
            <w:r>
              <w:rPr>
                <w:sz w:val="21"/>
                <w:color w:val="000000"/>
              </w:rPr>
              <w:t>2.提供导航菜单，通过人机交互的方式跳回首页或转到其他专题页面。</w:t>
            </w:r>
          </w:p>
          <w:p>
            <w:pPr>
              <w:pStyle w:val="null3"/>
              <w:jc w:val="left"/>
            </w:pPr>
            <w:r>
              <w:rPr>
                <w:sz w:val="21"/>
                <w:b/>
                <w:color w:val="000000"/>
              </w:rPr>
              <w:t xml:space="preserve">4.3 </w:t>
            </w:r>
            <w:r>
              <w:rPr>
                <w:sz w:val="21"/>
                <w:b/>
              </w:rPr>
              <w:t>大屏展示要求</w:t>
            </w:r>
          </w:p>
          <w:p>
            <w:pPr>
              <w:pStyle w:val="null3"/>
              <w:ind w:firstLine="420"/>
              <w:jc w:val="both"/>
            </w:pPr>
            <w:r>
              <w:rPr>
                <w:sz w:val="21"/>
              </w:rPr>
              <w:t>（一）总体展示要求</w:t>
            </w:r>
          </w:p>
          <w:p>
            <w:pPr>
              <w:pStyle w:val="null3"/>
              <w:ind w:firstLine="420"/>
              <w:jc w:val="left"/>
            </w:pPr>
            <w:r>
              <w:rPr>
                <w:sz w:val="21"/>
              </w:rPr>
              <w:t>根据数据展示内容、数据类型以及数据结构，实施数据稳定对接，评估最佳数据可视化效果，要求整体设计风格简洁大气、协调美观，能够体现特检行业特点，具有科技感和艺术性，可自适应大屏，可通过浏览器访问页面。</w:t>
            </w:r>
          </w:p>
          <w:p>
            <w:pPr>
              <w:pStyle w:val="null3"/>
              <w:ind w:firstLine="420"/>
              <w:jc w:val="left"/>
            </w:pPr>
            <w:r>
              <w:rPr>
                <w:sz w:val="21"/>
                <w:color w:val="000000"/>
              </w:rPr>
              <w:t>（二）大屏适配要求</w:t>
            </w:r>
          </w:p>
          <w:p>
            <w:pPr>
              <w:pStyle w:val="null3"/>
              <w:ind w:firstLine="420"/>
              <w:jc w:val="both"/>
            </w:pPr>
            <w:r>
              <w:rPr>
                <w:sz w:val="21"/>
                <w:color w:val="000000"/>
              </w:rPr>
              <w:t>智慧特检首页、业务发展、隐患分析相关驾驶舱及页面，用于展示在广东省特检院南海基地一楼大屏，其人机交互要求能够通过移动端</w:t>
            </w:r>
            <w:r>
              <w:rPr>
                <w:sz w:val="21"/>
                <w:color w:val="000000"/>
              </w:rPr>
              <w:t>APP进行下钻、跳转切换、语音识别等操作。并需要适配以下屏幕硬件要求：尺寸≥4.25*2.4米；比例16:9；分辨率≥1920*1080。</w:t>
            </w:r>
          </w:p>
        </w:tc>
      </w:tr>
      <w:tr>
        <w:tc>
          <w:tcPr>
            <w:tcW w:type="dxa" w:w="2076"/>
          </w:tcPr>
          <w:p/>
        </w:tc>
        <w:tc>
          <w:tcPr>
            <w:tcW w:type="dxa" w:w="415"/>
          </w:tcPr>
          <w:p>
            <w:pPr>
              <w:pStyle w:val="null3"/>
            </w:pPr>
            <w:r>
              <w:rPr/>
              <w:t>7</w:t>
            </w:r>
          </w:p>
        </w:tc>
        <w:tc>
          <w:tcPr>
            <w:tcW w:type="dxa" w:w="5814"/>
          </w:tcPr>
          <w:p>
            <w:pPr>
              <w:pStyle w:val="null3"/>
              <w:jc w:val="both"/>
            </w:pPr>
            <w:r>
              <w:rPr>
                <w:sz w:val="21"/>
                <w:b/>
              </w:rPr>
              <w:t xml:space="preserve">5. </w:t>
            </w:r>
            <w:r>
              <w:rPr>
                <w:sz w:val="21"/>
                <w:b/>
                <w:color w:val="000000"/>
              </w:rPr>
              <w:t>总</w:t>
            </w:r>
            <w:r>
              <w:rPr>
                <w:sz w:val="21"/>
                <w:b/>
              </w:rPr>
              <w:t>技术要求</w:t>
            </w:r>
          </w:p>
          <w:p>
            <w:pPr>
              <w:pStyle w:val="null3"/>
              <w:jc w:val="left"/>
            </w:pPr>
            <w:r>
              <w:rPr>
                <w:sz w:val="21"/>
                <w:color w:val="000000"/>
              </w:rPr>
              <w:t>5.1</w:t>
            </w:r>
            <w:r>
              <w:rPr>
                <w:sz w:val="21"/>
              </w:rPr>
              <w:t xml:space="preserve"> </w:t>
            </w:r>
            <w:r>
              <w:rPr>
                <w:sz w:val="21"/>
                <w:color w:val="000000"/>
              </w:rPr>
              <w:t>基本原则</w:t>
            </w:r>
          </w:p>
          <w:p>
            <w:pPr>
              <w:pStyle w:val="null3"/>
              <w:ind w:firstLine="420"/>
              <w:jc w:val="left"/>
            </w:pPr>
            <w:r>
              <w:rPr>
                <w:sz w:val="21"/>
                <w:color w:val="000000"/>
              </w:rPr>
              <w:t>需要遵循以下原则：</w:t>
            </w:r>
          </w:p>
          <w:p>
            <w:pPr>
              <w:pStyle w:val="null3"/>
              <w:ind w:firstLine="420"/>
              <w:jc w:val="left"/>
            </w:pPr>
            <w:r>
              <w:rPr>
                <w:sz w:val="21"/>
                <w:color w:val="000000"/>
              </w:rPr>
              <w:t>1.先进原则</w:t>
            </w:r>
          </w:p>
          <w:p>
            <w:pPr>
              <w:pStyle w:val="null3"/>
              <w:ind w:firstLine="420"/>
              <w:jc w:val="left"/>
            </w:pPr>
            <w:r>
              <w:rPr>
                <w:sz w:val="21"/>
                <w:color w:val="000000"/>
              </w:rPr>
              <w:t>充分考虑技术的发展方向，选择目前业界先进和成熟的技术作为整个系统的技术架构，能够保证系统可以不断发展、扩充、整合。</w:t>
            </w:r>
          </w:p>
          <w:p>
            <w:pPr>
              <w:pStyle w:val="null3"/>
              <w:ind w:firstLine="420"/>
              <w:jc w:val="left"/>
            </w:pPr>
            <w:r>
              <w:rPr>
                <w:sz w:val="21"/>
                <w:color w:val="000000"/>
              </w:rPr>
              <w:t>2.可持续性、可扩展性原则</w:t>
            </w:r>
          </w:p>
          <w:p>
            <w:pPr>
              <w:pStyle w:val="null3"/>
              <w:ind w:firstLine="420"/>
              <w:jc w:val="left"/>
            </w:pPr>
            <w:r>
              <w:rPr>
                <w:sz w:val="21"/>
                <w:color w:val="000000"/>
              </w:rPr>
              <w:t>系统的设计和实施要充分考虑网络、硬件的扩展需要、应用系统二次开发的需要，以及支持未来可能出现的组织调整的需要。系统应采用开放的可扩充模块结构，保证以后可以方便地升级和不断增加新功能、增加容量、以及在同一平台上扩充其他业务应用功能。</w:t>
            </w:r>
          </w:p>
          <w:p>
            <w:pPr>
              <w:pStyle w:val="null3"/>
              <w:ind w:firstLine="420"/>
              <w:jc w:val="left"/>
            </w:pPr>
            <w:r>
              <w:rPr>
                <w:sz w:val="21"/>
                <w:color w:val="000000"/>
              </w:rPr>
              <w:t>产品应具有扩展至</w:t>
            </w:r>
            <w:r>
              <w:rPr>
                <w:sz w:val="21"/>
                <w:color w:val="000000"/>
              </w:rPr>
              <w:t>BI平台的能力，方便后续升级成BI分析平台。扩展能力项需包括如多数据源关联，支持多样的数据来源，从不同的数据库、表取数，通过产品关联，可以整合不同来源的业务系统数据于一张报表中。同时支持中国式复杂报表、数据填报、参数查询、图表分析、数据钻取、Word报告、BI仪表板、移动应用、数据大屏、三维可视化等分析。扩展后需提供统一的报表访问和管理平台，方便用户查看使用BI报表，并能实现精细的权限控制。在数据处理层面，用户能通过灵活的ETL数据开发和任务引擎预先处理数据，仅需拖拽数据表，就能自动识别公共字段并建立多表关系。数据计算时能调用多类内置函数及def函数快速完成计算，拖拽字段实现可视化组件开发及对应数据解释分析功能，为用户提供分享协作、数据预警、数据分析的综合应用。</w:t>
            </w:r>
          </w:p>
          <w:p>
            <w:pPr>
              <w:pStyle w:val="null3"/>
              <w:ind w:firstLine="420"/>
              <w:jc w:val="left"/>
            </w:pPr>
            <w:r>
              <w:rPr>
                <w:sz w:val="21"/>
                <w:color w:val="000000"/>
              </w:rPr>
              <w:t>3.系统可维护性原则</w:t>
            </w:r>
          </w:p>
          <w:p>
            <w:pPr>
              <w:pStyle w:val="null3"/>
              <w:ind w:firstLine="420"/>
              <w:jc w:val="left"/>
            </w:pPr>
            <w:r>
              <w:rPr>
                <w:sz w:val="21"/>
                <w:color w:val="000000"/>
              </w:rPr>
              <w:t>需保证整个系统的可管理性，以降低管理、维护成本。系统的服务器平台、应用平台都应提供方便、灵活的维护手段，方便应用人员的维护和管理。</w:t>
            </w:r>
          </w:p>
          <w:p>
            <w:pPr>
              <w:pStyle w:val="null3"/>
              <w:ind w:firstLine="420"/>
              <w:jc w:val="left"/>
            </w:pPr>
            <w:r>
              <w:rPr>
                <w:sz w:val="21"/>
                <w:color w:val="000000"/>
              </w:rPr>
              <w:t>4.可靠、易用性原则</w:t>
            </w:r>
          </w:p>
          <w:p>
            <w:pPr>
              <w:pStyle w:val="null3"/>
              <w:ind w:firstLine="420"/>
              <w:jc w:val="left"/>
            </w:pPr>
            <w:r>
              <w:rPr>
                <w:sz w:val="21"/>
                <w:color w:val="000000"/>
              </w:rPr>
              <w:t>项目的实施要保证软、硬件安全、可靠的运行，将系统级身份认证和应用级身份认证统一灵活应用于各应用系统的登录、流转等功能模块中，操作方式应简单快捷。应具备完善的日志管理等功能，能够追踪记录每次操作情况，并对非法操作进行告警。</w:t>
            </w:r>
          </w:p>
          <w:p>
            <w:pPr>
              <w:pStyle w:val="null3"/>
              <w:ind w:firstLine="420"/>
              <w:jc w:val="left"/>
            </w:pPr>
            <w:r>
              <w:rPr/>
              <w:t xml:space="preserve"> </w:t>
            </w:r>
          </w:p>
        </w:tc>
      </w:tr>
      <w:tr>
        <w:tc>
          <w:tcPr>
            <w:tcW w:type="dxa" w:w="2076"/>
          </w:tcPr>
          <w:p/>
        </w:tc>
        <w:tc>
          <w:tcPr>
            <w:tcW w:type="dxa" w:w="415"/>
          </w:tcPr>
          <w:p>
            <w:pPr>
              <w:pStyle w:val="null3"/>
            </w:pPr>
            <w:r>
              <w:rPr/>
              <w:t>8</w:t>
            </w:r>
          </w:p>
        </w:tc>
        <w:tc>
          <w:tcPr>
            <w:tcW w:type="dxa" w:w="5814"/>
          </w:tcPr>
          <w:p>
            <w:pPr>
              <w:pStyle w:val="null3"/>
              <w:jc w:val="both"/>
            </w:pPr>
            <w:r>
              <w:rPr>
                <w:sz w:val="21"/>
                <w:b/>
              </w:rPr>
              <w:t>5.</w:t>
            </w:r>
            <w:r>
              <w:rPr>
                <w:sz w:val="21"/>
                <w:b/>
                <w:color w:val="000000"/>
              </w:rPr>
              <w:t>总</w:t>
            </w:r>
            <w:r>
              <w:rPr>
                <w:sz w:val="21"/>
                <w:b/>
              </w:rPr>
              <w:t>技术要求</w:t>
            </w:r>
          </w:p>
          <w:p>
            <w:pPr>
              <w:pStyle w:val="null3"/>
              <w:jc w:val="left"/>
            </w:pPr>
            <w:r>
              <w:rPr>
                <w:sz w:val="21"/>
                <w:color w:val="000000"/>
              </w:rPr>
              <w:t>5.2 服务端运行环境要求</w:t>
            </w:r>
          </w:p>
          <w:tbl>
            <w:tblPr>
              <w:tblInd w:type="dxa" w:w="120"/>
              <w:tblBorders>
                <w:top w:val="none" w:color="000000" w:sz="4"/>
                <w:left w:val="none" w:color="000000" w:sz="4"/>
                <w:bottom w:val="none" w:color="000000" w:sz="4"/>
                <w:right w:val="none" w:color="000000" w:sz="4"/>
                <w:insideH w:val="none"/>
                <w:insideV w:val="none"/>
              </w:tblBorders>
            </w:tblPr>
            <w:tblGrid>
              <w:gridCol w:w="1466"/>
              <w:gridCol w:w="4132"/>
            </w:tblGrid>
            <w:tr>
              <w:tc>
                <w:tcPr>
                  <w:tcW w:type="dxa" w:w="1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类别</w:t>
                  </w:r>
                </w:p>
              </w:tc>
              <w:tc>
                <w:tcPr>
                  <w:tcW w:type="dxa" w:w="4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要求</w:t>
                  </w:r>
                </w:p>
              </w:tc>
            </w:tr>
            <w:tr>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服务器、操作系统、数据库、中间件</w:t>
                  </w:r>
                </w:p>
              </w:tc>
              <w:tc>
                <w:tcPr>
                  <w:tcW w:type="dxa" w:w="4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★支持国产的服务器、操作系统、数据库、中间件，具体选型在建设过程中由采购人指定</w:t>
                  </w:r>
                  <w:r>
                    <w:rPr>
                      <w:sz w:val="21"/>
                    </w:rPr>
                    <w:t>。操作系统不限于麒麟、统信、方德；数据库不限于达梦、人大金仓、阿里云</w:t>
                  </w:r>
                  <w:r>
                    <w:rPr>
                      <w:sz w:val="21"/>
                    </w:rPr>
                    <w:t>PolarDB、腾讯云TDSQL、南大通用</w:t>
                  </w:r>
                  <w:r>
                    <w:rPr>
                      <w:sz w:val="21"/>
                    </w:rPr>
                    <w:t>；中间件不限于金蝶天燕、宝兰德、东方通。</w:t>
                  </w:r>
                </w:p>
              </w:tc>
            </w:tr>
          </w:tbl>
          <w:p>
            <w:pPr>
              <w:pStyle w:val="null3"/>
              <w:jc w:val="left"/>
            </w:pPr>
            <w:r>
              <w:rPr>
                <w:sz w:val="21"/>
                <w:color w:val="000000"/>
              </w:rPr>
              <w:t>5.3 客户端运行环境要求</w:t>
            </w:r>
          </w:p>
          <w:tbl>
            <w:tblPr>
              <w:tblInd w:type="dxa" w:w="120"/>
              <w:tblBorders>
                <w:top w:val="none" w:color="000000" w:sz="4"/>
                <w:left w:val="none" w:color="000000" w:sz="4"/>
                <w:bottom w:val="none" w:color="000000" w:sz="4"/>
                <w:right w:val="none" w:color="000000" w:sz="4"/>
                <w:insideH w:val="none"/>
                <w:insideV w:val="none"/>
              </w:tblBorders>
            </w:tblPr>
            <w:tblGrid>
              <w:gridCol w:w="1469"/>
              <w:gridCol w:w="4129"/>
            </w:tblGrid>
            <w:tr>
              <w:tc>
                <w:tcPr>
                  <w:tcW w:type="dxa" w:w="1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类别</w:t>
                  </w:r>
                </w:p>
              </w:tc>
              <w:tc>
                <w:tcPr>
                  <w:tcW w:type="dxa" w:w="4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要求</w:t>
                  </w:r>
                </w:p>
              </w:tc>
            </w:tr>
            <w:tr>
              <w:tc>
                <w:tcPr>
                  <w:tcW w:type="dxa" w:w="1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客户端操作系统</w:t>
                  </w:r>
                </w:p>
              </w:tc>
              <w:tc>
                <w:tcPr>
                  <w:tcW w:type="dxa" w:w="4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适配但不限于以下国产主流桌面操作系统及服务器操作系统：银河麒麟（</w:t>
                  </w:r>
                  <w:r>
                    <w:rPr>
                      <w:sz w:val="21"/>
                    </w:rPr>
                    <w:t>V10及以上版本）、UOS统信、方德操作系统等；</w:t>
                  </w:r>
                </w:p>
                <w:p>
                  <w:pPr>
                    <w:pStyle w:val="null3"/>
                    <w:jc w:val="both"/>
                  </w:pPr>
                  <w:r>
                    <w:rPr>
                      <w:sz w:val="21"/>
                    </w:rPr>
                    <w:t>适配</w:t>
                  </w:r>
                  <w:r>
                    <w:rPr>
                      <w:sz w:val="21"/>
                    </w:rPr>
                    <w:t>Windows桌面操作系统的各版本。</w:t>
                  </w:r>
                </w:p>
              </w:tc>
            </w:tr>
            <w:tr>
              <w:tc>
                <w:tcPr>
                  <w:tcW w:type="dxa" w:w="1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客户端浏览器</w:t>
                  </w:r>
                </w:p>
              </w:tc>
              <w:tc>
                <w:tcPr>
                  <w:tcW w:type="dxa" w:w="4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至少</w:t>
                  </w:r>
                  <w:r>
                    <w:rPr>
                      <w:sz w:val="21"/>
                    </w:rPr>
                    <w:t>适配统信</w:t>
                  </w:r>
                  <w:r>
                    <w:rPr>
                      <w:sz w:val="21"/>
                    </w:rPr>
                    <w:t>UOS浏览器、火狐浏览器、360安全浏览器、谷歌浏览器、</w:t>
                  </w:r>
                  <w:r>
                    <w:rPr>
                      <w:sz w:val="21"/>
                    </w:rPr>
                    <w:t>Windows自带浏览器</w:t>
                  </w:r>
                  <w:r>
                    <w:rPr>
                      <w:sz w:val="21"/>
                    </w:rPr>
                    <w:t>。</w:t>
                  </w:r>
                </w:p>
              </w:tc>
            </w:tr>
            <w:tr>
              <w:tc>
                <w:tcPr>
                  <w:tcW w:type="dxa" w:w="1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客户端适应性</w:t>
                  </w:r>
                </w:p>
              </w:tc>
              <w:tc>
                <w:tcPr>
                  <w:tcW w:type="dxa" w:w="4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可视化页面能自适应常用不同分辨率的</w:t>
                  </w:r>
                  <w:r>
                    <w:rPr>
                      <w:sz w:val="21"/>
                    </w:rPr>
                    <w:t>PC、移动端展示，展示界面无需重复建设。</w:t>
                  </w:r>
                </w:p>
              </w:tc>
            </w:tr>
            <w:tr>
              <w:tc>
                <w:tcPr>
                  <w:tcW w:type="dxa" w:w="1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客户端可靠性</w:t>
                  </w:r>
                </w:p>
              </w:tc>
              <w:tc>
                <w:tcPr>
                  <w:tcW w:type="dxa" w:w="4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平台需具备良好的可扩展性，支持集群部署。应确保</w:t>
                  </w:r>
                  <w:r>
                    <w:rPr>
                      <w:sz w:val="21"/>
                    </w:rPr>
                    <w:t>7*24小时的安全稳定运行。软件版本升级或改进应在不影响业务的情况下进行，保证系统可以稳定、平滑过渡。</w:t>
                  </w:r>
                </w:p>
              </w:tc>
            </w:tr>
          </w:tbl>
          <w:p>
            <w:pPr>
              <w:pStyle w:val="null3"/>
              <w:jc w:val="left"/>
            </w:pPr>
            <w:r>
              <w:rPr>
                <w:sz w:val="21"/>
                <w:color w:val="000000"/>
              </w:rPr>
              <w:t>5.4 基础硬件配置</w:t>
            </w:r>
          </w:p>
          <w:tbl>
            <w:tblPr>
              <w:tblInd w:type="dxa" w:w="120"/>
              <w:tblBorders>
                <w:top w:val="none" w:color="000000" w:sz="4"/>
                <w:left w:val="none" w:color="000000" w:sz="4"/>
                <w:bottom w:val="none" w:color="000000" w:sz="4"/>
                <w:right w:val="none" w:color="000000" w:sz="4"/>
                <w:insideH w:val="none"/>
                <w:insideV w:val="none"/>
              </w:tblBorders>
            </w:tblPr>
            <w:tblGrid>
              <w:gridCol w:w="1464"/>
              <w:gridCol w:w="4134"/>
            </w:tblGrid>
            <w:tr>
              <w:tc>
                <w:tcPr>
                  <w:tcW w:type="dxa" w:w="14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指标</w:t>
                  </w:r>
                </w:p>
              </w:tc>
              <w:tc>
                <w:tcPr>
                  <w:tcW w:type="dxa" w:w="4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要求</w:t>
                  </w:r>
                </w:p>
              </w:tc>
            </w:tr>
            <w:tr>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CPU</w:t>
                  </w:r>
                </w:p>
              </w:tc>
              <w:tc>
                <w:tcPr>
                  <w:tcW w:type="dxa" w:w="4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 vCPUs或以上。</w:t>
                  </w:r>
                </w:p>
              </w:tc>
            </w:tr>
            <w:tr>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内存</w:t>
                  </w:r>
                </w:p>
              </w:tc>
              <w:tc>
                <w:tcPr>
                  <w:tcW w:type="dxa" w:w="4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16G或以上。</w:t>
                  </w:r>
                </w:p>
              </w:tc>
            </w:tr>
            <w:tr>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存储</w:t>
                  </w:r>
                </w:p>
              </w:tc>
              <w:tc>
                <w:tcPr>
                  <w:tcW w:type="dxa" w:w="4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512G或以上。</w:t>
                  </w:r>
                </w:p>
              </w:tc>
            </w:tr>
            <w:tr>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带宽</w:t>
                  </w:r>
                </w:p>
              </w:tc>
              <w:tc>
                <w:tcPr>
                  <w:tcW w:type="dxa" w:w="4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10Mbps以上。</w:t>
                  </w:r>
                </w:p>
              </w:tc>
            </w:tr>
          </w:tbl>
          <w:p>
            <w:pPr>
              <w:pStyle w:val="null3"/>
              <w:ind w:firstLine="420"/>
              <w:jc w:val="left"/>
            </w:pPr>
            <w:r>
              <w:rPr>
                <w:sz w:val="21"/>
                <w:color w:val="000000"/>
              </w:rPr>
              <w:t>由采购人提供两台或更多满足以上配置要求的服务器设备和带宽要求的网络，并确保这些设备具有稳定可靠的硬件性能和网络连接。</w:t>
            </w:r>
          </w:p>
          <w:p>
            <w:pPr>
              <w:pStyle w:val="null3"/>
              <w:jc w:val="left"/>
            </w:pPr>
            <w:r>
              <w:rPr>
                <w:sz w:val="21"/>
                <w:color w:val="000000"/>
              </w:rPr>
              <w:t>5.5 性能要求</w:t>
            </w:r>
          </w:p>
          <w:tbl>
            <w:tblPr>
              <w:tblInd w:type="dxa" w:w="120"/>
              <w:tblBorders>
                <w:top w:val="none" w:color="000000" w:sz="4"/>
                <w:left w:val="none" w:color="000000" w:sz="4"/>
                <w:bottom w:val="none" w:color="000000" w:sz="4"/>
                <w:right w:val="none" w:color="000000" w:sz="4"/>
                <w:insideH w:val="none"/>
                <w:insideV w:val="none"/>
              </w:tblBorders>
            </w:tblPr>
            <w:tblGrid>
              <w:gridCol w:w="1460"/>
              <w:gridCol w:w="4126"/>
            </w:tblGrid>
            <w:tr>
              <w:tc>
                <w:tcPr>
                  <w:tcW w:type="dxa" w:w="1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指标</w:t>
                  </w:r>
                </w:p>
              </w:tc>
              <w:tc>
                <w:tcPr>
                  <w:tcW w:type="dxa" w:w="4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要求</w:t>
                  </w:r>
                </w:p>
              </w:tc>
            </w:tr>
            <w:tr>
              <w:tc>
                <w:tcPr>
                  <w:tcW w:type="dxa" w:w="1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反应时间</w:t>
                  </w:r>
                </w:p>
              </w:tc>
              <w:tc>
                <w:tcPr>
                  <w:tcW w:type="dxa" w:w="4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平均反应时间</w:t>
                  </w:r>
                  <w:r>
                    <w:rPr>
                      <w:sz w:val="21"/>
                    </w:rPr>
                    <w:t>≤5s，最大负载反应时间≤10s。</w:t>
                  </w:r>
                </w:p>
              </w:tc>
            </w:tr>
            <w:tr>
              <w:tc>
                <w:tcPr>
                  <w:tcW w:type="dxa" w:w="1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系统稳定性</w:t>
                  </w:r>
                </w:p>
              </w:tc>
              <w:tc>
                <w:tcPr>
                  <w:tcW w:type="dxa" w:w="4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系统软硬件整体及其功能模块应具有稳定性，在各种情况下软件系统可用率</w:t>
                  </w:r>
                  <w:r>
                    <w:rPr>
                      <w:sz w:val="21"/>
                    </w:rPr>
                    <w:t>&gt;=99.8%。</w:t>
                  </w:r>
                </w:p>
              </w:tc>
            </w:tr>
          </w:tbl>
          <w:p>
            <w:pPr>
              <w:pStyle w:val="null3"/>
              <w:jc w:val="left"/>
            </w:pPr>
            <w:r>
              <w:rPr>
                <w:sz w:val="21"/>
                <w:color w:val="000000"/>
              </w:rPr>
              <w:t>5.6 安全性要求</w:t>
            </w:r>
          </w:p>
          <w:p>
            <w:pPr>
              <w:pStyle w:val="null3"/>
              <w:ind w:firstLine="420"/>
              <w:jc w:val="left"/>
            </w:pPr>
            <w:r>
              <w:rPr>
                <w:sz w:val="21"/>
                <w:color w:val="000000"/>
              </w:rPr>
              <w:t>本项目软件系统满足以下安全要求：</w:t>
            </w:r>
          </w:p>
          <w:p>
            <w:pPr>
              <w:pStyle w:val="null3"/>
              <w:ind w:firstLine="420"/>
              <w:jc w:val="left"/>
            </w:pPr>
            <w:r>
              <w:rPr>
                <w:sz w:val="21"/>
                <w:color w:val="000000"/>
              </w:rPr>
              <w:t>1.提供的可视化产品符合国家信息系统安全等级保护（三级）的相关要求。</w:t>
            </w:r>
          </w:p>
          <w:p>
            <w:pPr>
              <w:pStyle w:val="null3"/>
              <w:ind w:firstLine="420"/>
              <w:jc w:val="left"/>
            </w:pPr>
            <w:r>
              <w:rPr>
                <w:sz w:val="21"/>
                <w:color w:val="000000"/>
              </w:rPr>
              <w:t>2.建设的广东特检大数据可视化平台需符合国家信息系统安全等级保护（二级）的相关要求。</w:t>
            </w:r>
          </w:p>
          <w:p>
            <w:pPr>
              <w:pStyle w:val="null3"/>
              <w:ind w:firstLine="420"/>
              <w:jc w:val="left"/>
            </w:pPr>
            <w:r>
              <w:rPr>
                <w:sz w:val="21"/>
                <w:color w:val="000000"/>
              </w:rPr>
              <w:t>3.身份认证：基于账号密码进行身份认证，实现用户的身份认证，并确保信息的完整性和来源合法性。</w:t>
            </w:r>
          </w:p>
          <w:p>
            <w:pPr>
              <w:pStyle w:val="null3"/>
              <w:ind w:firstLine="420"/>
              <w:jc w:val="left"/>
            </w:pPr>
            <w:r>
              <w:rPr>
                <w:sz w:val="21"/>
                <w:color w:val="000000"/>
              </w:rPr>
              <w:t>4.数据保密性：将账号、密码、身份证号、手机号和家庭住址等敏感信息进行加密处理，确保在数据存储、传输和处理过程中，只有授权人员能够解密和访问数据内容。同时，应遵循以下原则：仅在具有特定目的和充分必要性的情况下处理敏感个人信息，并采取严格的保护措施。在处理之前，需要进行影响评估，并向个人告知处理的必要性以及对个人权益的影响。</w:t>
            </w:r>
          </w:p>
          <w:p>
            <w:pPr>
              <w:pStyle w:val="null3"/>
              <w:ind w:firstLine="420"/>
              <w:jc w:val="left"/>
            </w:pPr>
            <w:r>
              <w:rPr>
                <w:sz w:val="21"/>
                <w:color w:val="000000"/>
              </w:rPr>
              <w:t>5.访问控制：严格控制数据访问的权限。提供方便的授权/取消机制和检查机制，对于系统资源的访问权限，可针对不同的用户灵活配置不同的访问策略。</w:t>
            </w:r>
          </w:p>
          <w:p>
            <w:pPr>
              <w:pStyle w:val="null3"/>
              <w:ind w:firstLine="420"/>
              <w:jc w:val="left"/>
            </w:pPr>
            <w:r>
              <w:rPr/>
              <w:t xml:space="preserve"> </w:t>
            </w:r>
          </w:p>
        </w:tc>
      </w:tr>
      <w:tr>
        <w:tc>
          <w:tcPr>
            <w:tcW w:type="dxa" w:w="2076"/>
          </w:tcPr>
          <w:p/>
        </w:tc>
        <w:tc>
          <w:tcPr>
            <w:tcW w:type="dxa" w:w="415"/>
          </w:tcPr>
          <w:p>
            <w:pPr>
              <w:pStyle w:val="null3"/>
            </w:pPr>
            <w:r>
              <w:rPr/>
              <w:t>9</w:t>
            </w:r>
          </w:p>
        </w:tc>
        <w:tc>
          <w:tcPr>
            <w:tcW w:type="dxa" w:w="5814"/>
          </w:tcPr>
          <w:p>
            <w:pPr>
              <w:pStyle w:val="null3"/>
              <w:jc w:val="left"/>
            </w:pPr>
            <w:r>
              <w:rPr>
                <w:sz w:val="21"/>
                <w:b/>
                <w:color w:val="000000"/>
              </w:rPr>
              <w:t>6.</w:t>
            </w:r>
            <w:r>
              <w:rPr>
                <w:sz w:val="21"/>
                <w:b/>
                <w:color w:val="000000"/>
              </w:rPr>
              <w:t>总服务需求</w:t>
            </w:r>
          </w:p>
          <w:p>
            <w:pPr>
              <w:pStyle w:val="null3"/>
              <w:jc w:val="left"/>
            </w:pPr>
            <w:r>
              <w:rPr>
                <w:sz w:val="21"/>
                <w:color w:val="000000"/>
              </w:rPr>
              <w:t>6.1 项目实施要求</w:t>
            </w:r>
          </w:p>
          <w:p>
            <w:pPr>
              <w:pStyle w:val="null3"/>
              <w:ind w:firstLine="420"/>
              <w:jc w:val="left"/>
            </w:pPr>
            <w:r>
              <w:rPr>
                <w:sz w:val="21"/>
                <w:color w:val="000000"/>
              </w:rPr>
              <w:t>（一）项目总体要求</w:t>
            </w:r>
          </w:p>
          <w:p>
            <w:pPr>
              <w:pStyle w:val="null3"/>
              <w:ind w:firstLine="420"/>
              <w:jc w:val="left"/>
            </w:pPr>
            <w:r>
              <w:rPr>
                <w:sz w:val="21"/>
                <w:color w:val="000000"/>
              </w:rPr>
              <w:t>1.有成熟可行的实施方法论支撑，提供了比较详细的调研、设计、专家评审、修订和实施阶段服务的计划；</w:t>
            </w:r>
          </w:p>
          <w:p>
            <w:pPr>
              <w:pStyle w:val="null3"/>
              <w:ind w:firstLine="420"/>
              <w:jc w:val="left"/>
            </w:pPr>
            <w:r>
              <w:rPr>
                <w:sz w:val="21"/>
                <w:color w:val="000000"/>
              </w:rPr>
              <w:t>2.分阶段进行项目进程把控，并且有相应的控制文档，具有成功的项目管理经验；</w:t>
            </w:r>
          </w:p>
          <w:p>
            <w:pPr>
              <w:pStyle w:val="null3"/>
              <w:ind w:firstLine="420"/>
              <w:jc w:val="left"/>
            </w:pPr>
            <w:r>
              <w:rPr>
                <w:sz w:val="21"/>
                <w:color w:val="000000"/>
              </w:rPr>
              <w:t>3.项目经理需具备丰富的项目经验和专业能力，提供项目经理工作履历。</w:t>
            </w:r>
          </w:p>
          <w:p>
            <w:pPr>
              <w:pStyle w:val="null3"/>
              <w:ind w:firstLine="420"/>
              <w:jc w:val="left"/>
            </w:pPr>
            <w:r>
              <w:rPr>
                <w:sz w:val="21"/>
                <w:color w:val="000000"/>
              </w:rPr>
              <w:t>4.投标人需提供服务人员中级或以上职称证书。</w:t>
            </w:r>
          </w:p>
          <w:p>
            <w:pPr>
              <w:pStyle w:val="null3"/>
              <w:ind w:firstLine="420"/>
              <w:jc w:val="left"/>
            </w:pPr>
            <w:r>
              <w:rPr>
                <w:sz w:val="21"/>
                <w:color w:val="000000"/>
              </w:rPr>
              <w:t>（二）项目实施进度要求</w:t>
            </w:r>
          </w:p>
          <w:p>
            <w:pPr>
              <w:pStyle w:val="null3"/>
              <w:ind w:firstLine="420"/>
              <w:jc w:val="left"/>
            </w:pPr>
            <w:r>
              <w:rPr>
                <w:sz w:val="21"/>
                <w:color w:val="000000"/>
              </w:rPr>
              <w:t>自合同签订之日起四个月内完成项目主要功能开发，项目终验合格后提供一年系统维保期。</w:t>
            </w:r>
          </w:p>
          <w:p>
            <w:pPr>
              <w:pStyle w:val="null3"/>
              <w:ind w:firstLine="420"/>
              <w:jc w:val="left"/>
            </w:pPr>
            <w:r>
              <w:rPr>
                <w:sz w:val="21"/>
                <w:color w:val="000000"/>
              </w:rPr>
              <w:t>（三）其它实施要求</w:t>
            </w:r>
          </w:p>
          <w:p>
            <w:pPr>
              <w:pStyle w:val="null3"/>
              <w:ind w:firstLine="420"/>
              <w:jc w:val="left"/>
            </w:pPr>
            <w:r>
              <w:rPr>
                <w:sz w:val="21"/>
                <w:color w:val="000000"/>
              </w:rPr>
              <w:t>1.要求投标人必须具有良好信誉和相关实力的技术队伍，由原厂负责实施，必要时提供社保证明。</w:t>
            </w:r>
          </w:p>
          <w:p>
            <w:pPr>
              <w:pStyle w:val="null3"/>
              <w:ind w:firstLine="420"/>
              <w:jc w:val="left"/>
            </w:pPr>
            <w:r>
              <w:rPr>
                <w:sz w:val="21"/>
                <w:color w:val="000000"/>
              </w:rPr>
              <w:t>2.投标人应本着认真负责态度，组织技术队伍，做好投标的整体方案，并书面提出长期保修、维护、服务以及今后技术支持的措施计划和承诺。</w:t>
            </w:r>
          </w:p>
          <w:p>
            <w:pPr>
              <w:pStyle w:val="null3"/>
              <w:ind w:firstLine="420"/>
              <w:jc w:val="left"/>
            </w:pPr>
            <w:r>
              <w:rPr>
                <w:sz w:val="21"/>
                <w:color w:val="000000"/>
              </w:rPr>
              <w:t>（四）系统测试要求</w:t>
            </w:r>
          </w:p>
          <w:p>
            <w:pPr>
              <w:pStyle w:val="null3"/>
              <w:ind w:firstLine="420"/>
              <w:jc w:val="left"/>
            </w:pPr>
            <w:r>
              <w:rPr>
                <w:sz w:val="21"/>
                <w:color w:val="000000"/>
              </w:rPr>
              <w:t>系统安装完成后，按照系统要求的功能和性能逐一测试。</w:t>
            </w:r>
          </w:p>
          <w:p>
            <w:pPr>
              <w:pStyle w:val="null3"/>
              <w:ind w:firstLine="420"/>
              <w:jc w:val="left"/>
            </w:pPr>
            <w:r>
              <w:rPr>
                <w:sz w:val="21"/>
                <w:color w:val="000000"/>
              </w:rPr>
              <w:t>投标人应负责在项目验收时将系统的全部有关产品说明书、原厂家安装手册、技术文件、资料、安装、验收报告等文档交付设备使用单位。</w:t>
            </w:r>
          </w:p>
        </w:tc>
      </w:tr>
      <w:tr>
        <w:tc>
          <w:tcPr>
            <w:tcW w:type="dxa" w:w="2076"/>
          </w:tcPr>
          <w:p/>
        </w:tc>
        <w:tc>
          <w:tcPr>
            <w:tcW w:type="dxa" w:w="415"/>
          </w:tcPr>
          <w:p>
            <w:pPr>
              <w:pStyle w:val="null3"/>
            </w:pPr>
            <w:r>
              <w:rPr/>
              <w:t>10</w:t>
            </w:r>
          </w:p>
        </w:tc>
        <w:tc>
          <w:tcPr>
            <w:tcW w:type="dxa" w:w="5814"/>
          </w:tcPr>
          <w:p>
            <w:pPr>
              <w:pStyle w:val="null3"/>
              <w:jc w:val="left"/>
            </w:pPr>
            <w:r>
              <w:rPr>
                <w:sz w:val="21"/>
                <w:b/>
                <w:color w:val="000000"/>
              </w:rPr>
              <w:t>6．总服务需求</w:t>
            </w:r>
          </w:p>
          <w:p>
            <w:pPr>
              <w:pStyle w:val="null3"/>
              <w:jc w:val="left"/>
            </w:pPr>
            <w:r>
              <w:rPr>
                <w:sz w:val="21"/>
                <w:color w:val="000000"/>
              </w:rPr>
              <w:t>6.2</w:t>
            </w:r>
            <w:r>
              <w:rPr>
                <w:sz w:val="21"/>
                <w:color w:val="000000"/>
              </w:rPr>
              <w:t>交付文档要求</w:t>
            </w:r>
          </w:p>
          <w:p>
            <w:pPr>
              <w:pStyle w:val="null3"/>
              <w:ind w:firstLine="420"/>
              <w:jc w:val="left"/>
            </w:pPr>
            <w:r>
              <w:rPr>
                <w:sz w:val="21"/>
                <w:color w:val="000000"/>
              </w:rPr>
              <w:t>供应商需承诺按照最终需求方规定的进度要求上线系统，并根据阶段任务要求开展相应的工作，输出相应的交付物，包括但不限于完成需求分析、概要设计、详细设计、测试方案、测试用例、测试报告、试运行报告、操作手册、运维手册、培训方案、培训教材、培训记录、部署文件及双方协商认为必要的材料。</w:t>
            </w:r>
          </w:p>
          <w:p>
            <w:pPr>
              <w:pStyle w:val="null3"/>
              <w:ind w:firstLine="420"/>
              <w:jc w:val="left"/>
            </w:pPr>
            <w:r>
              <w:rPr>
                <w:sz w:val="21"/>
                <w:color w:val="000000"/>
              </w:rPr>
              <w:t>供应商应在项目完成时，将本项目所有文档、资料汇集成册交付给采购方，所有文件要求用中文书写或有完整的中文注释。供应商需负责所有交付的项目过程文档打印装订等费用及工作。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采购包3（广东省特种设备检测研究院网站建设项目）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自合同签订之日起四个月内完成项目主要功能开发，项目终验合格后提供一年系统维保期。</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本项目合同签署生效后10日内，中标人向采购人支付合同总价5%的履约保证金，采购人在收到中标人开具的合同总价30%的增值税专用发票后，10个工作日内向中标人支付合同总价的30%作为本项目预付款；</w:t>
            </w:r>
          </w:p>
          <w:p>
            <w:pPr>
              <w:pStyle w:val="null3"/>
            </w:pPr>
            <w:r>
              <w:rPr/>
              <w:t>2期：支付比例70%,项目建设完成后上线试运行三个月，且通过采购人组织的验收合格，采购人在收到中标人开具的合同总价70%的增值税发票发票后，10个工作日内向中标人支付合同总价的70%。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1期：1.交付验收标准依次序对照适用标准为： （1）符合中华人民共和国国家安全质量标准、环保标准或行业标准； （2）符合采购文件和响应承诺中采购人认可的合理最佳配置、参数及各项要求； 2.采购人组成验收小组按国家有关规定、规范，对照合同约定进行验收，必要时邀请相关的专业人员或机构参与验收。 3.验收时如发现所提供的服务不符合用户要求规定之情形者，采购人应作出详尽的现场记录，或由采购人、中标人双方签署备忘录。 4.验收材料包括以下内容： （1）按照合同本身及其技术协议等附件约定的所有文件和文档。 （2）根据招标文件所编写的投标文件中所标明的软件模块，及相关技术维护文档、培训教材、使用说明书及双方协商认为必要的材料。 5.采购人组织验收，对中标人提供的项目成果和验收资料进行核实，并做好验收记录，验收记录与验收材料共同组成验收报告作为本项目支付的条件。 6.项目终验，本项目成果符合验收标准，且系统在试运行期间稳定运行，试运行结束后，中标人应以书面形式向采购人提出项目终验申请,采购人应在收到该申请的7日内组织终验。 7.如果验收不合格的，采购人有权作更换或退回处理，并由中标人承担全部费用。</w:t>
            </w:r>
          </w:p>
        </w:tc>
      </w:tr>
      <w:tr>
        <w:tc>
          <w:tcPr>
            <w:tcW w:type="dxa" w:w="4153"/>
          </w:tcPr>
          <w:p>
            <w:pPr>
              <w:pStyle w:val="null3"/>
            </w:pPr>
            <w:r>
              <w:rPr/>
              <w:t>履约保证金</w:t>
            </w:r>
          </w:p>
        </w:tc>
        <w:tc>
          <w:tcPr>
            <w:tcW w:type="dxa" w:w="4153"/>
          </w:tcPr>
          <w:p>
            <w:pPr>
              <w:pStyle w:val="null3"/>
            </w:pPr>
            <w:r>
              <w:rPr/>
              <w:t>收取比例：5%,说明：说明： (一)提交说明 1.时间：合同签订之日起10日内； 2.金额：合同总金额的5%； 3.方式：支票、汇票、本票、转账、银行履约保函； (二)退还说明： 1.时间、方式和条件：本合同履行期间中标人无违约行为，运维服务完成并通过最终验收后，采购人在收到中标人提出申请退还履约保证金后15日内退回中标人的履约保证金（履约保证金不计利息）或履约保函失效。 2.采购人逾期退还履约保证金的，除应当退还履约保证金本金外，还应当每日按合同总价的万分之一向中标人偿付违约金，但因中标人自身原因导致无法及时退还的除外。 3.中标人违反合同及其附件约定的任何义务，采购人有权在履约保证金中直接扣除中标人应向采购人支付的违约金或损失赔偿额，如有不足的，中标人应对超过的部分予以赔偿，并自发生扣除次日开始，10个日历日内补齐履约保证金的金额至约定的总额。 （三）不予退还的情形： 1.中标人将本项目进行分包或转包给他人； 2.在履行合同期间，中标人提前终止本项目合同； 3.在履行合同期间，中标人因在经营活动中存在违法被吊销营业执照或相关许可，导致本项目合同无法继续履行的。</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报价要求，投标人的投标报价包含本项目采购文件《采购需求》要求的全部内容、技术协议的全部内容，包含但不限于投标人成本费、雇员费（包括但不限于人员工资、褔利等）、交通费、场地费、税金（全额含税发票）以及项目实施过程中其它应预见和不可预见费用等完成本采购项目的一切费用。投标报价超出本采购包预算金额（最高限价）的，将导致其投标无效。</w:t>
            </w:r>
          </w:p>
          <w:p>
            <w:pPr>
              <w:pStyle w:val="null3"/>
            </w:pPr>
            <w:r>
              <w:rPr/>
              <w:t>（二）合同履行期限及履行地点，1.合同履行期限：自合同签订之日起四个月内完成项目主要功能开发，项目终验合格后提供一年系统维保期。 2.履行地点：采购人指定地点。</w:t>
            </w:r>
          </w:p>
          <w:p>
            <w:pPr>
              <w:pStyle w:val="null3"/>
            </w:pPr>
            <w:r>
              <w:rPr/>
              <w:t>（三）维保期及售后服务，1.系统维保期：系统的维保期为项目通过验收之日起1年。维保期内产生的系统日常运维费用均由中标人承担。中标人在保修期内提供的技术支持，包括解决软件使用中的问题、bug修复等。及时响应采购方的问题，保证在合理时间内给予解决。提供软件补丁更新服务，确保软件的稳定性和安全性。提供定期的维护和保养服务，确保软件的正常运行。针对客户的特殊需求，提供定制化的服务和解决方案。提供完善的客户反馈渠道，收集客户意见和建议，不断改进和优化软件产品。 2.投标人需要有售后服务机构和有服务热线，服务机构需要有软件系统售后服务人员。中标人须提供常设每周7天×24小时服务专线和免费上门技术支持，由专人专线负责解答采购人在系统使用中遇到的问题，能够及时提出解决问题的建议和操作。投标人需提供售后服务方案（包括但不限于售后服务要求、售后服务保障体系、售后服务响应及承诺等）。 3.在维保期内，提供软件产品改正性维护，即在软件使用过程中识别和纠正软件错误，改正软件性能缺陷。 4.培训要求： （1）在项目实施过程中，中标人须负责培训采购人和最终用户的使用人员，直至完全掌握系统的操作使用、配置及维护方法。培训费用包含在合同总价中，采购人不再另外支付费用。中标人必须提供高水平的培训，培训内容、时间及相关安排与采购人协商，在征得采购人同意后方可实施。培训应包括平台的部署、使用、维护等。对于所有培训，中标人须派出具有相应专业资格和实际工作经验的培训教员进行培训，所有的培训教员必须用中文授课，除非有其它的协议规定。 （2）中标人负责制定培训教材、培训课程以及时间表，并明确提供系统管理、用户操作、系统部署维护、项目维护等方面的培训内容。中标人必须为所有被培训人员提供培训用文字资料和讲义等相关用品。所有的资料必须是中文书写。需针对不同用户角色安排不同的培训课程，并提供运维手册、用户操作手册，并发送到各个使用单位。</w:t>
            </w:r>
          </w:p>
          <w:p>
            <w:pPr>
              <w:pStyle w:val="null3"/>
            </w:pPr>
            <w:r>
              <w:rPr/>
              <w:t>（四）服务要求，1.根据本项目建设目标和项目建设功能模块要求开发一套广东省特种设备检测研究院网站系统，包括省院、20个直属院、16个省站和3个国家中心，实现网站统管统建；实现网站展示效果、网站信息发布、网站管理平台的统一管控。 2.投标人需提供项目整体解决方案（包括但不限于对系统业务的理解、总体研发思路、项目技术架构的理解、软件开发的难点分析等）及系统实施方案（包括但不限于项目管理流程、项目质量保证措施、质量保障方案以及需求调研、系统开发、系统测试、系统上线等）。 3.投标人应在本项目投入相应的技术团队，服务人员包含但不限于信息系统项目管理人员、系统分析人员、系统架构人员、项目管理人员。</w:t>
            </w:r>
          </w:p>
          <w:p>
            <w:pPr>
              <w:pStyle w:val="null3"/>
            </w:pPr>
            <w:r>
              <w:rPr/>
              <w:t>（五）服务标准，符合《行政事业单位内部控制规范（试行）》（财会〔2012〕21号）单位经济活动的内部控制要求和《政府会计制度》改革的要求。</w:t>
            </w:r>
          </w:p>
          <w:p>
            <w:pPr>
              <w:pStyle w:val="null3"/>
            </w:pPr>
            <w:r>
              <w:rPr/>
              <w:t>（六），本项目合同模板及相关条款，以本项目采购文件“第五章 合同文本”为准。</w:t>
            </w:r>
          </w:p>
          <w:p>
            <w:pPr>
              <w:pStyle w:val="null3"/>
            </w:pPr>
            <w:r>
              <w:rPr/>
              <w:t>（七），本项目对供应商的服务质量要求高、对企业实力及体系标准有较高要求，要求供应商在企业标准化工作体系、流程、企业信用信誉、服务质量、履约能力、企业体系认证管理等方面应完善、规范，并获得相关认证。</w:t>
            </w:r>
          </w:p>
          <w:p>
            <w:pPr>
              <w:pStyle w:val="null3"/>
            </w:pPr>
            <w:r>
              <w:rPr/>
              <w:t>（八）演示要求，1.演示人数：一般不超过 2 人（含授权委托代表） 2.演示时间：不得超过20分钟。 3.演示设备：投影仪投标现场已具备，投标人不需另行准备，电脑等设备投标人自带，同时须考虑设备与投标现场设备的兼容性。 4.演示方式：真实系统后台演示。 5.演示顺序：按投标人在广东省政府采购网的签到顺序。 6.演示内容 6.1投标人演示的内容不得与本项目的采购需求的内容无关。 6.2演示内容为 6.2.1 内容发布 功能演示包括但不限于内容编辑、历史版本控制、敏感词过滤、发文审批、内容发布、文章管理、附件管理、数据统计分析、智能搜索等。 6.2.2 系统管理 功能演示包括但不限于站点管理、栏目管理、运维监控、一键启停、角色与权限控制、数据备份与还原、补丁更新、数据统计分析等。 6.2.3 安全管理 功能演示包括但不限于安全检测、危险文件检测、防篡改、记录并反向追踪攻击过程等。</w:t>
            </w:r>
          </w:p>
          <w:p>
            <w:pPr>
              <w:pStyle w:val="null3"/>
            </w:pPr>
            <w:r>
              <w:rPr/>
              <w:t>（九）知识产权要求，1.本项目不会引起任何已申请、登记的知识产权所有权的转移。 2.投标人、采购人双方一致同意，投标人为履行本合同义务所形成的服务成果的知识产权归采购人所有。 3.本合同所涉及的数据所有权归采购人所有，中标人只能用于履行本合同之义务。 4.中标人提供的相关软件应是自行开发的产品或具备合法、合规授权，满足知识产权等方面的有关规定和要求。 5.中标人保证向采购人提供的服务成果是其独立实施完成，不存在任何侵犯第三方专利权、商标权、著作权等合法权益。如因中标人提供的服务成果侵犯任何第三方的合法权益，导致该第三方追究采购人责任的，中标人应负责解决并赔偿因此给采购人造成的全部损失。</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行业应用软件开发服务</w:t>
            </w:r>
          </w:p>
        </w:tc>
        <w:tc>
          <w:tcPr>
            <w:tcW w:type="dxa" w:w="933"/>
          </w:tcPr>
          <w:p>
            <w:pPr>
              <w:pStyle w:val="null3"/>
              <w:jc w:val="left"/>
            </w:pPr>
            <w:r>
              <w:rPr/>
              <w:t>广东省特种设备检测研究院网站建设项目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380,000.00</w:t>
            </w:r>
          </w:p>
        </w:tc>
        <w:tc>
          <w:tcPr>
            <w:tcW w:type="dxa" w:w="933"/>
          </w:tcPr>
          <w:p>
            <w:pPr>
              <w:pStyle w:val="null3"/>
              <w:jc w:val="right"/>
            </w:pPr>
            <w:r>
              <w:rPr/>
              <w:t>380,000.00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广东省特种设备检测研究院网站建设项目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color w:val="000000"/>
              </w:rPr>
              <w:t>1.项目背景</w:t>
            </w:r>
          </w:p>
          <w:p>
            <w:pPr>
              <w:pStyle w:val="null3"/>
              <w:ind w:firstLine="420"/>
              <w:jc w:val="left"/>
            </w:pPr>
            <w:r>
              <w:rPr>
                <w:sz w:val="21"/>
                <w:color w:val="000000"/>
              </w:rPr>
              <w:t>目前，全院系统官方网站共有</w:t>
            </w:r>
            <w:r>
              <w:rPr>
                <w:sz w:val="21"/>
                <w:color w:val="000000"/>
              </w:rPr>
              <w:t>23家，包括省院网站，20个直属院网站及2个国家中心网站。全院系统网站数量多，信息数据量大，迫切需要加强统一管理，提升整体建设水平。</w:t>
            </w:r>
          </w:p>
          <w:p>
            <w:pPr>
              <w:pStyle w:val="null3"/>
              <w:ind w:firstLine="420"/>
              <w:jc w:val="left"/>
            </w:pPr>
            <w:r>
              <w:rPr>
                <w:sz w:val="21"/>
                <w:color w:val="000000"/>
              </w:rPr>
              <w:t>2019年，根据国务院办公厅秘书局《国务院办公厅秘书局关于印发政府网站与政务新媒体检查指标、监管工作年度考核指标的通知》，要求各地区、各部门要进一步加强和完善政府网站及政务新媒体日常管理和常态化监管工作。</w:t>
            </w:r>
          </w:p>
          <w:p>
            <w:pPr>
              <w:pStyle w:val="null3"/>
              <w:ind w:firstLine="420"/>
              <w:jc w:val="left"/>
            </w:pPr>
            <w:r>
              <w:rPr>
                <w:sz w:val="21"/>
                <w:color w:val="000000"/>
              </w:rPr>
              <w:t>全院系统各级官方网站作为对外展示广东特检工作的重要窗口之一，为紧抓互联网信息时代脉搏，保证网站信息安全、政治导向正确、技术防护坚固为公众提供可靠信息和简便的网上办理事务入口，做到为民、便民、利民。</w:t>
            </w:r>
          </w:p>
        </w:tc>
      </w:tr>
      <w:tr>
        <w:tc>
          <w:tcPr>
            <w:tcW w:type="dxa" w:w="2076"/>
          </w:tcPr>
          <w:p/>
        </w:tc>
        <w:tc>
          <w:tcPr>
            <w:tcW w:type="dxa" w:w="415"/>
          </w:tcPr>
          <w:p>
            <w:pPr>
              <w:pStyle w:val="null3"/>
            </w:pPr>
            <w:r>
              <w:rPr/>
              <w:t>2</w:t>
            </w:r>
          </w:p>
        </w:tc>
        <w:tc>
          <w:tcPr>
            <w:tcW w:type="dxa" w:w="5814"/>
          </w:tcPr>
          <w:p>
            <w:pPr>
              <w:pStyle w:val="null3"/>
              <w:jc w:val="left"/>
            </w:pPr>
            <w:r>
              <w:rPr>
                <w:sz w:val="21"/>
                <w:b/>
                <w:color w:val="000000"/>
              </w:rPr>
              <w:t>2.项目目标</w:t>
            </w:r>
          </w:p>
          <w:p>
            <w:pPr>
              <w:pStyle w:val="null3"/>
              <w:jc w:val="both"/>
            </w:pPr>
            <w:r>
              <w:rPr>
                <w:sz w:val="21"/>
                <w:color w:val="000000"/>
              </w:rPr>
              <w:t xml:space="preserve">      实现网站统管统建为本次项目的战略目标，一是实现网站展示效果、网站信息发布、网站管理平台的统一管控。基于共同的文化理念和价值观，各子网站的页面呈现方式和信息处理方式等，以省院网站为标准，与省院网站体现出同构性。严肃对待信息发布流程，待发信息经省院相关负责人员审批方能对外发布。建立全院统一的网站管理平台，实现全院系统网站统一的规划、部署、设计、运维、监管，满足相关部门对网站的业务需求。二是强化网站服务功能，加强全院技术服务介绍与宣传。新网站将为客户提供更全面的服务信息、更便捷的服务渠道，提升客户办事效率。另外，新网站需进一步加强技术服务介绍与宣传，从而达到宣传业务、扩展受众、扩大影响的良好效果。三是通过网站展示广东特检品牌形象与实力。新网站应更好地发挥网络的宣传作用，进一步传播广东特检文化理念，以期更为有效地展示广东特检的品牌形象以及过硬的技术实力。四是对全院系统对外发布信息进行技术和人工审核把关，确保上网信息安全、政治导向正确，同时对全院系统各级官方网站历史内容进行技术扫描，筛选内容安全错误并进行改正。</w:t>
            </w:r>
          </w:p>
        </w:tc>
      </w:tr>
      <w:tr>
        <w:tc>
          <w:tcPr>
            <w:tcW w:type="dxa" w:w="2076"/>
          </w:tcPr>
          <w:p/>
        </w:tc>
        <w:tc>
          <w:tcPr>
            <w:tcW w:type="dxa" w:w="415"/>
          </w:tcPr>
          <w:p>
            <w:pPr>
              <w:pStyle w:val="null3"/>
            </w:pPr>
            <w:r>
              <w:rPr/>
              <w:t>3</w:t>
            </w:r>
          </w:p>
        </w:tc>
        <w:tc>
          <w:tcPr>
            <w:tcW w:type="dxa" w:w="5814"/>
          </w:tcPr>
          <w:p>
            <w:pPr>
              <w:pStyle w:val="null3"/>
              <w:jc w:val="left"/>
            </w:pPr>
            <w:r>
              <w:rPr>
                <w:sz w:val="21"/>
                <w:b/>
                <w:color w:val="000000"/>
              </w:rPr>
              <w:t>3.项目建设范围</w:t>
            </w:r>
          </w:p>
          <w:p>
            <w:pPr>
              <w:pStyle w:val="null3"/>
              <w:jc w:val="left"/>
            </w:pPr>
            <w:r>
              <w:rPr>
                <w:sz w:val="21"/>
                <w:color w:val="000000"/>
              </w:rPr>
              <w:t>3.1 项目建设内容</w:t>
            </w:r>
          </w:p>
          <w:p>
            <w:pPr>
              <w:pStyle w:val="null3"/>
              <w:ind w:firstLine="420"/>
              <w:jc w:val="left"/>
            </w:pPr>
            <w:r>
              <w:rPr>
                <w:sz w:val="21"/>
                <w:color w:val="000000"/>
              </w:rPr>
              <w:t>本次项目建设主要内容有：省院简体中、英文版响应式网站，以及相应的手机端；简体中文子站包括</w:t>
            </w:r>
            <w:r>
              <w:rPr>
                <w:sz w:val="21"/>
                <w:color w:val="000000"/>
              </w:rPr>
              <w:t>20个直属院、16个省站，3个国家中心，主站提供2套不同设计风格的前端页面模板用于省院，子站提供7套不同设计风格的前端模板用于直属院、省站、国家中心站，其中直属院3套模板，省站1套模板，国家中心3套模板。英文网站提供3套不同设计风格的模版用于省院、国家中心站。中、英文等不同的模板之间，可以实现完全独立的差异化设计和部署，满足子网站因业务不同的个性化的要求。各个网站之间可以互相链接，确保网站之间的互通。英文网站的风格和中文网站保持一致，只在栏目上做微调。</w:t>
            </w:r>
          </w:p>
          <w:p>
            <w:pPr>
              <w:pStyle w:val="null3"/>
              <w:jc w:val="left"/>
            </w:pPr>
            <w:r>
              <w:rPr>
                <w:sz w:val="21"/>
                <w:color w:val="000000"/>
              </w:rPr>
              <w:t>3.2 网站设计要求</w:t>
            </w:r>
          </w:p>
          <w:p>
            <w:pPr>
              <w:pStyle w:val="null3"/>
              <w:ind w:firstLine="315"/>
              <w:jc w:val="left"/>
            </w:pPr>
            <w:r>
              <w:rPr>
                <w:sz w:val="21"/>
                <w:color w:val="000000"/>
              </w:rPr>
              <w:t>(1)通过国内外同类型网站分析，用户群体分析，按照符合广东省特检院特色理念策划。</w:t>
            </w:r>
          </w:p>
          <w:p>
            <w:pPr>
              <w:pStyle w:val="null3"/>
              <w:ind w:firstLine="315"/>
              <w:jc w:val="left"/>
            </w:pPr>
            <w:r>
              <w:rPr>
                <w:sz w:val="21"/>
                <w:color w:val="000000"/>
              </w:rPr>
              <w:t>(2)根据需求及行业特点协助广东省特检院进行网站内容架构的规划设计，规划整体网站。</w:t>
            </w:r>
          </w:p>
          <w:p>
            <w:pPr>
              <w:pStyle w:val="null3"/>
              <w:ind w:firstLine="315"/>
              <w:jc w:val="left"/>
            </w:pPr>
            <w:r>
              <w:rPr>
                <w:sz w:val="21"/>
                <w:color w:val="000000"/>
              </w:rPr>
              <w:t>(3)根据网站功能及内容架构进行页面框架原型及交互流程设计，规划网站整体页面框线原型。</w:t>
            </w:r>
          </w:p>
          <w:p>
            <w:pPr>
              <w:pStyle w:val="null3"/>
              <w:ind w:firstLine="315"/>
              <w:jc w:val="left"/>
            </w:pPr>
            <w:r>
              <w:rPr>
                <w:sz w:val="21"/>
                <w:color w:val="000000"/>
              </w:rPr>
              <w:t>(4)结合广东省特检院的特点、网站的内容结构和网站目标用户的特点进行整体页面方案设计，设计需考虑内容展示要点及设计风格的整体性，确保首页和内容页视觉质量高且具有实用性和可操作性。</w:t>
            </w:r>
          </w:p>
        </w:tc>
      </w:tr>
      <w:tr>
        <w:tc>
          <w:tcPr>
            <w:tcW w:type="dxa" w:w="2076"/>
          </w:tcPr>
          <w:p/>
        </w:tc>
        <w:tc>
          <w:tcPr>
            <w:tcW w:type="dxa" w:w="415"/>
          </w:tcPr>
          <w:p>
            <w:pPr>
              <w:pStyle w:val="null3"/>
            </w:pPr>
            <w:r>
              <w:rPr/>
              <w:t>4</w:t>
            </w:r>
          </w:p>
        </w:tc>
        <w:tc>
          <w:tcPr>
            <w:tcW w:type="dxa" w:w="5814"/>
          </w:tcPr>
          <w:p>
            <w:pPr>
              <w:pStyle w:val="null3"/>
              <w:jc w:val="left"/>
            </w:pPr>
            <w:r>
              <w:rPr>
                <w:sz w:val="21"/>
                <w:b/>
                <w:color w:val="000000"/>
              </w:rPr>
              <w:t>3.项目建设范围</w:t>
            </w:r>
          </w:p>
          <w:p>
            <w:pPr>
              <w:pStyle w:val="null3"/>
              <w:jc w:val="left"/>
            </w:pPr>
            <w:r>
              <w:rPr>
                <w:sz w:val="21"/>
                <w:color w:val="000000"/>
              </w:rPr>
              <w:t>3.2实施组织范围</w:t>
            </w:r>
          </w:p>
          <w:p>
            <w:pPr>
              <w:pStyle w:val="null3"/>
              <w:jc w:val="both"/>
            </w:pPr>
            <w:r>
              <w:rPr>
                <w:sz w:val="21"/>
                <w:color w:val="000000"/>
              </w:rPr>
              <w:t>本期项目建设的组织范围为：广东省特检院省院、</w:t>
            </w:r>
            <w:r>
              <w:rPr>
                <w:sz w:val="21"/>
                <w:color w:val="000000"/>
              </w:rPr>
              <w:t>20个直属检测院、16个省站和3个国家中心。</w:t>
            </w:r>
          </w:p>
        </w:tc>
      </w:tr>
      <w:tr>
        <w:tc>
          <w:tcPr>
            <w:tcW w:type="dxa" w:w="2076"/>
          </w:tcPr>
          <w:p/>
        </w:tc>
        <w:tc>
          <w:tcPr>
            <w:tcW w:type="dxa" w:w="415"/>
          </w:tcPr>
          <w:p>
            <w:pPr>
              <w:pStyle w:val="null3"/>
            </w:pPr>
            <w:r>
              <w:rPr/>
              <w:t>5</w:t>
            </w:r>
          </w:p>
        </w:tc>
        <w:tc>
          <w:tcPr>
            <w:tcW w:type="dxa" w:w="5814"/>
          </w:tcPr>
          <w:p>
            <w:pPr>
              <w:pStyle w:val="null3"/>
              <w:jc w:val="left"/>
            </w:pPr>
            <w:r>
              <w:rPr>
                <w:sz w:val="21"/>
                <w:b/>
                <w:color w:val="000000"/>
              </w:rPr>
              <w:t>4.功能要求</w:t>
            </w:r>
          </w:p>
          <w:p>
            <w:pPr>
              <w:pStyle w:val="null3"/>
              <w:jc w:val="left"/>
            </w:pPr>
            <w:r>
              <w:rPr>
                <w:sz w:val="21"/>
                <w:color w:val="000000"/>
              </w:rPr>
              <w:t>4.1 后台系统功能要求</w:t>
            </w:r>
          </w:p>
          <w:tbl>
            <w:tblPr>
              <w:tblInd w:type="dxa" w:w="120"/>
              <w:tblBorders>
                <w:top w:val="none" w:color="000000" w:sz="4"/>
                <w:left w:val="none" w:color="000000" w:sz="4"/>
                <w:bottom w:val="none" w:color="000000" w:sz="4"/>
                <w:right w:val="none" w:color="000000" w:sz="4"/>
                <w:insideH w:val="none"/>
                <w:insideV w:val="none"/>
              </w:tblBorders>
            </w:tblPr>
            <w:tblGrid>
              <w:gridCol w:w="494"/>
              <w:gridCol w:w="694"/>
              <w:gridCol w:w="4387"/>
            </w:tblGrid>
            <w:tr>
              <w:tc>
                <w:tcPr>
                  <w:tcW w:type="dxa" w:w="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需求项</w:t>
                  </w:r>
                </w:p>
              </w:tc>
              <w:tc>
                <w:tcPr>
                  <w:tcW w:type="dxa" w:w="4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需求描述</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登录管理</w:t>
                  </w:r>
                </w:p>
              </w:tc>
              <w:tc>
                <w:tcPr>
                  <w:tcW w:type="dxa" w:w="4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color w:val="000000"/>
                    </w:rPr>
                    <w:t>（</w:t>
                  </w:r>
                  <w:r>
                    <w:rPr>
                      <w:sz w:val="21"/>
                      <w:color w:val="000000"/>
                    </w:rPr>
                    <w:t>1）系统需有部门站点、系统管理、内容管理独立的登录入口。</w:t>
                  </w:r>
                </w:p>
                <w:p>
                  <w:pPr>
                    <w:pStyle w:val="null3"/>
                    <w:ind w:firstLine="420"/>
                    <w:jc w:val="left"/>
                  </w:pPr>
                  <w:r>
                    <w:rPr>
                      <w:sz w:val="21"/>
                      <w:color w:val="000000"/>
                    </w:rPr>
                    <w:t>（</w:t>
                  </w:r>
                  <w:r>
                    <w:rPr>
                      <w:sz w:val="21"/>
                      <w:color w:val="000000"/>
                    </w:rPr>
                    <w:t>2）系统内需设定系统管理员、审计管理员、安全管理员三种管理员身份，并实现后台三员管理权限灵活设定。</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工作台</w:t>
                  </w:r>
                </w:p>
              </w:tc>
              <w:tc>
                <w:tcPr>
                  <w:tcW w:type="dxa" w:w="4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color w:val="000000"/>
                    </w:rPr>
                    <w:t>（</w:t>
                  </w:r>
                  <w:r>
                    <w:rPr>
                      <w:sz w:val="21"/>
                      <w:color w:val="000000"/>
                    </w:rPr>
                    <w:t>1）系统管理端需要提供系统工作台，协助系统管理员快速盘点系统站点情况、部门情况、管理员情况、访问与发文情况。</w:t>
                  </w:r>
                </w:p>
                <w:p>
                  <w:pPr>
                    <w:pStyle w:val="null3"/>
                    <w:ind w:firstLine="420"/>
                    <w:jc w:val="left"/>
                  </w:pPr>
                  <w:r>
                    <w:rPr>
                      <w:sz w:val="21"/>
                      <w:color w:val="000000"/>
                    </w:rPr>
                    <w:t>（</w:t>
                  </w:r>
                  <w:r>
                    <w:rPr>
                      <w:sz w:val="21"/>
                      <w:color w:val="000000"/>
                    </w:rPr>
                    <w:t>2）系统工作台支持查看长期未登录管理员，系统备份情况及磁盘空间情况，可对服务器连通性一键检测。</w:t>
                  </w:r>
                </w:p>
                <w:p>
                  <w:pPr>
                    <w:pStyle w:val="null3"/>
                    <w:ind w:firstLine="420"/>
                    <w:jc w:val="left"/>
                  </w:pPr>
                  <w:r>
                    <w:rPr>
                      <w:sz w:val="21"/>
                      <w:color w:val="000000"/>
                    </w:rPr>
                    <w:t>（</w:t>
                  </w:r>
                  <w:r>
                    <w:rPr>
                      <w:sz w:val="21"/>
                      <w:color w:val="000000"/>
                    </w:rPr>
                    <w:t>3）系统工作台支持系统安全检测，检测内容包括：长时间未登录的管理员账号，异常时间段登录账号，系统管理员登录是否设置IP规则，各级系统管理员是否设置敏感词过滤，是否有长期不更新的站点，文章历史记录（可通过”一键清理"按钮清理60天前文章历史记录），发现攻击行为记录，备份包的日期和完整性，产品所在磁盘的剩余空间，系统是否打开应用防火墙，系统可疑文件列表。针对检测结果，提供修复及防护日志查阅直达入口。</w:t>
                  </w:r>
                </w:p>
                <w:p>
                  <w:pPr>
                    <w:pStyle w:val="null3"/>
                    <w:ind w:firstLine="420"/>
                    <w:jc w:val="left"/>
                  </w:pPr>
                  <w:r>
                    <w:rPr>
                      <w:sz w:val="21"/>
                      <w:color w:val="000000"/>
                    </w:rPr>
                    <w:t>（</w:t>
                  </w:r>
                  <w:r>
                    <w:rPr>
                      <w:sz w:val="21"/>
                      <w:color w:val="000000"/>
                    </w:rPr>
                    <w:t>4）部门站点端提供部门工作台，需能够展示当前部门之下网站所属管理员情况，上级部门管理员可查看下级部门网站。支持展示部门之下站点总访问量、总发文量、总栏目数、今日访问量、今日访客数、今日发文量、热门搜索词云及访问趋势图，访问趋势需支持按照近7天、近30天、近1年进行不同时间维度数据呈现。</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站群管理</w:t>
                  </w:r>
                </w:p>
              </w:tc>
              <w:tc>
                <w:tcPr>
                  <w:tcW w:type="dxa" w:w="4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color w:val="000000"/>
                    </w:rPr>
                    <w:t>1、站点管理</w:t>
                  </w:r>
                </w:p>
                <w:p>
                  <w:pPr>
                    <w:pStyle w:val="null3"/>
                    <w:ind w:firstLine="420"/>
                    <w:jc w:val="left"/>
                  </w:pPr>
                  <w:r>
                    <w:rPr>
                      <w:sz w:val="21"/>
                      <w:color w:val="000000"/>
                    </w:rPr>
                    <w:t>（</w:t>
                  </w:r>
                  <w:r>
                    <w:rPr>
                      <w:sz w:val="21"/>
                      <w:color w:val="000000"/>
                    </w:rPr>
                    <w:t>1）站点管理支持站点分类管理，可从多种维度设定类型划分网站。站点管理支持按组织层级管理站点，可新增下级单位，能够采用下级单位视角盘点及管理每个下级单位的网站，能展示下级单位管理员联系方式。</w:t>
                  </w:r>
                </w:p>
                <w:p>
                  <w:pPr>
                    <w:pStyle w:val="null3"/>
                    <w:ind w:firstLine="420"/>
                    <w:jc w:val="left"/>
                  </w:pPr>
                  <w:r>
                    <w:rPr>
                      <w:sz w:val="21"/>
                      <w:color w:val="000000"/>
                    </w:rPr>
                    <w:t>（</w:t>
                  </w:r>
                  <w:r>
                    <w:rPr>
                      <w:sz w:val="21"/>
                      <w:color w:val="000000"/>
                    </w:rPr>
                    <w:t>2）支持新增站点、删除站点、全选操作、排序、批量发布、批量修改部门、批量修改分类、导出数据等操作。</w:t>
                  </w:r>
                </w:p>
                <w:p>
                  <w:pPr>
                    <w:pStyle w:val="null3"/>
                    <w:ind w:firstLine="420"/>
                    <w:jc w:val="left"/>
                  </w:pPr>
                  <w:r>
                    <w:rPr>
                      <w:sz w:val="21"/>
                      <w:color w:val="000000"/>
                    </w:rPr>
                    <w:t>（</w:t>
                  </w:r>
                  <w:r>
                    <w:rPr>
                      <w:sz w:val="21"/>
                      <w:color w:val="000000"/>
                    </w:rPr>
                    <w:t>3）系统提供一键关停功能，可对当前平台站点统一进行关停，当处于一键关停状态中，外界无法针对关停站点进行访问，同时支持一键启用，对关停站点进行恢复。能够实现针对当前站点批量实现停止维护、停止浏览、停止维护和浏览、正常运转等多种管控模式。</w:t>
                  </w:r>
                </w:p>
                <w:p>
                  <w:pPr>
                    <w:pStyle w:val="null3"/>
                    <w:ind w:firstLine="420"/>
                    <w:jc w:val="left"/>
                  </w:pPr>
                  <w:r>
                    <w:rPr>
                      <w:sz w:val="21"/>
                      <w:color w:val="000000"/>
                    </w:rPr>
                    <w:t>（</w:t>
                  </w:r>
                  <w:r>
                    <w:rPr>
                      <w:sz w:val="21"/>
                      <w:color w:val="000000"/>
                    </w:rPr>
                    <w:t>4）新闻栏目中插入某条信息之后，展示页面应该即时更新信息排序。</w:t>
                  </w:r>
                </w:p>
                <w:p>
                  <w:pPr>
                    <w:pStyle w:val="null3"/>
                    <w:ind w:firstLine="420"/>
                    <w:jc w:val="left"/>
                  </w:pPr>
                  <w:r>
                    <w:rPr>
                      <w:sz w:val="21"/>
                      <w:color w:val="000000"/>
                    </w:rPr>
                    <w:t>（</w:t>
                  </w:r>
                  <w:r>
                    <w:rPr>
                      <w:sz w:val="21"/>
                      <w:color w:val="000000"/>
                    </w:rPr>
                    <w:t>5）支持网站一键置灰、支持仅网站首页置灰。</w:t>
                  </w:r>
                </w:p>
                <w:p>
                  <w:pPr>
                    <w:pStyle w:val="null3"/>
                    <w:ind w:firstLine="420"/>
                    <w:jc w:val="left"/>
                  </w:pPr>
                  <w:r>
                    <w:rPr>
                      <w:sz w:val="21"/>
                      <w:color w:val="000000"/>
                    </w:rPr>
                    <w:t>（</w:t>
                  </w:r>
                  <w:r>
                    <w:rPr>
                      <w:sz w:val="21"/>
                      <w:color w:val="000000"/>
                    </w:rPr>
                    <w:t>6）网站特殊时期可切换至单位内运行。</w:t>
                  </w:r>
                </w:p>
                <w:p>
                  <w:pPr>
                    <w:pStyle w:val="null3"/>
                    <w:ind w:firstLine="420"/>
                    <w:jc w:val="left"/>
                  </w:pPr>
                  <w:r>
                    <w:rPr>
                      <w:sz w:val="21"/>
                      <w:color w:val="000000"/>
                    </w:rPr>
                    <w:t>（</w:t>
                  </w:r>
                  <w:r>
                    <w:rPr>
                      <w:sz w:val="21"/>
                      <w:color w:val="000000"/>
                    </w:rPr>
                    <w:t>7）支持站点启停生命周期管理，设置站点自动启停计划，系统自动执行站点的启停时间。</w:t>
                  </w:r>
                </w:p>
                <w:p>
                  <w:pPr>
                    <w:pStyle w:val="null3"/>
                    <w:ind w:firstLine="420"/>
                    <w:jc w:val="left"/>
                  </w:pPr>
                  <w:r>
                    <w:rPr>
                      <w:sz w:val="21"/>
                      <w:color w:val="000000"/>
                    </w:rPr>
                    <w:t>2、管理员权限与角色</w:t>
                  </w:r>
                </w:p>
                <w:p>
                  <w:pPr>
                    <w:pStyle w:val="null3"/>
                    <w:ind w:firstLine="420"/>
                    <w:jc w:val="left"/>
                  </w:pPr>
                  <w:r>
                    <w:rPr>
                      <w:sz w:val="21"/>
                      <w:color w:val="000000"/>
                    </w:rPr>
                    <w:t>(1)可以实现对所有管理员的统一管理，可设置其能够管理的网站及所属部门或组织机构。支持对长期未登录管理员进行监管和选择性禁用。</w:t>
                  </w:r>
                </w:p>
                <w:p>
                  <w:pPr>
                    <w:pStyle w:val="null3"/>
                    <w:ind w:firstLine="420"/>
                    <w:jc w:val="left"/>
                  </w:pPr>
                  <w:r>
                    <w:rPr>
                      <w:sz w:val="21"/>
                      <w:color w:val="000000"/>
                    </w:rPr>
                    <w:t>(2)系统支持分级、细粒度的权限划分，功能权限分配可详细到每一个菜单，内容管理权限可以细化到对每一个栏目的不同操作。</w:t>
                  </w:r>
                </w:p>
                <w:p>
                  <w:pPr>
                    <w:pStyle w:val="null3"/>
                    <w:ind w:firstLine="420"/>
                    <w:jc w:val="left"/>
                  </w:pPr>
                  <w:r>
                    <w:rPr>
                      <w:sz w:val="21"/>
                      <w:color w:val="000000"/>
                    </w:rPr>
                    <w:t>(3)系统可通过设置系统关注人，实现包含：系统备份、系统体检、应用防火墙、运维监控、系统补丁、系统授权监控、防篡改、危险文件检测等信息的推送和提醒。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网站建设</w:t>
                  </w:r>
                </w:p>
              </w:tc>
              <w:tc>
                <w:tcPr>
                  <w:tcW w:type="dxa" w:w="4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color w:val="000000"/>
                    </w:rPr>
                    <w:t>(1)系统需实现模板、栏目、资料三者分离，后台资料添加不会影响前台页面的正常展示。</w:t>
                  </w:r>
                </w:p>
                <w:p>
                  <w:pPr>
                    <w:pStyle w:val="null3"/>
                    <w:ind w:firstLine="420"/>
                    <w:jc w:val="left"/>
                  </w:pPr>
                  <w:r>
                    <w:rPr>
                      <w:sz w:val="21"/>
                      <w:color w:val="000000"/>
                    </w:rPr>
                    <w:t>(2)采用响应式技术，确保网站能够适应不同尺寸和分辨率的设备，包括桌面电脑、平板电脑和手机等，并且布局和内容能够根据屏幕大小和方向进行调整。移动端网站提供模拟器预览功能。</w:t>
                  </w:r>
                </w:p>
                <w:p>
                  <w:pPr>
                    <w:pStyle w:val="null3"/>
                    <w:ind w:firstLine="420"/>
                    <w:jc w:val="left"/>
                  </w:pPr>
                  <w:r>
                    <w:rPr>
                      <w:sz w:val="21"/>
                      <w:color w:val="000000"/>
                    </w:rPr>
                    <w:t>(3)网站建设过程需提供历史数据还原功能，避免修改错误导致页面无法正确恢复。</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内容创作管理</w:t>
                  </w:r>
                </w:p>
              </w:tc>
              <w:tc>
                <w:tcPr>
                  <w:tcW w:type="dxa" w:w="4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color w:val="000000"/>
                    </w:rPr>
                    <w:t>(1)支持敏感词检查和过滤功能，帮助快速发现重要时政提法错误、一般错别字、标点符号、涉密涉外涉军等各类内容风险。支持添加自定义敏感词汇，自动定期更新词库。</w:t>
                  </w:r>
                </w:p>
                <w:p>
                  <w:pPr>
                    <w:pStyle w:val="null3"/>
                    <w:ind w:firstLine="420"/>
                    <w:jc w:val="left"/>
                  </w:pPr>
                  <w:r>
                    <w:rPr>
                      <w:sz w:val="21"/>
                      <w:color w:val="000000"/>
                    </w:rPr>
                    <w:t>(2)可实现文章快速新增，对发文、撤稿、暂存等多种状态的内容进行管理。系统需提供至少6套的文章展示模板，以实现对一些特殊形式的文章快速实现排版和样式调整。</w:t>
                  </w:r>
                </w:p>
                <w:p>
                  <w:pPr>
                    <w:pStyle w:val="null3"/>
                    <w:ind w:firstLine="420"/>
                    <w:jc w:val="left"/>
                  </w:pPr>
                  <w:r>
                    <w:rPr>
                      <w:sz w:val="21"/>
                      <w:color w:val="000000"/>
                    </w:rPr>
                    <w:t>(3)系统应具有简单、稳定、易用的文章编辑器，并且支持Word/WPS文档一键原样在线导入，导入后的文字、图片、表格等格式与原样保持一致，草稿编辑过程支持自动定期保存。</w:t>
                  </w:r>
                </w:p>
                <w:p>
                  <w:pPr>
                    <w:pStyle w:val="null3"/>
                    <w:ind w:firstLine="420"/>
                    <w:jc w:val="left"/>
                  </w:pPr>
                  <w:r>
                    <w:rPr>
                      <w:sz w:val="21"/>
                      <w:color w:val="000000"/>
                    </w:rPr>
                    <w:t>(4)提供文章编辑一键排版工具，一键排版功能支持多种预设样式，可在后台下载并参考样例来定义样式文件，自主上传录入排版样式文件，文档可按照预先自定义的格式进行排版。</w:t>
                  </w:r>
                </w:p>
                <w:p>
                  <w:pPr>
                    <w:pStyle w:val="null3"/>
                    <w:ind w:firstLine="420"/>
                    <w:jc w:val="left"/>
                  </w:pPr>
                  <w:r>
                    <w:rPr>
                      <w:sz w:val="21"/>
                      <w:color w:val="000000"/>
                    </w:rPr>
                    <w:t>(5)系统支持pdf发布。可以对红头文件、重要的通知公告等这类文件在后台选择上传Word文档，系统能够自动转化成pdf文件对外进行发布。</w:t>
                  </w:r>
                </w:p>
                <w:p>
                  <w:pPr>
                    <w:pStyle w:val="null3"/>
                    <w:ind w:firstLine="420"/>
                    <w:jc w:val="left"/>
                  </w:pPr>
                  <w:r>
                    <w:rPr>
                      <w:sz w:val="21"/>
                      <w:color w:val="000000"/>
                    </w:rPr>
                    <w:t>(6)支持站群级别、站点级别的文章扩展字段自定义。支持新闻时效性管理，可以设置新闻上线及下线时间。</w:t>
                  </w:r>
                </w:p>
                <w:p>
                  <w:pPr>
                    <w:pStyle w:val="null3"/>
                    <w:ind w:firstLine="420"/>
                    <w:jc w:val="left"/>
                  </w:pPr>
                  <w:r>
                    <w:rPr>
                      <w:sz w:val="21"/>
                      <w:color w:val="000000"/>
                    </w:rPr>
                    <w:t>(7)系统支持多个标题图上传。可针对文章发布的标题图和正文图片进行在线裁剪，支持多种比例裁剪、翻转、镜像，满足新闻图片的展现需求。</w:t>
                  </w:r>
                </w:p>
                <w:p>
                  <w:pPr>
                    <w:pStyle w:val="null3"/>
                    <w:ind w:firstLine="420"/>
                    <w:jc w:val="left"/>
                  </w:pPr>
                  <w:r>
                    <w:rPr>
                      <w:sz w:val="21"/>
                      <w:color w:val="000000"/>
                    </w:rPr>
                    <w:t>(8)支持表格样式格式化功能，对表格的尺寸，边框，单元格对齐方式、单元格内边距、表格对齐方式等样式一键样式调整。</w:t>
                  </w:r>
                </w:p>
                <w:p>
                  <w:pPr>
                    <w:pStyle w:val="null3"/>
                    <w:ind w:firstLine="420"/>
                    <w:jc w:val="left"/>
                  </w:pPr>
                  <w:r>
                    <w:rPr>
                      <w:sz w:val="21"/>
                      <w:color w:val="000000"/>
                    </w:rPr>
                    <w:t>(9)支持文章历史修改过程记录，能够针对文章的不同历史版本，指定两个历史稿件进行同一界面下的双窗口内容比对，针对增删改等不同的修改点，实现不同颜色标记，便于审核人员审核校对。</w:t>
                  </w:r>
                </w:p>
                <w:p>
                  <w:pPr>
                    <w:pStyle w:val="null3"/>
                    <w:ind w:firstLine="420"/>
                    <w:jc w:val="left"/>
                  </w:pPr>
                  <w:r>
                    <w:rPr>
                      <w:sz w:val="21"/>
                      <w:color w:val="000000"/>
                    </w:rPr>
                    <w:t>(10)支持对历史数据进行归档，提升网站前台加载速度。</w:t>
                  </w:r>
                </w:p>
                <w:p>
                  <w:pPr>
                    <w:pStyle w:val="null3"/>
                    <w:ind w:firstLine="420"/>
                    <w:jc w:val="left"/>
                  </w:pPr>
                  <w:r>
                    <w:rPr>
                      <w:sz w:val="21"/>
                      <w:color w:val="000000"/>
                    </w:rPr>
                    <w:t>(11)支持文章拖拽式排序，拖拽排序之后保存，无需重新发布，即可实现前端页面文章顺序同步更新，也可以自定义文章排序顺序。</w:t>
                  </w:r>
                </w:p>
                <w:p>
                  <w:pPr>
                    <w:pStyle w:val="null3"/>
                    <w:ind w:firstLine="420"/>
                    <w:jc w:val="left"/>
                  </w:pPr>
                  <w:r>
                    <w:rPr>
                      <w:sz w:val="21"/>
                      <w:color w:val="000000"/>
                    </w:rPr>
                    <w:t>(12)在文章发布时，可以选择推送至本网站其他栏目，或者其他网站的多个栏目。</w:t>
                  </w:r>
                </w:p>
                <w:p>
                  <w:pPr>
                    <w:pStyle w:val="null3"/>
                    <w:ind w:firstLine="420"/>
                    <w:jc w:val="left"/>
                  </w:pPr>
                  <w:r>
                    <w:rPr>
                      <w:sz w:val="21"/>
                      <w:color w:val="000000"/>
                    </w:rPr>
                    <w:t>(13)系统能够记录详细的文章操作日志，可以记录站群系统中被操作文章的网站信息、操作内容、操作类型等信息，支持按照站点和操作类型进行筛选，并具有查询功能，同时支持以Excel文件导出。</w:t>
                  </w:r>
                </w:p>
                <w:p>
                  <w:pPr>
                    <w:pStyle w:val="null3"/>
                    <w:ind w:firstLine="420"/>
                    <w:jc w:val="left"/>
                  </w:pPr>
                  <w:r>
                    <w:rPr>
                      <w:sz w:val="21"/>
                      <w:color w:val="000000"/>
                    </w:rPr>
                    <w:t>(14)系统具有可视化审核流程配置功能，需支持设置不同栏目的审核体系，亦可以对多个栏目快速设置相同的审核流程。</w:t>
                  </w:r>
                </w:p>
                <w:p>
                  <w:pPr>
                    <w:pStyle w:val="null3"/>
                    <w:ind w:firstLine="420"/>
                    <w:jc w:val="left"/>
                  </w:pPr>
                  <w:r>
                    <w:rPr>
                      <w:sz w:val="21"/>
                      <w:color w:val="000000"/>
                    </w:rPr>
                    <w:t>(15)针对文章审核过程，支持一键输入审核意见。支持审核过程附件上传，明确反馈审核信息。</w:t>
                  </w:r>
                </w:p>
                <w:p>
                  <w:pPr>
                    <w:pStyle w:val="null3"/>
                    <w:ind w:firstLine="420"/>
                    <w:jc w:val="left"/>
                  </w:pPr>
                  <w:r>
                    <w:rPr>
                      <w:sz w:val="21"/>
                      <w:color w:val="000000"/>
                    </w:rPr>
                    <w:t>(16)提交审核过程需支持指定审核人，提交后支持查看文章当前的审核状态及处理人、处理意见等相关信息，可查看下一节点待审人。</w:t>
                  </w:r>
                </w:p>
                <w:p>
                  <w:pPr>
                    <w:pStyle w:val="null3"/>
                    <w:ind w:firstLine="420"/>
                    <w:jc w:val="left"/>
                  </w:pPr>
                  <w:r>
                    <w:rPr>
                      <w:sz w:val="21"/>
                      <w:color w:val="000000"/>
                    </w:rPr>
                    <w:t>(17)系统提供云文件库功能，支持所有上传文件自动转存到文件库，可针对资源按照图片、视频、音频等分类进行存储。</w:t>
                  </w:r>
                </w:p>
                <w:p>
                  <w:pPr>
                    <w:pStyle w:val="null3"/>
                    <w:ind w:firstLine="420"/>
                    <w:jc w:val="left"/>
                  </w:pPr>
                  <w:r>
                    <w:rPr>
                      <w:sz w:val="21"/>
                      <w:color w:val="000000"/>
                    </w:rPr>
                    <w:t>(18)系统可实现对主流视频的一键上传，满足各类不同的设备访问。</w:t>
                  </w:r>
                </w:p>
                <w:p>
                  <w:pPr>
                    <w:pStyle w:val="null3"/>
                    <w:ind w:firstLine="420"/>
                    <w:jc w:val="left"/>
                  </w:pPr>
                  <w:r>
                    <w:rPr>
                      <w:sz w:val="21"/>
                      <w:color w:val="000000"/>
                    </w:rPr>
                    <w:t>(19)支持PC、PAD、手机端终端的显示预览，便于通过直观的预览效果修改内容格式。</w:t>
                  </w:r>
                </w:p>
                <w:p>
                  <w:pPr>
                    <w:pStyle w:val="null3"/>
                    <w:ind w:firstLine="420"/>
                    <w:jc w:val="left"/>
                  </w:pPr>
                  <w:r>
                    <w:rPr>
                      <w:sz w:val="21"/>
                      <w:color w:val="000000"/>
                    </w:rPr>
                    <w:t>(20)可实现网站发布的新闻内容转发至QQ微信、朋友圈、微博。</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系统内容检索与处理</w:t>
                  </w:r>
                </w:p>
              </w:tc>
              <w:tc>
                <w:tcPr>
                  <w:tcW w:type="dxa" w:w="4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color w:val="000000"/>
                    </w:rPr>
                    <w:t>(1)系统支持自定义词汇、非法链接、外链、身份证、电话、证件号、邮箱、内网IP的检索与处理。</w:t>
                  </w:r>
                </w:p>
                <w:p>
                  <w:pPr>
                    <w:pStyle w:val="null3"/>
                    <w:ind w:firstLine="420"/>
                    <w:jc w:val="left"/>
                  </w:pPr>
                  <w:r>
                    <w:rPr>
                      <w:sz w:val="21"/>
                      <w:color w:val="000000"/>
                    </w:rPr>
                    <w:t>(2)支持对网站群所有站点进行自定义词汇、危险链接和隐私信息的检索，检索范围包含网站文章、资料、模板、附件、新媒体内容同时支持检索范围自定义，在检索过程中，需展示当前检索站点信息及进度，检索完成后展示当前结果概览。</w:t>
                  </w:r>
                </w:p>
                <w:p>
                  <w:pPr>
                    <w:pStyle w:val="null3"/>
                    <w:ind w:firstLine="420"/>
                    <w:jc w:val="left"/>
                  </w:pPr>
                  <w:r>
                    <w:rPr>
                      <w:sz w:val="21"/>
                      <w:color w:val="000000"/>
                    </w:rPr>
                    <w:t>(3)支持查看站群下的各个站点自定义词汇、危险链接和隐私信息的检索结果，可对文章、资料、模板、附件、新媒体的检索信息进行单个或批量处理，处理完成后可对处理结果进行一键验证。</w:t>
                  </w:r>
                </w:p>
                <w:p>
                  <w:pPr>
                    <w:pStyle w:val="null3"/>
                    <w:ind w:firstLine="420"/>
                    <w:jc w:val="left"/>
                  </w:pPr>
                  <w:r>
                    <w:rPr>
                      <w:sz w:val="21"/>
                      <w:color w:val="000000"/>
                    </w:rPr>
                    <w:t>(4)支持对每次检索后的处理结果统计分析，包括已处理数量及未处理数量，可对单次检索后的处理结果进行本地excel导出。</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统计分析</w:t>
                  </w:r>
                </w:p>
              </w:tc>
              <w:tc>
                <w:tcPr>
                  <w:tcW w:type="dxa" w:w="4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color w:val="000000"/>
                    </w:rPr>
                    <w:t>(1)系统端需支持对网站群系统整体相关数据的统计，包括站点访问量排名、站点栏目数量排名、站群文章数、站点文章数、站群在线管理员、站点投递信息量、站点接收信息量等数据的统计。</w:t>
                  </w:r>
                </w:p>
                <w:p>
                  <w:pPr>
                    <w:pStyle w:val="null3"/>
                    <w:ind w:firstLine="420"/>
                    <w:jc w:val="left"/>
                  </w:pPr>
                  <w:r>
                    <w:rPr>
                      <w:sz w:val="21"/>
                      <w:color w:val="000000"/>
                    </w:rPr>
                    <w:t>(2)站点运营数据管理过程，需提供针对每一个网站的访问的相关数据统计，包括统计访问记录、页面浏览数、来访IP数、访问时间段等统计。</w:t>
                  </w:r>
                </w:p>
                <w:p>
                  <w:pPr>
                    <w:pStyle w:val="null3"/>
                    <w:ind w:firstLine="420"/>
                    <w:jc w:val="left"/>
                  </w:pPr>
                  <w:r>
                    <w:rPr>
                      <w:sz w:val="21"/>
                      <w:color w:val="000000"/>
                    </w:rPr>
                    <w:t>(3)支持针对网站内容的相关数据统计，包括网站管理员信息量、栏目信息量、分组信息量、栏目新闻数、网站在线管理员等数据的统计。</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智能搜索</w:t>
                  </w:r>
                </w:p>
              </w:tc>
              <w:tc>
                <w:tcPr>
                  <w:tcW w:type="dxa" w:w="4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color w:val="000000"/>
                    </w:rPr>
                    <w:t>(1)系统需要支持跨网站搜索，搜索模式需要实现模糊搜索、目录搜索、全文搜索。在前端网站搜索时，需要实现搜索输入提示、搜索结果分类展示。</w:t>
                  </w:r>
                </w:p>
                <w:p>
                  <w:pPr>
                    <w:pStyle w:val="null3"/>
                    <w:ind w:firstLine="420"/>
                    <w:jc w:val="left"/>
                  </w:pPr>
                  <w:r>
                    <w:rPr>
                      <w:sz w:val="21"/>
                      <w:color w:val="000000"/>
                    </w:rPr>
                    <w:t>(2)针对搜索范围，平台需要支持站群搜索、单独站点搜索，可自由切换站点查看对应搜索结果。</w:t>
                  </w:r>
                </w:p>
                <w:p>
                  <w:pPr>
                    <w:pStyle w:val="null3"/>
                    <w:ind w:firstLine="420"/>
                    <w:jc w:val="left"/>
                  </w:pPr>
                  <w:r>
                    <w:rPr>
                      <w:sz w:val="21"/>
                      <w:color w:val="000000"/>
                    </w:rPr>
                    <w:t>(3)系统搜索过程，需要针对敏感词进行屏蔽，确保搜索内容的安全。</w:t>
                  </w:r>
                </w:p>
                <w:p>
                  <w:pPr>
                    <w:pStyle w:val="null3"/>
                    <w:ind w:firstLine="420"/>
                    <w:jc w:val="left"/>
                  </w:pPr>
                  <w:r>
                    <w:rPr>
                      <w:sz w:val="21"/>
                      <w:color w:val="000000"/>
                    </w:rPr>
                    <w:t>(4)搜索结果需配置自定义排序、统计分析等。</w:t>
                  </w:r>
                </w:p>
                <w:p>
                  <w:pPr>
                    <w:pStyle w:val="null3"/>
                    <w:ind w:firstLine="420"/>
                    <w:jc w:val="left"/>
                  </w:pPr>
                  <w:r>
                    <w:rPr>
                      <w:sz w:val="21"/>
                      <w:color w:val="000000"/>
                    </w:rPr>
                    <w:t>(5)系统需要提供错别字自动纠正、关键词推荐、拼音转化搜索和通俗语言搜索等功能；系统自带搜索词库，可自定义热词排序，特定热词分类；系统支持智能引导、智能分词、智能纠错、智能推荐，智能推荐搜索词汇。</w:t>
                  </w:r>
                </w:p>
              </w:tc>
            </w:tr>
          </w:tbl>
          <w:p>
            <w:pPr>
              <w:pStyle w:val="null3"/>
              <w:jc w:val="both"/>
            </w:pPr>
            <w:r>
              <w:rPr>
                <w:sz w:val="21"/>
                <w:color w:val="000000"/>
              </w:rPr>
              <w:t>备注：以上实施内容名称不一定需要完全一样，但功能要符合需求描述里面的内容。</w:t>
            </w:r>
          </w:p>
          <w:p>
            <w:pPr>
              <w:pStyle w:val="null3"/>
              <w:jc w:val="both"/>
            </w:pPr>
            <w:r>
              <w:rPr/>
              <w:t xml:space="preserve"> </w:t>
            </w:r>
          </w:p>
        </w:tc>
      </w:tr>
      <w:tr>
        <w:tc>
          <w:tcPr>
            <w:tcW w:type="dxa" w:w="2076"/>
          </w:tcPr>
          <w:p/>
        </w:tc>
        <w:tc>
          <w:tcPr>
            <w:tcW w:type="dxa" w:w="415"/>
          </w:tcPr>
          <w:p>
            <w:pPr>
              <w:pStyle w:val="null3"/>
            </w:pPr>
            <w:r>
              <w:rPr/>
              <w:t>6</w:t>
            </w:r>
          </w:p>
        </w:tc>
        <w:tc>
          <w:tcPr>
            <w:tcW w:type="dxa" w:w="5814"/>
          </w:tcPr>
          <w:p>
            <w:pPr>
              <w:pStyle w:val="null3"/>
              <w:jc w:val="left"/>
            </w:pPr>
            <w:r>
              <w:rPr>
                <w:sz w:val="21"/>
                <w:b/>
                <w:color w:val="000000"/>
              </w:rPr>
              <w:t>4.功能要求</w:t>
            </w:r>
          </w:p>
          <w:p>
            <w:pPr>
              <w:pStyle w:val="null3"/>
              <w:jc w:val="left"/>
            </w:pPr>
            <w:r>
              <w:rPr>
                <w:sz w:val="21"/>
                <w:color w:val="000000"/>
              </w:rPr>
              <w:t>4.2 栏目规划</w:t>
            </w:r>
          </w:p>
          <w:p>
            <w:pPr>
              <w:pStyle w:val="null3"/>
              <w:jc w:val="left"/>
            </w:pPr>
            <w:r>
              <w:rPr>
                <w:sz w:val="21"/>
                <w:color w:val="000000"/>
              </w:rPr>
              <w:t>(1)省院网站栏目规划（暂_定）</w:t>
            </w:r>
          </w:p>
          <w:tbl>
            <w:tblPr>
              <w:tblInd w:type="dxa" w:w="120"/>
              <w:tblBorders>
                <w:top w:val="none" w:color="000000" w:sz="4"/>
                <w:left w:val="none" w:color="000000" w:sz="4"/>
                <w:bottom w:val="none" w:color="000000" w:sz="4"/>
                <w:right w:val="none" w:color="000000" w:sz="4"/>
                <w:insideH w:val="none"/>
                <w:insideV w:val="none"/>
              </w:tblBorders>
            </w:tblPr>
            <w:tblGrid>
              <w:gridCol w:w="1376"/>
              <w:gridCol w:w="1503"/>
              <w:gridCol w:w="1471"/>
              <w:gridCol w:w="1248"/>
            </w:tblGrid>
            <w:tr>
              <w:tc>
                <w:tcPr>
                  <w:tcW w:type="dxa" w:w="1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一级栏目</w:t>
                  </w:r>
                </w:p>
              </w:tc>
              <w:tc>
                <w:tcPr>
                  <w:tcW w:type="dxa" w:w="1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二级栏目</w:t>
                  </w:r>
                </w:p>
              </w:tc>
              <w:tc>
                <w:tcPr>
                  <w:tcW w:type="dxa" w:w="1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三级栏目</w:t>
                  </w:r>
                </w:p>
              </w:tc>
              <w:tc>
                <w:tcPr>
                  <w:tcW w:type="dxa" w:w="1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首页</w:t>
                  </w:r>
                </w:p>
              </w:tc>
              <w:tc>
                <w:tcPr>
                  <w:tcW w:type="dxa" w:w="1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机构介绍</w:t>
                  </w:r>
                </w:p>
              </w:tc>
              <w:tc>
                <w:tcPr>
                  <w:tcW w:type="dxa" w:w="1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单位简介</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76"/>
                  <w:vMerge/>
                  <w:tcBorders>
                    <w:top w:val="none" w:color="000000" w:sz="4"/>
                    <w:left w:val="single" w:color="000000" w:sz="4"/>
                    <w:bottom w:val="single" w:color="000000" w:sz="4"/>
                    <w:right w:val="single" w:color="000000" w:sz="4"/>
                  </w:tcBorders>
                </w:tcPr>
                <w:p/>
              </w:tc>
              <w:tc>
                <w:tcPr>
                  <w:tcW w:type="dxa" w:w="1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内设机构</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76"/>
                  <w:vMerge/>
                  <w:tcBorders>
                    <w:top w:val="none" w:color="000000" w:sz="4"/>
                    <w:left w:val="single" w:color="000000" w:sz="4"/>
                    <w:bottom w:val="single" w:color="000000" w:sz="4"/>
                    <w:right w:val="single" w:color="000000" w:sz="4"/>
                  </w:tcBorders>
                </w:tcPr>
                <w:p/>
              </w:tc>
              <w:tc>
                <w:tcPr>
                  <w:tcW w:type="dxa" w:w="1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业务范围</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76"/>
                  <w:vMerge/>
                  <w:tcBorders>
                    <w:top w:val="none" w:color="000000" w:sz="4"/>
                    <w:left w:val="single" w:color="000000" w:sz="4"/>
                    <w:bottom w:val="single" w:color="000000" w:sz="4"/>
                    <w:right w:val="single" w:color="000000" w:sz="4"/>
                  </w:tcBorders>
                </w:tcPr>
                <w:p/>
              </w:tc>
              <w:tc>
                <w:tcPr>
                  <w:tcW w:type="dxa" w:w="1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机构资质</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76"/>
                  <w:vMerge/>
                  <w:tcBorders>
                    <w:top w:val="none" w:color="000000" w:sz="4"/>
                    <w:left w:val="single" w:color="000000" w:sz="4"/>
                    <w:bottom w:val="single" w:color="000000" w:sz="4"/>
                    <w:right w:val="single" w:color="000000" w:sz="4"/>
                  </w:tcBorders>
                </w:tcPr>
                <w:p/>
              </w:tc>
              <w:tc>
                <w:tcPr>
                  <w:tcW w:type="dxa" w:w="1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联系方式</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特检信息</w:t>
                  </w:r>
                </w:p>
              </w:tc>
              <w:tc>
                <w:tcPr>
                  <w:tcW w:type="dxa" w:w="1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省院信息</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76"/>
                  <w:vMerge/>
                  <w:tcBorders>
                    <w:top w:val="none" w:color="000000" w:sz="4"/>
                    <w:left w:val="single" w:color="000000" w:sz="4"/>
                    <w:bottom w:val="single" w:color="000000" w:sz="4"/>
                    <w:right w:val="single" w:color="000000" w:sz="4"/>
                  </w:tcBorders>
                </w:tcPr>
                <w:p/>
              </w:tc>
              <w:tc>
                <w:tcPr>
                  <w:tcW w:type="dxa" w:w="1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地方信息</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76"/>
                  <w:vMerge/>
                  <w:tcBorders>
                    <w:top w:val="none" w:color="000000" w:sz="4"/>
                    <w:left w:val="single" w:color="000000" w:sz="4"/>
                    <w:bottom w:val="single" w:color="000000" w:sz="4"/>
                    <w:right w:val="single" w:color="000000" w:sz="4"/>
                  </w:tcBorders>
                </w:tcPr>
                <w:p/>
              </w:tc>
              <w:tc>
                <w:tcPr>
                  <w:tcW w:type="dxa" w:w="1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科研信息</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党建工作</w:t>
                  </w:r>
                </w:p>
              </w:tc>
              <w:tc>
                <w:tcPr>
                  <w:tcW w:type="dxa" w:w="1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党建工作</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76"/>
                  <w:vMerge/>
                  <w:tcBorders>
                    <w:top w:val="none" w:color="000000" w:sz="4"/>
                    <w:left w:val="single" w:color="000000" w:sz="4"/>
                    <w:bottom w:val="single" w:color="000000" w:sz="4"/>
                    <w:right w:val="single" w:color="000000" w:sz="4"/>
                  </w:tcBorders>
                </w:tcPr>
                <w:p/>
              </w:tc>
              <w:tc>
                <w:tcPr>
                  <w:tcW w:type="dxa" w:w="1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文化风采</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76"/>
                  <w:vMerge/>
                  <w:tcBorders>
                    <w:top w:val="none" w:color="000000" w:sz="4"/>
                    <w:left w:val="single" w:color="000000" w:sz="4"/>
                    <w:bottom w:val="single" w:color="000000" w:sz="4"/>
                    <w:right w:val="single" w:color="000000" w:sz="4"/>
                  </w:tcBorders>
                </w:tcPr>
                <w:p/>
              </w:tc>
              <w:tc>
                <w:tcPr>
                  <w:tcW w:type="dxa" w:w="1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文化理念</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信息公开</w:t>
                  </w:r>
                </w:p>
              </w:tc>
              <w:tc>
                <w:tcPr>
                  <w:tcW w:type="dxa" w:w="1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通知公告</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76"/>
                  <w:vMerge/>
                  <w:tcBorders>
                    <w:top w:val="none" w:color="000000" w:sz="4"/>
                    <w:left w:val="single" w:color="000000" w:sz="4"/>
                    <w:bottom w:val="single" w:color="000000" w:sz="4"/>
                    <w:right w:val="single" w:color="000000" w:sz="4"/>
                  </w:tcBorders>
                </w:tcPr>
                <w:p/>
              </w:tc>
              <w:tc>
                <w:tcPr>
                  <w:tcW w:type="dxa" w:w="1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信息公开</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客户专区</w:t>
                  </w:r>
                </w:p>
              </w:tc>
              <w:tc>
                <w:tcPr>
                  <w:tcW w:type="dxa" w:w="1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办事指南</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76"/>
                  <w:vMerge/>
                  <w:tcBorders>
                    <w:top w:val="none" w:color="000000" w:sz="4"/>
                    <w:left w:val="single" w:color="000000" w:sz="4"/>
                    <w:bottom w:val="single" w:color="000000" w:sz="4"/>
                    <w:right w:val="single" w:color="000000" w:sz="4"/>
                  </w:tcBorders>
                </w:tcPr>
                <w:p/>
              </w:tc>
              <w:tc>
                <w:tcPr>
                  <w:tcW w:type="dxa" w:w="1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网上报检</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76"/>
                  <w:vMerge/>
                  <w:tcBorders>
                    <w:top w:val="none" w:color="000000" w:sz="4"/>
                    <w:left w:val="single" w:color="000000" w:sz="4"/>
                    <w:bottom w:val="single" w:color="000000" w:sz="4"/>
                    <w:right w:val="single" w:color="000000" w:sz="4"/>
                  </w:tcBorders>
                </w:tcPr>
                <w:p/>
              </w:tc>
              <w:tc>
                <w:tcPr>
                  <w:tcW w:type="dxa" w:w="1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报告下载</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互动交流</w:t>
                  </w:r>
                </w:p>
              </w:tc>
              <w:tc>
                <w:tcPr>
                  <w:tcW w:type="dxa" w:w="1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网上咨询</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76"/>
                  <w:vMerge/>
                  <w:tcBorders>
                    <w:top w:val="none" w:color="000000" w:sz="4"/>
                    <w:left w:val="single" w:color="000000" w:sz="4"/>
                    <w:bottom w:val="single" w:color="000000" w:sz="4"/>
                    <w:right w:val="single" w:color="000000" w:sz="4"/>
                  </w:tcBorders>
                </w:tcPr>
                <w:p/>
              </w:tc>
              <w:tc>
                <w:tcPr>
                  <w:tcW w:type="dxa" w:w="1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院长信箱</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76"/>
                  <w:vMerge/>
                  <w:tcBorders>
                    <w:top w:val="none" w:color="000000" w:sz="4"/>
                    <w:left w:val="single" w:color="000000" w:sz="4"/>
                    <w:bottom w:val="single" w:color="000000" w:sz="4"/>
                    <w:right w:val="single" w:color="000000" w:sz="4"/>
                  </w:tcBorders>
                </w:tcPr>
                <w:p/>
              </w:tc>
              <w:tc>
                <w:tcPr>
                  <w:tcW w:type="dxa" w:w="1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网上调查</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76"/>
                  <w:vMerge/>
                  <w:tcBorders>
                    <w:top w:val="none" w:color="000000" w:sz="4"/>
                    <w:left w:val="single" w:color="000000" w:sz="4"/>
                    <w:bottom w:val="single" w:color="000000" w:sz="4"/>
                    <w:right w:val="single" w:color="000000" w:sz="4"/>
                  </w:tcBorders>
                </w:tcPr>
                <w:p/>
              </w:tc>
              <w:tc>
                <w:tcPr>
                  <w:tcW w:type="dxa" w:w="1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投诉举报</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1"/>
                <w:color w:val="000000"/>
              </w:rPr>
              <w:t>(2)子网站直属院网站栏目规划（暂_定）</w:t>
            </w:r>
          </w:p>
          <w:tbl>
            <w:tblPr>
              <w:tblInd w:type="dxa" w:w="120"/>
              <w:tblBorders>
                <w:top w:val="none" w:color="000000" w:sz="4"/>
                <w:left w:val="none" w:color="000000" w:sz="4"/>
                <w:bottom w:val="none" w:color="000000" w:sz="4"/>
                <w:right w:val="none" w:color="000000" w:sz="4"/>
                <w:insideH w:val="none"/>
                <w:insideV w:val="none"/>
              </w:tblBorders>
            </w:tblPr>
            <w:tblGrid>
              <w:gridCol w:w="1405"/>
              <w:gridCol w:w="1759"/>
              <w:gridCol w:w="1287"/>
              <w:gridCol w:w="1147"/>
            </w:tblGrid>
            <w:tr>
              <w:tc>
                <w:tcPr>
                  <w:tcW w:type="dxa" w:w="1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一级栏目</w:t>
                  </w:r>
                </w:p>
              </w:tc>
              <w:tc>
                <w:tcPr>
                  <w:tcW w:type="dxa" w:w="17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二级栏目</w:t>
                  </w:r>
                </w:p>
              </w:tc>
              <w:tc>
                <w:tcPr>
                  <w:tcW w:type="dxa" w:w="1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三级栏目</w:t>
                  </w:r>
                </w:p>
              </w:tc>
              <w:tc>
                <w:tcPr>
                  <w:tcW w:type="dxa" w:w="1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1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首页</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机构介绍</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新闻动态</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通知公告</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信息公开</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党建工作</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办事指南</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下载专区</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1"/>
                <w:color w:val="000000"/>
              </w:rPr>
              <w:t>(3)子网站省站网站栏目规划（暂_定）</w:t>
            </w:r>
          </w:p>
          <w:tbl>
            <w:tblPr>
              <w:tblInd w:type="dxa" w:w="120"/>
              <w:tblBorders>
                <w:top w:val="none" w:color="000000" w:sz="4"/>
                <w:left w:val="none" w:color="000000" w:sz="4"/>
                <w:bottom w:val="none" w:color="000000" w:sz="4"/>
                <w:right w:val="none" w:color="000000" w:sz="4"/>
                <w:insideH w:val="none"/>
                <w:insideV w:val="none"/>
              </w:tblBorders>
            </w:tblPr>
            <w:tblGrid>
              <w:gridCol w:w="2290"/>
              <w:gridCol w:w="1463"/>
              <w:gridCol w:w="1834"/>
            </w:tblGrid>
            <w:tr>
              <w:tc>
                <w:tcPr>
                  <w:tcW w:type="dxa" w:w="2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一级栏目</w:t>
                  </w:r>
                </w:p>
              </w:tc>
              <w:tc>
                <w:tcPr>
                  <w:tcW w:type="dxa" w:w="1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二级栏目</w:t>
                  </w:r>
                </w:p>
              </w:tc>
              <w:tc>
                <w:tcPr>
                  <w:tcW w:type="dxa" w:w="18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首页</w:t>
                  </w:r>
                </w:p>
              </w:tc>
              <w:tc>
                <w:tcPr>
                  <w:tcW w:type="dxa" w:w="1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机构简介</w:t>
                  </w:r>
                </w:p>
              </w:tc>
              <w:tc>
                <w:tcPr>
                  <w:tcW w:type="dxa" w:w="1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部门介绍</w:t>
                  </w:r>
                </w:p>
              </w:tc>
              <w:tc>
                <w:tcPr>
                  <w:tcW w:type="dxa" w:w="1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主要业务</w:t>
                  </w:r>
                </w:p>
              </w:tc>
              <w:tc>
                <w:tcPr>
                  <w:tcW w:type="dxa" w:w="1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新闻资讯</w:t>
                  </w:r>
                </w:p>
              </w:tc>
              <w:tc>
                <w:tcPr>
                  <w:tcW w:type="dxa" w:w="1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资质能力</w:t>
                  </w:r>
                </w:p>
              </w:tc>
              <w:tc>
                <w:tcPr>
                  <w:tcW w:type="dxa" w:w="1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业务系统</w:t>
                  </w:r>
                </w:p>
              </w:tc>
              <w:tc>
                <w:tcPr>
                  <w:tcW w:type="dxa" w:w="1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跳转第三方链接</w:t>
                  </w:r>
                </w:p>
              </w:tc>
            </w:tr>
            <w:tr>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客户服务</w:t>
                  </w:r>
                </w:p>
              </w:tc>
              <w:tc>
                <w:tcPr>
                  <w:tcW w:type="dxa" w:w="1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表格下载</w:t>
                  </w:r>
                </w:p>
              </w:tc>
              <w:tc>
                <w:tcPr>
                  <w:tcW w:type="dxa" w:w="1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联系我们</w:t>
                  </w:r>
                </w:p>
              </w:tc>
              <w:tc>
                <w:tcPr>
                  <w:tcW w:type="dxa" w:w="1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1"/>
                <w:color w:val="000000"/>
              </w:rPr>
              <w:t>(4)子网站3个国家中心网站栏目规划（暂_定）</w:t>
            </w:r>
          </w:p>
          <w:tbl>
            <w:tblPr>
              <w:tblInd w:type="dxa" w:w="120"/>
              <w:tblBorders>
                <w:top w:val="none" w:color="000000" w:sz="4"/>
                <w:left w:val="none" w:color="000000" w:sz="4"/>
                <w:bottom w:val="none" w:color="000000" w:sz="4"/>
                <w:right w:val="none" w:color="000000" w:sz="4"/>
                <w:insideH w:val="none"/>
                <w:insideV w:val="none"/>
              </w:tblBorders>
            </w:tblPr>
            <w:tblGrid>
              <w:gridCol w:w="1288"/>
              <w:gridCol w:w="1745"/>
              <w:gridCol w:w="1437"/>
              <w:gridCol w:w="1128"/>
            </w:tblGrid>
            <w:tr>
              <w:tc>
                <w:tcPr>
                  <w:tcW w:type="dxa" w:w="1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一级栏目</w:t>
                  </w:r>
                </w:p>
              </w:tc>
              <w:tc>
                <w:tcPr>
                  <w:tcW w:type="dxa" w:w="17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二级栏目</w:t>
                  </w:r>
                </w:p>
              </w:tc>
              <w:tc>
                <w:tcPr>
                  <w:tcW w:type="dxa" w:w="1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三级栏目</w:t>
                  </w:r>
                </w:p>
              </w:tc>
              <w:tc>
                <w:tcPr>
                  <w:tcW w:type="dxa" w:w="1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首页</w:t>
                  </w: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中心简介</w:t>
                  </w: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基本情况</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tcBorders>
                    <w:top w:val="none" w:color="000000" w:sz="4"/>
                    <w:left w:val="single" w:color="000000" w:sz="4"/>
                    <w:bottom w:val="single" w:color="000000" w:sz="4"/>
                    <w:right w:val="single" w:color="000000" w:sz="4"/>
                  </w:tcBorders>
                </w:tcP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组织结构</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tcBorders>
                    <w:top w:val="none" w:color="000000" w:sz="4"/>
                    <w:left w:val="single" w:color="000000" w:sz="4"/>
                    <w:bottom w:val="single" w:color="000000" w:sz="4"/>
                    <w:right w:val="single" w:color="000000" w:sz="4"/>
                  </w:tcBorders>
                </w:tcP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关键设备</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tcBorders>
                    <w:top w:val="none" w:color="000000" w:sz="4"/>
                    <w:left w:val="single" w:color="000000" w:sz="4"/>
                    <w:bottom w:val="single" w:color="000000" w:sz="4"/>
                    <w:right w:val="single" w:color="000000" w:sz="4"/>
                  </w:tcBorders>
                </w:tcP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资质证书</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tcBorders>
                    <w:top w:val="none" w:color="000000" w:sz="4"/>
                    <w:left w:val="single" w:color="000000" w:sz="4"/>
                    <w:bottom w:val="single" w:color="000000" w:sz="4"/>
                    <w:right w:val="single" w:color="000000" w:sz="4"/>
                  </w:tcBorders>
                </w:tcP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联系我们</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信息中心</w:t>
                  </w: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新闻资讯</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tcBorders>
                    <w:top w:val="none" w:color="000000" w:sz="4"/>
                    <w:left w:val="single" w:color="000000" w:sz="4"/>
                    <w:bottom w:val="single" w:color="000000" w:sz="4"/>
                    <w:right w:val="single" w:color="000000" w:sz="4"/>
                  </w:tcBorders>
                </w:tcP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行业动态</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tcBorders>
                    <w:top w:val="none" w:color="000000" w:sz="4"/>
                    <w:left w:val="single" w:color="000000" w:sz="4"/>
                    <w:bottom w:val="single" w:color="000000" w:sz="4"/>
                    <w:right w:val="single" w:color="000000" w:sz="4"/>
                  </w:tcBorders>
                </w:tcP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通知公告</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服务范围</w:t>
                  </w: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常规检验</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tcBorders>
                    <w:top w:val="none" w:color="000000" w:sz="4"/>
                    <w:left w:val="single" w:color="000000" w:sz="4"/>
                    <w:bottom w:val="single" w:color="000000" w:sz="4"/>
                    <w:right w:val="single" w:color="000000" w:sz="4"/>
                  </w:tcBorders>
                </w:tcP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鉴定评审</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tcBorders>
                    <w:top w:val="none" w:color="000000" w:sz="4"/>
                    <w:left w:val="single" w:color="000000" w:sz="4"/>
                    <w:bottom w:val="single" w:color="000000" w:sz="4"/>
                    <w:right w:val="single" w:color="000000" w:sz="4"/>
                  </w:tcBorders>
                </w:tcP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型式试验</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tcBorders>
                    <w:top w:val="none" w:color="000000" w:sz="4"/>
                    <w:left w:val="single" w:color="000000" w:sz="4"/>
                    <w:bottom w:val="single" w:color="000000" w:sz="4"/>
                    <w:right w:val="single" w:color="000000" w:sz="4"/>
                  </w:tcBorders>
                </w:tcP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其它检测</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tcBorders>
                    <w:top w:val="none" w:color="000000" w:sz="4"/>
                    <w:left w:val="single" w:color="000000" w:sz="4"/>
                    <w:bottom w:val="single" w:color="000000" w:sz="4"/>
                    <w:right w:val="single" w:color="000000" w:sz="4"/>
                  </w:tcBorders>
                </w:tcP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培训</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氢能省站</w:t>
                  </w: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省站简介</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tcBorders>
                    <w:top w:val="none" w:color="000000" w:sz="4"/>
                    <w:left w:val="single" w:color="000000" w:sz="4"/>
                    <w:bottom w:val="single" w:color="000000" w:sz="4"/>
                    <w:right w:val="single" w:color="000000" w:sz="4"/>
                  </w:tcBorders>
                </w:tcP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服务范围</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tcBorders>
                    <w:top w:val="none" w:color="000000" w:sz="4"/>
                    <w:left w:val="single" w:color="000000" w:sz="4"/>
                    <w:bottom w:val="single" w:color="000000" w:sz="4"/>
                    <w:right w:val="single" w:color="000000" w:sz="4"/>
                  </w:tcBorders>
                </w:tcP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科研项目</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tcBorders>
                    <w:top w:val="none" w:color="000000" w:sz="4"/>
                    <w:left w:val="single" w:color="000000" w:sz="4"/>
                    <w:bottom w:val="single" w:color="000000" w:sz="4"/>
                    <w:right w:val="single" w:color="000000" w:sz="4"/>
                  </w:tcBorders>
                </w:tcP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科研成果</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资料中心</w:t>
                  </w: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基本法规</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tcBorders>
                    <w:top w:val="none" w:color="000000" w:sz="4"/>
                    <w:left w:val="single" w:color="000000" w:sz="4"/>
                    <w:bottom w:val="single" w:color="000000" w:sz="4"/>
                    <w:right w:val="single" w:color="000000" w:sz="4"/>
                  </w:tcBorders>
                </w:tcP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技术规范</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tcBorders>
                    <w:top w:val="none" w:color="000000" w:sz="4"/>
                    <w:left w:val="single" w:color="000000" w:sz="4"/>
                    <w:bottom w:val="single" w:color="000000" w:sz="4"/>
                    <w:right w:val="single" w:color="000000" w:sz="4"/>
                  </w:tcBorders>
                </w:tcP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相关标准</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tcBorders>
                    <w:top w:val="none" w:color="000000" w:sz="4"/>
                    <w:left w:val="single" w:color="000000" w:sz="4"/>
                    <w:bottom w:val="single" w:color="000000" w:sz="4"/>
                    <w:right w:val="single" w:color="000000" w:sz="4"/>
                  </w:tcBorders>
                </w:tcP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管理规定</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下载专区</w:t>
                  </w: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在线服务</w:t>
                  </w: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特种设备报检</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tcBorders>
                    <w:top w:val="none" w:color="000000" w:sz="4"/>
                    <w:left w:val="single" w:color="000000" w:sz="4"/>
                    <w:bottom w:val="single" w:color="000000" w:sz="4"/>
                    <w:right w:val="single" w:color="000000" w:sz="4"/>
                  </w:tcBorders>
                </w:tcP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型式试验约请</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tcBorders>
                    <w:top w:val="none" w:color="000000" w:sz="4"/>
                    <w:left w:val="single" w:color="000000" w:sz="4"/>
                    <w:bottom w:val="single" w:color="000000" w:sz="4"/>
                    <w:right w:val="single" w:color="000000" w:sz="4"/>
                  </w:tcBorders>
                </w:tcP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鉴定评审约请</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8"/>
                  <w:vMerge/>
                  <w:tcBorders>
                    <w:top w:val="none" w:color="000000" w:sz="4"/>
                    <w:left w:val="single" w:color="000000" w:sz="4"/>
                    <w:bottom w:val="single" w:color="000000" w:sz="4"/>
                    <w:right w:val="single" w:color="000000" w:sz="4"/>
                  </w:tcBorders>
                </w:tcP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留言反馈</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t xml:space="preserve"> </w:t>
            </w:r>
          </w:p>
          <w:p>
            <w:pPr>
              <w:pStyle w:val="null3"/>
              <w:jc w:val="both"/>
            </w:pPr>
            <w:r>
              <w:rPr/>
              <w:t xml:space="preserve"> </w:t>
            </w:r>
          </w:p>
        </w:tc>
      </w:tr>
      <w:tr>
        <w:tc>
          <w:tcPr>
            <w:tcW w:type="dxa" w:w="2076"/>
          </w:tcPr>
          <w:p/>
        </w:tc>
        <w:tc>
          <w:tcPr>
            <w:tcW w:type="dxa" w:w="415"/>
          </w:tcPr>
          <w:p>
            <w:pPr>
              <w:pStyle w:val="null3"/>
            </w:pPr>
            <w:r>
              <w:rPr/>
              <w:t>7</w:t>
            </w:r>
          </w:p>
        </w:tc>
        <w:tc>
          <w:tcPr>
            <w:tcW w:type="dxa" w:w="5814"/>
          </w:tcPr>
          <w:p>
            <w:pPr>
              <w:pStyle w:val="null3"/>
              <w:jc w:val="left"/>
            </w:pPr>
            <w:r>
              <w:rPr>
                <w:sz w:val="21"/>
                <w:b/>
                <w:color w:val="000000"/>
              </w:rPr>
              <w:t>5．基础硬件平台</w:t>
            </w:r>
          </w:p>
          <w:p>
            <w:pPr>
              <w:pStyle w:val="null3"/>
              <w:ind w:firstLine="420"/>
              <w:jc w:val="left"/>
            </w:pPr>
            <w:r>
              <w:rPr>
                <w:sz w:val="21"/>
                <w:color w:val="000000"/>
              </w:rPr>
              <w:t>★投标人须支持主流的国产化的操作系统、数据库、中间件。采购人配备一定数量的服务器、数据库、中间件、操作系统，主要选型范围如下表所示，具体选型由采购人在网站的建设过程中指定。</w:t>
            </w:r>
          </w:p>
          <w:tbl>
            <w:tblPr>
              <w:tblInd w:type="dxa" w:w="120"/>
              <w:tblBorders>
                <w:top w:val="none" w:color="000000" w:sz="4"/>
                <w:left w:val="none" w:color="000000" w:sz="4"/>
                <w:bottom w:val="none" w:color="000000" w:sz="4"/>
                <w:right w:val="none" w:color="000000" w:sz="4"/>
                <w:insideH w:val="none"/>
                <w:insideV w:val="none"/>
              </w:tblBorders>
            </w:tblPr>
            <w:tblGrid>
              <w:gridCol w:w="869"/>
              <w:gridCol w:w="2216"/>
              <w:gridCol w:w="2513"/>
            </w:tblGrid>
            <w:tr>
              <w:tc>
                <w:tcPr>
                  <w:tcW w:type="dxa" w:w="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类别</w:t>
                  </w:r>
                </w:p>
              </w:tc>
              <w:tc>
                <w:tcPr>
                  <w:tcW w:type="dxa" w:w="2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国产选型</w:t>
                  </w:r>
                </w:p>
              </w:tc>
              <w:tc>
                <w:tcPr>
                  <w:tcW w:type="dxa" w:w="2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非国产选型</w:t>
                  </w: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服务器</w:t>
                  </w:r>
                  <w:r>
                    <w:rPr>
                      <w:sz w:val="21"/>
                      <w:color w:val="000000"/>
                    </w:rPr>
                    <w:t>CPU</w:t>
                  </w:r>
                </w:p>
              </w:tc>
              <w:tc>
                <w:tcPr>
                  <w:tcW w:type="dxa" w:w="2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鲲鹏、龙芯、兆芯、飞腾、申威、国微、国芯、华睿等</w:t>
                  </w:r>
                </w:p>
              </w:tc>
              <w:tc>
                <w:tcPr>
                  <w:tcW w:type="dxa" w:w="2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Intel、AMD等</w:t>
                  </w: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操作系统</w:t>
                  </w:r>
                </w:p>
              </w:tc>
              <w:tc>
                <w:tcPr>
                  <w:tcW w:type="dxa" w:w="2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麒麟、统信等</w:t>
                  </w:r>
                </w:p>
              </w:tc>
              <w:tc>
                <w:tcPr>
                  <w:tcW w:type="dxa" w:w="2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Linux、Windows等</w:t>
                  </w: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数据库</w:t>
                  </w:r>
                </w:p>
              </w:tc>
              <w:tc>
                <w:tcPr>
                  <w:tcW w:type="dxa" w:w="2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人大金仓、达梦等</w:t>
                  </w:r>
                </w:p>
              </w:tc>
              <w:tc>
                <w:tcPr>
                  <w:tcW w:type="dxa" w:w="2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MySQL等</w:t>
                  </w: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中间件</w:t>
                  </w:r>
                </w:p>
              </w:tc>
              <w:tc>
                <w:tcPr>
                  <w:tcW w:type="dxa" w:w="2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东方通、金蝶天燕等</w:t>
                  </w:r>
                </w:p>
              </w:tc>
              <w:tc>
                <w:tcPr>
                  <w:tcW w:type="dxa" w:w="2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Nginx、RabbitMQ、RocketMQ、Redis等</w:t>
                  </w:r>
                </w:p>
              </w:tc>
            </w:tr>
          </w:tbl>
          <w:p>
            <w:pPr>
              <w:pStyle w:val="null3"/>
              <w:ind w:firstLine="422"/>
              <w:jc w:val="left"/>
            </w:pPr>
            <w:r>
              <w:rPr/>
              <w:t xml:space="preserve"> </w:t>
            </w:r>
          </w:p>
          <w:p>
            <w:pPr>
              <w:pStyle w:val="null3"/>
              <w:ind w:firstLine="422"/>
              <w:jc w:val="left"/>
            </w:pPr>
            <w:r>
              <w:rPr/>
              <w:t xml:space="preserve"> </w:t>
            </w:r>
          </w:p>
        </w:tc>
      </w:tr>
      <w:tr>
        <w:tc>
          <w:tcPr>
            <w:tcW w:type="dxa" w:w="2076"/>
          </w:tcPr>
          <w:p/>
        </w:tc>
        <w:tc>
          <w:tcPr>
            <w:tcW w:type="dxa" w:w="415"/>
          </w:tcPr>
          <w:p>
            <w:pPr>
              <w:pStyle w:val="null3"/>
            </w:pPr>
            <w:r>
              <w:rPr/>
              <w:t>8</w:t>
            </w:r>
          </w:p>
        </w:tc>
        <w:tc>
          <w:tcPr>
            <w:tcW w:type="dxa" w:w="5814"/>
          </w:tcPr>
          <w:p>
            <w:pPr>
              <w:pStyle w:val="null3"/>
              <w:jc w:val="left"/>
            </w:pPr>
            <w:r>
              <w:rPr>
                <w:sz w:val="21"/>
                <w:b/>
                <w:color w:val="000000"/>
              </w:rPr>
              <w:t>6．技术要求</w:t>
            </w:r>
          </w:p>
          <w:p>
            <w:pPr>
              <w:pStyle w:val="null3"/>
              <w:jc w:val="left"/>
            </w:pPr>
            <w:r>
              <w:rPr>
                <w:sz w:val="21"/>
                <w:color w:val="000000"/>
              </w:rPr>
              <w:t>6.1 总体要求</w:t>
            </w:r>
          </w:p>
          <w:p>
            <w:pPr>
              <w:pStyle w:val="null3"/>
              <w:ind w:firstLine="420"/>
              <w:jc w:val="left"/>
            </w:pPr>
            <w:r>
              <w:rPr>
                <w:sz w:val="21"/>
                <w:color w:val="000000"/>
              </w:rPr>
              <w:t>(1)采用B/S结构设计、JAVA语言开发、J2EE技术架构。</w:t>
            </w:r>
          </w:p>
          <w:p>
            <w:pPr>
              <w:pStyle w:val="null3"/>
              <w:ind w:firstLine="420"/>
              <w:jc w:val="left"/>
            </w:pPr>
            <w:r>
              <w:rPr>
                <w:sz w:val="21"/>
                <w:color w:val="000000"/>
              </w:rPr>
              <w:t>(2)与国产主流芯片、国产操作系统、国产数据库及国产应用深度兼容适配。</w:t>
            </w:r>
          </w:p>
          <w:p>
            <w:pPr>
              <w:pStyle w:val="null3"/>
              <w:ind w:firstLine="420"/>
              <w:jc w:val="left"/>
            </w:pPr>
            <w:r>
              <w:rPr>
                <w:sz w:val="21"/>
                <w:color w:val="000000"/>
              </w:rPr>
              <w:t>(3)兼容统信浏览器、微软IE、谷歌Chrome、360浏览器、苹果Safari、QQ浏览器、火狐Firefox等多种浏览器。</w:t>
            </w:r>
          </w:p>
          <w:p>
            <w:pPr>
              <w:pStyle w:val="null3"/>
              <w:ind w:firstLine="420"/>
              <w:jc w:val="left"/>
            </w:pPr>
            <w:r>
              <w:rPr>
                <w:sz w:val="21"/>
                <w:color w:val="000000"/>
              </w:rPr>
              <w:t>(4)系统要求支持网站页面和文章内容、视频、图片等资源的全适配，在不同操作系统上正常运行，包括IOS、Android、Harmony、Windows、macOS、Linux等。</w:t>
            </w:r>
          </w:p>
          <w:p>
            <w:pPr>
              <w:pStyle w:val="null3"/>
              <w:ind w:firstLine="420"/>
              <w:jc w:val="left"/>
            </w:pPr>
            <w:r>
              <w:rPr>
                <w:sz w:val="21"/>
                <w:color w:val="000000"/>
              </w:rPr>
              <w:t>(5)平台使用灵活方便，并预留多种扩展、开发接口（XML、JSON、WebService等）。</w:t>
            </w:r>
          </w:p>
          <w:p>
            <w:pPr>
              <w:pStyle w:val="null3"/>
              <w:ind w:firstLine="420"/>
              <w:jc w:val="left"/>
            </w:pPr>
            <w:r>
              <w:rPr>
                <w:sz w:val="21"/>
                <w:color w:val="000000"/>
              </w:rPr>
              <w:t>(6)系统后台数据库及表结构字段清晰易懂，有明确的注释标记。</w:t>
            </w:r>
          </w:p>
          <w:p>
            <w:pPr>
              <w:pStyle w:val="null3"/>
              <w:ind w:firstLine="420"/>
              <w:jc w:val="left"/>
            </w:pPr>
            <w:r>
              <w:rPr>
                <w:sz w:val="21"/>
                <w:color w:val="000000"/>
              </w:rPr>
              <w:t>(7)实时监测系统的运维情况，可以监控服务器的 CPU 利用率、内存使用情况、磁盘空间占用率等，以及数据库的连接数、查询执行时间等指标。实现管理机集群，能够根据负载情况动态扩容。</w:t>
            </w:r>
          </w:p>
          <w:p>
            <w:pPr>
              <w:pStyle w:val="null3"/>
              <w:ind w:firstLine="420"/>
              <w:jc w:val="left"/>
            </w:pPr>
            <w:r>
              <w:rPr>
                <w:sz w:val="21"/>
                <w:color w:val="000000"/>
              </w:rPr>
              <w:t>(8)系统要求具备在线补丁更新机制，可以实现在线安全性加固和升级。</w:t>
            </w:r>
          </w:p>
          <w:p>
            <w:pPr>
              <w:pStyle w:val="null3"/>
              <w:ind w:firstLine="420"/>
              <w:jc w:val="left"/>
            </w:pPr>
            <w:r>
              <w:rPr>
                <w:sz w:val="21"/>
                <w:color w:val="000000"/>
              </w:rPr>
              <w:t>(9)系统支持虚拟目录和虚拟主机方式，支持离线/连线状态下的篡改保护。</w:t>
            </w:r>
          </w:p>
          <w:p>
            <w:pPr>
              <w:pStyle w:val="null3"/>
              <w:ind w:firstLine="420"/>
              <w:jc w:val="left"/>
            </w:pPr>
            <w:r>
              <w:rPr>
                <w:sz w:val="21"/>
                <w:color w:val="000000"/>
              </w:rPr>
              <w:t>(10)系统针对IPv6提供全面访问支持，同时支持基于IPv4和IPv6地址的访问控制，访问记录及统计。</w:t>
            </w:r>
          </w:p>
          <w:p>
            <w:pPr>
              <w:pStyle w:val="null3"/>
              <w:ind w:firstLine="420"/>
              <w:jc w:val="left"/>
            </w:pPr>
            <w:r>
              <w:rPr>
                <w:sz w:val="21"/>
                <w:color w:val="000000"/>
              </w:rPr>
              <w:t>(11)系统全面支持HTTPS安全传输协议。</w:t>
            </w:r>
          </w:p>
          <w:p>
            <w:pPr>
              <w:pStyle w:val="null3"/>
              <w:ind w:firstLine="420"/>
              <w:jc w:val="left"/>
            </w:pPr>
            <w:r>
              <w:rPr>
                <w:sz w:val="21"/>
                <w:color w:val="000000"/>
              </w:rPr>
              <w:t>(12)系统采用UTF-8国际编码，支持多国语言前台展示。</w:t>
            </w:r>
          </w:p>
          <w:p>
            <w:pPr>
              <w:pStyle w:val="null3"/>
              <w:ind w:firstLine="420"/>
              <w:jc w:val="left"/>
            </w:pPr>
            <w:r>
              <w:rPr>
                <w:sz w:val="21"/>
                <w:color w:val="000000"/>
              </w:rPr>
              <w:t>(13)系统应支持反向代理设置，方便获取客户端的真实IP地址，能够添加可信任的反向代理。对于反向代理服务器，支持添加至可信列表。</w:t>
            </w:r>
          </w:p>
          <w:p>
            <w:pPr>
              <w:pStyle w:val="null3"/>
              <w:jc w:val="left"/>
            </w:pPr>
            <w:r>
              <w:rPr>
                <w:sz w:val="21"/>
                <w:color w:val="000000"/>
              </w:rPr>
              <w:t>6.2 性能要求</w:t>
            </w:r>
          </w:p>
          <w:tbl>
            <w:tblPr>
              <w:tblInd w:type="dxa" w:w="225"/>
              <w:tblBorders>
                <w:top w:val="none" w:color="000000" w:sz="4"/>
                <w:left w:val="none" w:color="000000" w:sz="4"/>
                <w:bottom w:val="none" w:color="000000" w:sz="4"/>
                <w:right w:val="none" w:color="000000" w:sz="4"/>
                <w:insideH w:val="none"/>
                <w:insideV w:val="none"/>
              </w:tblBorders>
            </w:tblPr>
            <w:tblGrid>
              <w:gridCol w:w="1463"/>
              <w:gridCol w:w="4123"/>
            </w:tblGrid>
            <w:tr>
              <w:tc>
                <w:tcPr>
                  <w:tcW w:type="dxa" w:w="1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指标</w:t>
                  </w:r>
                </w:p>
              </w:tc>
              <w:tc>
                <w:tcPr>
                  <w:tcW w:type="dxa" w:w="4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要求</w:t>
                  </w:r>
                </w:p>
              </w:tc>
            </w:tr>
            <w:tr>
              <w:tc>
                <w:tcPr>
                  <w:tcW w:type="dxa" w:w="1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并发访问</w:t>
                  </w:r>
                </w:p>
              </w:tc>
              <w:tc>
                <w:tcPr>
                  <w:tcW w:type="dxa" w:w="4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要求满足</w:t>
                  </w:r>
                  <w:r>
                    <w:rPr>
                      <w:sz w:val="21"/>
                      <w:color w:val="000000"/>
                    </w:rPr>
                    <w:t>10000在线，150并发</w:t>
                  </w:r>
                </w:p>
              </w:tc>
            </w:tr>
            <w:tr>
              <w:tc>
                <w:tcPr>
                  <w:tcW w:type="dxa" w:w="1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反应时间</w:t>
                  </w:r>
                </w:p>
              </w:tc>
              <w:tc>
                <w:tcPr>
                  <w:tcW w:type="dxa" w:w="4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平均反应时间</w:t>
                  </w:r>
                  <w:r>
                    <w:rPr>
                      <w:sz w:val="21"/>
                      <w:color w:val="000000"/>
                    </w:rPr>
                    <w:t>≤5s，最大负载反应时间≤10s。</w:t>
                  </w:r>
                </w:p>
              </w:tc>
            </w:tr>
            <w:tr>
              <w:tc>
                <w:tcPr>
                  <w:tcW w:type="dxa" w:w="1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系统稳定性</w:t>
                  </w:r>
                </w:p>
              </w:tc>
              <w:tc>
                <w:tcPr>
                  <w:tcW w:type="dxa" w:w="4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系统软硬件整体及其功能模块应具有稳定性，在各种情况下软件系统可用率</w:t>
                  </w:r>
                  <w:r>
                    <w:rPr>
                      <w:sz w:val="21"/>
                      <w:color w:val="000000"/>
                    </w:rPr>
                    <w:t>&gt;=99.8%。</w:t>
                  </w:r>
                </w:p>
              </w:tc>
            </w:tr>
          </w:tbl>
          <w:p>
            <w:pPr>
              <w:pStyle w:val="null3"/>
              <w:jc w:val="left"/>
            </w:pPr>
            <w:r>
              <w:rPr>
                <w:sz w:val="21"/>
                <w:color w:val="000000"/>
              </w:rPr>
              <w:t>6.3 安全性要求</w:t>
            </w:r>
          </w:p>
          <w:p>
            <w:pPr>
              <w:pStyle w:val="null3"/>
              <w:jc w:val="left"/>
            </w:pPr>
            <w:r>
              <w:rPr>
                <w:sz w:val="21"/>
                <w:color w:val="000000"/>
              </w:rPr>
              <w:t>本项目软件系统满足以下安全要求：</w:t>
            </w:r>
          </w:p>
          <w:p>
            <w:pPr>
              <w:pStyle w:val="null3"/>
              <w:ind w:firstLine="315"/>
              <w:jc w:val="left"/>
            </w:pPr>
            <w:r>
              <w:rPr>
                <w:sz w:val="21"/>
                <w:color w:val="000000"/>
              </w:rPr>
              <w:t>1、数据备份安全</w:t>
            </w:r>
          </w:p>
          <w:p>
            <w:pPr>
              <w:pStyle w:val="null3"/>
              <w:ind w:firstLine="315"/>
              <w:jc w:val="left"/>
            </w:pPr>
            <w:r>
              <w:rPr>
                <w:sz w:val="21"/>
                <w:color w:val="000000"/>
              </w:rPr>
              <w:t>(1)采购人配备基础平台，投标人搭建环境和系统以实现数据备份。要求投标人实现快照备份管理和恢复功能。支持增量备份和全量备份，提供定期自动备份功能，可根据需要进行灵活调整备份频率。确保备份数据在传输和存储过程中进行加密，保护数据的隐私和安全。</w:t>
            </w:r>
          </w:p>
          <w:p>
            <w:pPr>
              <w:pStyle w:val="null3"/>
              <w:jc w:val="left"/>
            </w:pPr>
            <w:r>
              <w:rPr>
                <w:sz w:val="21"/>
                <w:color w:val="000000"/>
              </w:rPr>
              <w:t>(2)网站群系统要求具有站点恢复功能，子站不需要单独备份，可直接使用系统备份文件实现抽取式恢复。</w:t>
            </w:r>
          </w:p>
          <w:p>
            <w:pPr>
              <w:pStyle w:val="null3"/>
              <w:ind w:firstLine="315"/>
              <w:jc w:val="left"/>
            </w:pPr>
            <w:r>
              <w:rPr>
                <w:sz w:val="21"/>
                <w:color w:val="000000"/>
              </w:rPr>
              <w:t>(3)系统提供备份包自动清理功能。可以设置清理策略，系统会根据策略定时自行清理掉不需要的备份包，节省磁盘空间占用。</w:t>
            </w:r>
          </w:p>
          <w:p>
            <w:pPr>
              <w:pStyle w:val="null3"/>
              <w:ind w:firstLine="315"/>
              <w:jc w:val="left"/>
            </w:pPr>
            <w:r>
              <w:rPr>
                <w:sz w:val="21"/>
                <w:color w:val="000000"/>
              </w:rPr>
              <w:t>2、安全防护措施</w:t>
            </w:r>
          </w:p>
          <w:p>
            <w:pPr>
              <w:pStyle w:val="null3"/>
              <w:ind w:firstLine="315"/>
              <w:jc w:val="left"/>
            </w:pPr>
            <w:r>
              <w:rPr>
                <w:sz w:val="21"/>
                <w:color w:val="000000"/>
              </w:rPr>
              <w:t>(1)支持密码强度规则设置，并且提供简单密码口令库，使用简单口令库中的密码在创建账号时系统会自动阻止。使用强密码管理策略，将账号、密码等敏感信息进行加密处理，在数据存储、传输和处理过程中，只有授权人员能够解密和访问数据内容。</w:t>
            </w:r>
          </w:p>
          <w:p>
            <w:pPr>
              <w:pStyle w:val="null3"/>
              <w:ind w:firstLine="315"/>
              <w:jc w:val="left"/>
            </w:pPr>
            <w:r>
              <w:rPr>
                <w:sz w:val="21"/>
                <w:color w:val="000000"/>
              </w:rPr>
              <w:t>(2)网站群系统要求具有IP规则设置和账号安全管理功能，管理员可以设置不同的IP范围，用来限制管理员后台登录。具备登陆失败次数过多后锁定处理、登录后长时间不操作自动退出、单个账户不可同时登录、首次登录强制修改密码等安全功能。</w:t>
            </w:r>
          </w:p>
          <w:p>
            <w:pPr>
              <w:pStyle w:val="null3"/>
              <w:ind w:firstLine="315"/>
              <w:jc w:val="left"/>
            </w:pPr>
            <w:r>
              <w:rPr>
                <w:sz w:val="21"/>
                <w:color w:val="000000"/>
              </w:rPr>
              <w:t>(3)在登录和信息传递过程中，系统支持外部SSL协议对用户名和密码的传输进行加密，保证关键信息的通信保密性。</w:t>
            </w:r>
          </w:p>
          <w:p>
            <w:pPr>
              <w:pStyle w:val="null3"/>
              <w:ind w:firstLine="315"/>
              <w:jc w:val="left"/>
            </w:pPr>
            <w:r>
              <w:rPr>
                <w:sz w:val="21"/>
                <w:color w:val="000000"/>
              </w:rPr>
              <w:t>(4)系统须具备安全概览面板，展示系统整体安全防护动态，展示内容需包含全球攻击情况的实时动态展示、部署结构运维展示、内容安全管控情况以及安全运维监控结果等，针对重点安全防护模块可提供一键直达快速访问入口。</w:t>
            </w:r>
          </w:p>
          <w:p>
            <w:pPr>
              <w:pStyle w:val="null3"/>
              <w:ind w:firstLine="315"/>
              <w:jc w:val="left"/>
            </w:pPr>
            <w:r>
              <w:rPr>
                <w:sz w:val="21"/>
                <w:color w:val="000000"/>
              </w:rPr>
              <w:t>(5)需支持按照不同场景来配置站群安全运维模式，可按不同场景进行管理员账号限制、防火墙策略设定、访问限制、后台维护限制等安全防护策略的详细配置。可按需设置多种场景模式，实现对应场景之下运维模式的快速切换。</w:t>
            </w:r>
          </w:p>
          <w:p>
            <w:pPr>
              <w:pStyle w:val="null3"/>
              <w:ind w:firstLine="315"/>
              <w:jc w:val="left"/>
            </w:pPr>
            <w:r>
              <w:rPr>
                <w:sz w:val="21"/>
                <w:color w:val="000000"/>
              </w:rPr>
              <w:t>(5)需支持对网站群系统进行监控，及时发现并阻断对网站群系统底层关键文件的修改，防止对系统底层文件的篡改变动。</w:t>
            </w:r>
          </w:p>
          <w:p>
            <w:pPr>
              <w:pStyle w:val="null3"/>
              <w:ind w:firstLine="315"/>
              <w:jc w:val="left"/>
            </w:pPr>
            <w:r>
              <w:rPr>
                <w:sz w:val="21"/>
                <w:color w:val="000000"/>
              </w:rPr>
              <w:t>(6)系统应内置应用防火墙，内置被动防御策略集，针对危险行为进行IP封禁，并可管理黑名单及白名单，通过使用入侵防护日志，可以详细了解攻击者的归属地、IP地址、攻击位置、攻击特征以及攻击时间等重要信息。</w:t>
            </w:r>
          </w:p>
          <w:p>
            <w:pPr>
              <w:pStyle w:val="null3"/>
              <w:ind w:firstLine="315"/>
              <w:jc w:val="left"/>
            </w:pPr>
            <w:r>
              <w:rPr>
                <w:sz w:val="21"/>
                <w:color w:val="000000"/>
              </w:rPr>
              <w:t>(7)系统应支持危险文件检测，检测服务器中包含特殊代码的文件，并提供检测日志，同时允许手动、自动更新危险网站黑名单及信任网站白名单。</w:t>
            </w:r>
          </w:p>
          <w:p>
            <w:pPr>
              <w:pStyle w:val="null3"/>
              <w:ind w:firstLine="315"/>
              <w:jc w:val="left"/>
            </w:pPr>
            <w:r>
              <w:rPr>
                <w:sz w:val="21"/>
                <w:color w:val="000000"/>
              </w:rPr>
              <w:t>(</w:t>
            </w:r>
            <w:r>
              <w:rPr>
                <w:sz w:val="21"/>
                <w:color w:val="000000"/>
              </w:rPr>
              <w:t>8</w:t>
            </w:r>
            <w:r>
              <w:rPr>
                <w:sz w:val="21"/>
                <w:color w:val="000000"/>
              </w:rPr>
              <w:t>)系统内置防篡改模块，能够对每一个网站防篡改开启或关闭进行检测，支持批量网页防篡改服务器配置，内置防篡改日志查询，保护站群内所有站点的安全。</w:t>
            </w:r>
          </w:p>
          <w:p>
            <w:pPr>
              <w:pStyle w:val="null3"/>
              <w:ind w:firstLine="315"/>
              <w:jc w:val="left"/>
            </w:pPr>
            <w:r>
              <w:rPr>
                <w:sz w:val="21"/>
                <w:color w:val="000000"/>
              </w:rPr>
              <w:t>(</w:t>
            </w:r>
            <w:r>
              <w:rPr>
                <w:sz w:val="21"/>
                <w:color w:val="000000"/>
              </w:rPr>
              <w:t>9</w:t>
            </w:r>
            <w:r>
              <w:rPr>
                <w:sz w:val="21"/>
                <w:color w:val="000000"/>
              </w:rPr>
              <w:t>)系统支持RASP技术，能够针对不同种类的攻击情况，进行严密记录与分析，支持对每一次攻击过程进行请求信息的反向追踪记录。</w:t>
            </w:r>
          </w:p>
          <w:p>
            <w:pPr>
              <w:pStyle w:val="null3"/>
              <w:ind w:firstLine="315"/>
              <w:jc w:val="left"/>
            </w:pPr>
            <w:r>
              <w:rPr>
                <w:sz w:val="21"/>
                <w:color w:val="000000"/>
              </w:rPr>
              <w:t>(10)系统应达到等保二级及以上的安全标准，并须通过渗透测试和源代码审计，确保系统的安全性。</w:t>
            </w:r>
          </w:p>
          <w:p>
            <w:pPr>
              <w:pStyle w:val="null3"/>
              <w:jc w:val="left"/>
            </w:pPr>
            <w:r>
              <w:rPr>
                <w:sz w:val="21"/>
                <w:color w:val="000000"/>
              </w:rPr>
              <w:t>6.4 源代码等要求</w:t>
            </w:r>
          </w:p>
          <w:p>
            <w:pPr>
              <w:pStyle w:val="null3"/>
              <w:jc w:val="left"/>
            </w:pPr>
            <w:r>
              <w:rPr>
                <w:sz w:val="21"/>
                <w:color w:val="000000"/>
              </w:rPr>
              <w:t xml:space="preserve">      提供系统全部二次开发代码给采购人。</w:t>
            </w:r>
            <w:r>
              <w:rPr>
                <w:sz w:val="21"/>
                <w:color w:val="000000"/>
              </w:rPr>
              <w:t>允许采购人进行二次开发，可提供二次开发规范、开发工具、资料及各种合理的协助。</w:t>
            </w:r>
          </w:p>
        </w:tc>
      </w:tr>
      <w:tr>
        <w:tc>
          <w:tcPr>
            <w:tcW w:type="dxa" w:w="2076"/>
          </w:tcPr>
          <w:p/>
        </w:tc>
        <w:tc>
          <w:tcPr>
            <w:tcW w:type="dxa" w:w="415"/>
          </w:tcPr>
          <w:p>
            <w:pPr>
              <w:pStyle w:val="null3"/>
            </w:pPr>
            <w:r>
              <w:rPr/>
              <w:t>9</w:t>
            </w:r>
          </w:p>
        </w:tc>
        <w:tc>
          <w:tcPr>
            <w:tcW w:type="dxa" w:w="5814"/>
          </w:tcPr>
          <w:p>
            <w:pPr>
              <w:pStyle w:val="null3"/>
              <w:jc w:val="left"/>
            </w:pPr>
            <w:r>
              <w:rPr>
                <w:sz w:val="21"/>
                <w:b/>
                <w:color w:val="000000"/>
              </w:rPr>
              <w:t>7．项目实施要求</w:t>
            </w:r>
          </w:p>
          <w:p>
            <w:pPr>
              <w:pStyle w:val="null3"/>
              <w:jc w:val="left"/>
            </w:pPr>
            <w:r>
              <w:rPr>
                <w:sz w:val="21"/>
                <w:color w:val="000000"/>
              </w:rPr>
              <w:t>7.1项目总体要求</w:t>
            </w:r>
          </w:p>
          <w:p>
            <w:pPr>
              <w:pStyle w:val="null3"/>
              <w:ind w:firstLine="420"/>
              <w:jc w:val="left"/>
            </w:pPr>
            <w:r>
              <w:rPr>
                <w:sz w:val="21"/>
                <w:color w:val="000000"/>
              </w:rPr>
              <w:t>1）有成熟可行的实施方法论支撑，提供了比较详细的调研、设计、专家评审、修订和实施阶段服务的计划；</w:t>
            </w:r>
          </w:p>
          <w:p>
            <w:pPr>
              <w:pStyle w:val="null3"/>
              <w:ind w:firstLine="420"/>
              <w:jc w:val="left"/>
            </w:pPr>
            <w:r>
              <w:rPr>
                <w:sz w:val="21"/>
                <w:color w:val="000000"/>
              </w:rPr>
              <w:t>2）分阶段进行项目进程把控，并且有相应的控制文档，具有成功的项目管理经验；</w:t>
            </w:r>
          </w:p>
          <w:p>
            <w:pPr>
              <w:pStyle w:val="null3"/>
              <w:ind w:firstLine="420"/>
              <w:jc w:val="left"/>
            </w:pPr>
            <w:r>
              <w:rPr>
                <w:sz w:val="21"/>
                <w:color w:val="000000"/>
              </w:rPr>
              <w:t>3）项目经理需具备丰富的项目经验和专业能力，提供项目经理工作履历。</w:t>
            </w:r>
          </w:p>
          <w:p>
            <w:pPr>
              <w:pStyle w:val="null3"/>
              <w:jc w:val="left"/>
            </w:pPr>
            <w:r>
              <w:rPr>
                <w:sz w:val="21"/>
                <w:color w:val="000000"/>
              </w:rPr>
              <w:t>7.2项目实施进度要求</w:t>
            </w:r>
          </w:p>
          <w:p>
            <w:pPr>
              <w:pStyle w:val="null3"/>
              <w:ind w:firstLine="420"/>
              <w:jc w:val="left"/>
            </w:pPr>
            <w:r>
              <w:rPr>
                <w:sz w:val="21"/>
                <w:color w:val="000000"/>
              </w:rPr>
              <w:t>自合同签订之日起四个月内完成项目主要功能开发，项目终验合格后提供一年系统维保期。</w:t>
            </w:r>
          </w:p>
          <w:p>
            <w:pPr>
              <w:pStyle w:val="null3"/>
              <w:jc w:val="left"/>
            </w:pPr>
            <w:r>
              <w:rPr>
                <w:sz w:val="21"/>
                <w:color w:val="000000"/>
              </w:rPr>
              <w:t>7.3项目实施过程要求</w:t>
            </w:r>
          </w:p>
          <w:p>
            <w:pPr>
              <w:pStyle w:val="null3"/>
              <w:ind w:firstLine="420"/>
              <w:jc w:val="left"/>
            </w:pPr>
            <w:r>
              <w:rPr>
                <w:sz w:val="21"/>
                <w:color w:val="000000"/>
              </w:rPr>
              <w:t>投标人在项目实施中，应提交如下材料：需求说明书、概要设计、详细设计、测试方案、测试用例、测试报告、试运行报告、用户使用报告、操作手册、运维手册、培训方案、培训教材、培训记录、部署文件及双方协商认为必要的材料。</w:t>
            </w:r>
          </w:p>
          <w:p>
            <w:pPr>
              <w:pStyle w:val="null3"/>
              <w:ind w:firstLine="420"/>
              <w:jc w:val="left"/>
            </w:pPr>
            <w:r>
              <w:rPr>
                <w:sz w:val="21"/>
                <w:color w:val="000000"/>
              </w:rPr>
              <w:t>供应商应在项目完成时，将本项目所有文档、资料汇集成册交付给采购方，所有文件要求用中文书写或有完整的中文注释。供应商需负责所有交付的项目过程文档打印装订等费用及工作。</w:t>
            </w:r>
          </w:p>
          <w:p>
            <w:pPr>
              <w:pStyle w:val="null3"/>
              <w:jc w:val="left"/>
            </w:pPr>
            <w:r>
              <w:rPr>
                <w:sz w:val="21"/>
                <w:color w:val="000000"/>
              </w:rPr>
              <w:t>7.4项目实施质量要求</w:t>
            </w:r>
          </w:p>
          <w:p>
            <w:pPr>
              <w:pStyle w:val="null3"/>
              <w:ind w:firstLine="420"/>
              <w:jc w:val="left"/>
            </w:pPr>
            <w:r>
              <w:rPr>
                <w:sz w:val="21"/>
                <w:color w:val="000000"/>
              </w:rPr>
              <w:t>本次项目遵循</w:t>
            </w:r>
            <w:r>
              <w:rPr>
                <w:sz w:val="21"/>
                <w:color w:val="000000"/>
              </w:rPr>
              <w:t>“统筹协调、有序推进、注重融合、资源共享、立足应用、务求实效、加强管理、保障安全”的建设原则。在项目建设与运行管理过程中，需采用相关的项目管理理论和方法，控制整个项目的设计、开发测试和试运行管理过程，降低在软件质量、生产进度、成本控制以及运维管理等方面的风险，确保在建设及运行过程中提供高质量的产品和服务。</w:t>
            </w:r>
          </w:p>
          <w:p>
            <w:pPr>
              <w:pStyle w:val="null3"/>
              <w:jc w:val="left"/>
            </w:pPr>
            <w:r>
              <w:rPr>
                <w:sz w:val="21"/>
                <w:color w:val="000000"/>
              </w:rPr>
              <w:t>7.5其它实施要求</w:t>
            </w:r>
          </w:p>
          <w:p>
            <w:pPr>
              <w:pStyle w:val="null3"/>
              <w:ind w:firstLine="420"/>
              <w:jc w:val="left"/>
            </w:pPr>
            <w:r>
              <w:rPr>
                <w:sz w:val="21"/>
                <w:color w:val="000000"/>
              </w:rPr>
              <w:t>（</w:t>
            </w:r>
            <w:r>
              <w:rPr>
                <w:sz w:val="21"/>
                <w:color w:val="000000"/>
              </w:rPr>
              <w:t>1）要求投标人必须具有良好信誉和相关实力的技术队伍。</w:t>
            </w:r>
          </w:p>
          <w:p>
            <w:pPr>
              <w:pStyle w:val="null3"/>
              <w:ind w:firstLine="420"/>
              <w:jc w:val="left"/>
            </w:pPr>
            <w:r>
              <w:rPr>
                <w:sz w:val="21"/>
                <w:color w:val="000000"/>
              </w:rPr>
              <w:t>（</w:t>
            </w:r>
            <w:r>
              <w:rPr>
                <w:sz w:val="21"/>
                <w:color w:val="000000"/>
              </w:rPr>
              <w:t>2）投标人应本着认真负责态度，组织技术队伍，做好投标的整体方案，并书面提出长期保修、维护、服务以及今后技术支持的措施计划和承诺。</w:t>
            </w:r>
          </w:p>
          <w:p>
            <w:pPr>
              <w:pStyle w:val="null3"/>
              <w:jc w:val="left"/>
            </w:pPr>
            <w:r>
              <w:rPr>
                <w:sz w:val="21"/>
                <w:color w:val="000000"/>
              </w:rPr>
              <w:t>7.6系统测试要求</w:t>
            </w:r>
          </w:p>
          <w:p>
            <w:pPr>
              <w:pStyle w:val="null3"/>
              <w:ind w:firstLine="420"/>
              <w:jc w:val="left"/>
            </w:pPr>
            <w:r>
              <w:rPr>
                <w:sz w:val="21"/>
                <w:color w:val="000000"/>
              </w:rPr>
              <w:t>系统安装完成后，按照系统要求的功能和性能逐一测试。</w:t>
            </w:r>
          </w:p>
          <w:p>
            <w:pPr>
              <w:pStyle w:val="null3"/>
              <w:ind w:firstLine="420"/>
              <w:jc w:val="left"/>
            </w:pPr>
            <w:r>
              <w:rPr>
                <w:sz w:val="21"/>
                <w:color w:val="000000"/>
              </w:rPr>
              <w:t>投标人应负责在项目验收时将系统的全部有关需求说明书、概要设计、测试方案、测试用例、测试报告、试运行报告、用户使用报告、部署文件、操作手册、培训记录等文档交付采购方。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采购包4（安全阀校验信息化平台建设项目）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自合同签订之日起四个月内完成项目开发，项目终验合格后提供一年系统维保期。</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1期：支付比例30%,本项目合同签署生效后10日内，中标人向采购人支付合同总价5%的履约保证金，采购人在收到中标人开具的合同总价30%的发票后，10个工作日内向中标人支付合同总价的30%作为本项目预付款；</w:t>
            </w:r>
          </w:p>
          <w:p>
            <w:pPr>
              <w:pStyle w:val="null3"/>
            </w:pPr>
            <w:r>
              <w:rPr/>
              <w:t>2期：支付比例70%,项目完成建设后上线试运行三个月，且通过采购人组织的验收合格，采购人在收到中标人开具的合同总价70%的发票后，10个工作日内向中标人支付合同总价的70%。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1期：1.交付验收标准依次序对照适用标准为： （1）符合中华人民共和国国家安全质量标准、环保标准或行业标准； （2）符合采购文件和响应承诺中采购人认可的合理最佳配置、参数及各项要求； 2.采购人组成验收小组按国家有关规定、规范，对照合同约定进行验收，必要时邀请相关的专业人员或机构参与验收。 3.验收时如发现所提供的服务不符合用户要求规定之情形者，采购人应作出详尽的现场记录，或由采购人、中标人双方签署备忘录。 4.验收材料包括以下内容： （1）按照合同本身及其技术协议等附件约定的所有文件和文档。 （2）根据招标文件所编写的投标文件中所标明的软件模块，及相关技术维护文档、培训教材、使用说明书及双方协商认为必要的材料。 5.采购人组织验收，对中标人提供的项目成果和验收资料进行核实，并做好验收记录，验收记录与验收材料共同组成验收报告作为本项目支付的条件。 6.项目终验，本项目成果符合验收标准，且系统在试运行期间稳定运行，试运行结束后，中标人应以书面形式向采购人提出项目终验申请,采购人应在收到该申请的7日内组织终验。 7.如果验收不合格的，采购人有权作更换或退回处理，并由中标人承担全部费用。</w:t>
            </w:r>
          </w:p>
        </w:tc>
      </w:tr>
      <w:tr>
        <w:tc>
          <w:tcPr>
            <w:tcW w:type="dxa" w:w="4153"/>
          </w:tcPr>
          <w:p>
            <w:pPr>
              <w:pStyle w:val="null3"/>
            </w:pPr>
            <w:r>
              <w:rPr/>
              <w:t>履约保证金</w:t>
            </w:r>
          </w:p>
        </w:tc>
        <w:tc>
          <w:tcPr>
            <w:tcW w:type="dxa" w:w="4153"/>
          </w:tcPr>
          <w:p>
            <w:pPr>
              <w:pStyle w:val="null3"/>
            </w:pPr>
            <w:r>
              <w:rPr/>
              <w:t>收取比例：5%,说明：说明： (一)提交说明 1.时间：合同签订之日起10日内； 2.金额：合同总金额的5%； 3.方式：支票、汇票、本票、转账、银行履约保函； (二)退还说明： 1.时间、方式和条件：本合同履行期间中标人无违约行为，运维服务完成并通过最终验收后，采购人在收到中标人提出申请退还履约保证金后15日内退回中标人的履约保证金（履约保证金不计利息）或履约保函失效。 2.采购人逾期退还履约保证金的，除应当退还履约保证金本金外，还应当每日按合同总价的万分之一向中标人偿付违约金，但因中标人自身原因导致无法及时退还的除外。 3.中标人违反合同及其附件约定的任何义务，采购人有权在履约保证金中直接扣除中标人应向采购人支付的违约金或损失赔偿额，如有不足的，中标人应对超过的部分予以赔偿，并自发生扣除次日开始，10个日历日内补齐履约保证金的金额至约定的总额。 （三）不予退还的情形： 1.中标人将本项目进行分包或转包给他人； 2.在履行合同期间，中标人提前终止本项目合同； 3.在履行合同期间，中标人因在经营活动中存在违法被吊销营业执照或相关许可，导致本项目合同无法继续履行的。</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报价要求，投标人的投标报价包含本项目采购文件《采购需求》要求的全部内容、技术协议的全部内容，包含但不限于投标人成本费、雇员费（包括但不限于人员工资、褔利等）、交通费、场地费、税金（全额含税发票）以及项目实施过程中其它应预见和不可预见费用等完成本采购项目的一切费用。投标报价超出本采购包预算金额（最高限价）的，将导致其投标无效。</w:t>
            </w:r>
          </w:p>
          <w:p>
            <w:pPr>
              <w:pStyle w:val="null3"/>
            </w:pPr>
            <w:r>
              <w:rPr/>
              <w:t>（二）合同履行期限及履行地点，1.合同履行期限：自合同签订之日起四个月内完成项目开发，项目终验合格后提供一年系统维保期。 2.履行地点：采购人指定地点。</w:t>
            </w:r>
          </w:p>
          <w:p>
            <w:pPr>
              <w:pStyle w:val="null3"/>
            </w:pPr>
            <w:r>
              <w:rPr/>
              <w:t>（三）维保期及售后服务，1.系统维保期：系统的维保期为项目通过验收之日起1年。维保期内，中标人需保障平台运行的稳定性，所提供的软件在使用中出现的问题，能够提供7x24小时的技术响应支持，包括但不限于热线支持、现场支撑以及远程协助等服务方式。若软件出现故障影响正常使用，中标人应在工作日内2小时内予以回复，需现场处理的问题4小时内到现场解决排除故障，维保期内产生的一切费用均由供应商承担。 2.在维护服务期间提出的服务需求，须配备专门的系统运维团队，保障服务期内系统安全、稳定地运行。应在5*8小时工作时间内设置由专人值守的热线电话，接听内部的服务请求，并记录事件处理结果。应及时通过电话、远程协助、现场协助等方式提供7*24小时技术响应服务。如远程无法解决，安排工程师到现场做支持。投标人需提供售后服务方案（包括但不限于售后服务要求、售后服务保障体系、售后服务响应及承诺等）。 3.在维保期内，提供软件产品改正性维护，即在软件使用过程中识别和纠正软件错误，改正软件性能缺陷。 4.培训要求： 在项目实施过程中，中标人须负责培训采购人和最终用户的使用人员，直至完全掌握系统的操作使用、配置及维护方法。培训费用包含在合同总价中，采购人不再另外支付费用。</w:t>
            </w:r>
          </w:p>
          <w:p>
            <w:pPr>
              <w:pStyle w:val="null3"/>
            </w:pPr>
            <w:r>
              <w:rPr/>
              <w:t>（四）服务要求，1.根据本项目建设目标和项目建设功能模块要求开发一套符合采购人单位内控的建设要求的安全阀校验信息化平台，以支撑采购人单位不断地提升和发展； 2.投标人需提供系统功能设计方案、系统技术设计方案（包括但不限于系统设计思路、体系架构、技术路线）及校验信息收集设计方案（包括但不限于校验信息收集设计思路、接口文档、数据模板设计）。</w:t>
            </w:r>
          </w:p>
          <w:p>
            <w:pPr>
              <w:pStyle w:val="null3"/>
            </w:pPr>
            <w:r>
              <w:rPr/>
              <w:t>（五），本项目合同模板及相关条款，以本项目采购文件“第五章 合同文本”为准。</w:t>
            </w:r>
          </w:p>
          <w:p>
            <w:pPr>
              <w:pStyle w:val="null3"/>
            </w:pPr>
            <w:r>
              <w:rPr/>
              <w:t>（六），本项目对供应商的服务质量要求高、对企业实力及体系标准有较高要求，要求供应商在企业标准化工作体系、流程、企业信用信誉、服务质量、履约能力、企业体系认证管理等方面应完善、规范，并获得相关认证。</w:t>
            </w:r>
          </w:p>
          <w:p>
            <w:pPr>
              <w:pStyle w:val="null3"/>
            </w:pPr>
            <w:r>
              <w:rPr/>
              <w:t>（七）演示要求，1.演示人数：一般不超过 2 人（含授权委托代表） 2.演示时间：不得超过20分钟。 3.演示设备：投影仪投标现场已具备，投标人不需另行准备，电脑等设备投标人自带，同时须考虑设备与投标现场设备的兼容性。 4.演示方式：实际系统或原型演示。 5.演示顺序：按投标人在广东省政府采购网的签到顺序。 6.演示内容： （1）投标人演示的内容不得与本项目的采购需求的内容无关。 （2）系统功能演示要求包括但不限于： ①安全阀基础资料 ②安全阀校验信息查询 ③使用单位信息查询 ④用单位安全阀到期情况查询 ⑤校验数据分析查询</w:t>
            </w:r>
          </w:p>
          <w:p>
            <w:pPr>
              <w:pStyle w:val="null3"/>
            </w:pPr>
            <w:r>
              <w:rPr/>
              <w:t>（八）知识产权要求，1.本项目不会引起任何已申请、登记的知识产权所有权的转移。 2.投标人、采购人双方一致同意，投标人为履行本合同义务所形成的服务成果的知识产权归采购人所有。 3.本合同所涉及的数据所有权归采购人所有，中标人只能用于履行本合同之义务。 4.中标人提供的相关软件应是自行开发的产品或具备合法、合规授权，满足知识产权等方面的有关规定和要求。 5.中标人保证向采购人提供的服务成果是其独立实施完成，不存在任何侵犯第三方专利权、商标权、著作权等合法权益。如因中标人提供的服务成果侵犯任何第三方的合法权益，导致该第三方追究采购人责任的，中标人应负责解决并赔偿因此给采购人造成的全部损失。</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行业应用软件开发服务</w:t>
            </w:r>
          </w:p>
        </w:tc>
        <w:tc>
          <w:tcPr>
            <w:tcW w:type="dxa" w:w="933"/>
          </w:tcPr>
          <w:p>
            <w:pPr>
              <w:pStyle w:val="null3"/>
              <w:jc w:val="left"/>
            </w:pPr>
            <w:r>
              <w:rPr/>
              <w:t>安全阀校验信息化平台建设项目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250,000.00</w:t>
            </w:r>
          </w:p>
        </w:tc>
        <w:tc>
          <w:tcPr>
            <w:tcW w:type="dxa" w:w="933"/>
          </w:tcPr>
          <w:p>
            <w:pPr>
              <w:pStyle w:val="null3"/>
              <w:jc w:val="right"/>
            </w:pPr>
            <w:r>
              <w:rPr/>
              <w:t>250,000.00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安全阀校验信息化平台建设项目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color w:val="000000"/>
              </w:rPr>
              <w:t>一、建设目标</w:t>
            </w:r>
          </w:p>
          <w:p>
            <w:pPr>
              <w:pStyle w:val="null3"/>
              <w:jc w:val="left"/>
            </w:pPr>
            <w:r>
              <w:rPr>
                <w:sz w:val="21"/>
                <w:color w:val="000000"/>
              </w:rPr>
              <w:t>（一）管理范围</w:t>
            </w:r>
          </w:p>
          <w:p>
            <w:pPr>
              <w:pStyle w:val="null3"/>
              <w:ind w:firstLine="420"/>
              <w:jc w:val="left"/>
            </w:pPr>
            <w:r>
              <w:rPr>
                <w:sz w:val="21"/>
                <w:color w:val="000000"/>
              </w:rPr>
              <w:t>平台注</w:t>
            </w:r>
            <w:r>
              <w:rPr>
                <w:sz w:val="21"/>
                <w:color w:val="000000"/>
              </w:rPr>
              <w:t>1收集、管理省院及20个直属院的安全阀检测系统注2中的安全阀校验数据。</w:t>
            </w:r>
          </w:p>
          <w:p>
            <w:pPr>
              <w:pStyle w:val="null3"/>
              <w:ind w:firstLine="420"/>
              <w:jc w:val="left"/>
            </w:pPr>
            <w:r>
              <w:rPr>
                <w:sz w:val="21"/>
                <w:color w:val="000000"/>
              </w:rPr>
              <w:t>注</w:t>
            </w:r>
            <w:r>
              <w:rPr>
                <w:sz w:val="21"/>
                <w:color w:val="000000"/>
              </w:rPr>
              <w:t>1：安全阀校验信息化平台：指本项目拟开发的安全阀校验信息化平台（以下简称平台），具备全大院安全阀校验信息收集、查询、分析、共享、展示等功能。</w:t>
            </w:r>
          </w:p>
          <w:p>
            <w:pPr>
              <w:pStyle w:val="null3"/>
              <w:ind w:firstLine="420"/>
              <w:jc w:val="left"/>
            </w:pPr>
            <w:r>
              <w:rPr>
                <w:sz w:val="21"/>
                <w:color w:val="000000"/>
              </w:rPr>
              <w:t>注</w:t>
            </w:r>
            <w:r>
              <w:rPr>
                <w:sz w:val="21"/>
                <w:color w:val="000000"/>
              </w:rPr>
              <w:t>2：安全阀检测系统：指省院及各直属院目前使用的安全阀检测系统（业务系统），具备了安全阀报检、校验及报告出具等基本功能。</w:t>
            </w:r>
          </w:p>
          <w:p>
            <w:pPr>
              <w:pStyle w:val="null3"/>
              <w:jc w:val="left"/>
            </w:pPr>
            <w:r>
              <w:rPr>
                <w:sz w:val="21"/>
                <w:color w:val="000000"/>
              </w:rPr>
              <w:t>（二）模块管理</w:t>
            </w:r>
          </w:p>
          <w:p>
            <w:pPr>
              <w:pStyle w:val="null3"/>
              <w:ind w:firstLine="420"/>
              <w:jc w:val="left"/>
            </w:pPr>
            <w:r>
              <w:rPr>
                <w:sz w:val="21"/>
                <w:color w:val="000000"/>
              </w:rPr>
              <w:t>平台实现全大院安全阀校验信息收集管理、校验信息档案管理、综合查询分析管理、预警管理和辅助功能（用户管理、其他系统配合功能管理）等电子化管理。</w:t>
            </w:r>
          </w:p>
          <w:p>
            <w:pPr>
              <w:pStyle w:val="null3"/>
              <w:jc w:val="left"/>
            </w:pPr>
            <w:r>
              <w:rPr>
                <w:sz w:val="21"/>
                <w:color w:val="000000"/>
              </w:rPr>
              <w:t>（三）数据管理</w:t>
            </w:r>
          </w:p>
          <w:p>
            <w:pPr>
              <w:pStyle w:val="null3"/>
              <w:jc w:val="both"/>
            </w:pPr>
            <w:r>
              <w:rPr>
                <w:sz w:val="21"/>
                <w:color w:val="000000"/>
              </w:rPr>
              <w:t xml:space="preserve">       通过平台管理全大院安全阀校验数据，确保数据的完整性和一致性；实现安全阀校验信息收集、查询、分析、维护、共享、展示等功能；预留安全阀校验数据的传输接口，可以向监管机构推送安全阀校验信息数据，实现安全阀校验信息互通共享。</w:t>
            </w:r>
          </w:p>
        </w:tc>
      </w:tr>
      <w:tr>
        <w:tc>
          <w:tcPr>
            <w:tcW w:type="dxa" w:w="2076"/>
          </w:tcPr>
          <w:p/>
        </w:tc>
        <w:tc>
          <w:tcPr>
            <w:tcW w:type="dxa" w:w="415"/>
          </w:tcPr>
          <w:p>
            <w:pPr>
              <w:pStyle w:val="null3"/>
            </w:pPr>
            <w:r>
              <w:rPr/>
              <w:t>2</w:t>
            </w:r>
          </w:p>
        </w:tc>
        <w:tc>
          <w:tcPr>
            <w:tcW w:type="dxa" w:w="5814"/>
          </w:tcPr>
          <w:p>
            <w:pPr>
              <w:pStyle w:val="null3"/>
              <w:jc w:val="left"/>
            </w:pPr>
            <w:r>
              <w:rPr>
                <w:sz w:val="21"/>
                <w:b/>
                <w:color w:val="000000"/>
              </w:rPr>
              <w:t>二、校验信息收集管理</w:t>
            </w:r>
          </w:p>
          <w:p>
            <w:pPr>
              <w:pStyle w:val="null3"/>
              <w:ind w:firstLine="420"/>
              <w:jc w:val="left"/>
            </w:pPr>
            <w:r>
              <w:rPr>
                <w:sz w:val="21"/>
                <w:color w:val="000000"/>
              </w:rPr>
              <w:t>平台支持两种数据传输方式：接口对接和</w:t>
            </w:r>
            <w:r>
              <w:rPr>
                <w:sz w:val="21"/>
                <w:color w:val="000000"/>
              </w:rPr>
              <w:t>Excel导入。校验信息收集流程图详见流程图（图1、图2）：</w:t>
            </w:r>
          </w:p>
          <w:p>
            <w:pPr>
              <w:pStyle w:val="null3"/>
              <w:jc w:val="center"/>
            </w:pPr>
            <w:r>
              <w:drawing>
                <wp:inline distT="0" distR="0" distB="0" distL="0">
                  <wp:extent cx="3554730" cy="4919242"/>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30" cy="4919242"/>
                          </a:xfrm>
                          <a:prstGeom prst="rect">
                            <a:avLst/>
                          </a:prstGeom>
                        </pic:spPr>
                      </pic:pic>
                    </a:graphicData>
                  </a:graphic>
                </wp:inline>
              </w:drawing>
            </w:r>
          </w:p>
          <w:p>
            <w:pPr>
              <w:pStyle w:val="null3"/>
              <w:jc w:val="center"/>
            </w:pPr>
            <w:r>
              <w:rPr>
                <w:sz w:val="21"/>
                <w:color w:val="000000"/>
              </w:rPr>
              <w:t>图</w:t>
            </w:r>
            <w:r>
              <w:rPr>
                <w:sz w:val="21"/>
                <w:color w:val="000000"/>
              </w:rPr>
              <w:t>1、接口对接方式</w:t>
            </w:r>
          </w:p>
          <w:p>
            <w:pPr>
              <w:pStyle w:val="null3"/>
              <w:jc w:val="center"/>
            </w:pPr>
            <w:r>
              <w:rPr/>
              <w:t xml:space="preserve"> </w:t>
            </w:r>
          </w:p>
          <w:p>
            <w:pPr>
              <w:pStyle w:val="null3"/>
              <w:jc w:val="left"/>
            </w:pPr>
            <w:r>
              <w:rPr/>
              <w:t xml:space="preserve"> </w:t>
            </w:r>
          </w:p>
          <w:p>
            <w:pPr>
              <w:pStyle w:val="null3"/>
              <w:jc w:val="center"/>
            </w:pPr>
            <w:r>
              <w:drawing>
                <wp:inline distT="0" distR="0" distB="0" distL="0">
                  <wp:extent cx="3554730" cy="5365378"/>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554730" cy="5365378"/>
                          </a:xfrm>
                          <a:prstGeom prst="rect">
                            <a:avLst/>
                          </a:prstGeom>
                        </pic:spPr>
                      </pic:pic>
                    </a:graphicData>
                  </a:graphic>
                </wp:inline>
              </w:drawing>
            </w:r>
          </w:p>
          <w:p>
            <w:pPr>
              <w:pStyle w:val="null3"/>
              <w:jc w:val="center"/>
            </w:pPr>
            <w:r>
              <w:rPr>
                <w:sz w:val="21"/>
                <w:color w:val="000000"/>
              </w:rPr>
              <w:t>图</w:t>
            </w:r>
            <w:r>
              <w:rPr>
                <w:sz w:val="21"/>
                <w:color w:val="000000"/>
              </w:rPr>
              <w:t>2、Excel导入方式</w:t>
            </w:r>
          </w:p>
          <w:p>
            <w:pPr>
              <w:pStyle w:val="null3"/>
              <w:jc w:val="left"/>
            </w:pPr>
            <w:r>
              <w:rPr>
                <w:sz w:val="21"/>
                <w:b/>
                <w:color w:val="000000"/>
              </w:rPr>
              <w:t>1.接口对接：</w:t>
            </w:r>
          </w:p>
          <w:p>
            <w:pPr>
              <w:pStyle w:val="null3"/>
              <w:ind w:firstLine="420"/>
              <w:jc w:val="left"/>
            </w:pPr>
            <w:r>
              <w:rPr>
                <w:sz w:val="21"/>
                <w:color w:val="000000"/>
              </w:rPr>
              <w:t>平台制定和发布统一的数据接口，包括数据格式、字段要求等（详见附表）。满足对接要求的安全阀检测系统可通过接口实现数据上传。平台接收并解析上传的数据，进行字段逻辑确认。</w:t>
            </w:r>
          </w:p>
          <w:p>
            <w:pPr>
              <w:pStyle w:val="null3"/>
              <w:ind w:firstLine="420"/>
              <w:jc w:val="left"/>
            </w:pPr>
            <w:r>
              <w:rPr>
                <w:sz w:val="21"/>
                <w:color w:val="000000"/>
              </w:rPr>
              <w:t>平台建设单位需配合满足对接要求的安全阀检测系统进行接口调试，完成系统接口对接工作。</w:t>
            </w:r>
          </w:p>
          <w:p>
            <w:pPr>
              <w:pStyle w:val="null3"/>
              <w:jc w:val="left"/>
            </w:pPr>
            <w:r>
              <w:rPr>
                <w:sz w:val="21"/>
                <w:b/>
                <w:color w:val="000000"/>
              </w:rPr>
              <w:t>2.Excel数据导入：</w:t>
            </w:r>
          </w:p>
          <w:p>
            <w:pPr>
              <w:pStyle w:val="null3"/>
              <w:ind w:firstLine="420"/>
              <w:jc w:val="left"/>
            </w:pPr>
            <w:r>
              <w:rPr>
                <w:sz w:val="21"/>
                <w:color w:val="000000"/>
              </w:rPr>
              <w:t>平台提供</w:t>
            </w:r>
            <w:r>
              <w:rPr>
                <w:sz w:val="21"/>
                <w:color w:val="000000"/>
              </w:rPr>
              <w:t>Excel数据模板，模板中包含平台所需收集的全部字段。上传机构可在平台用户界面下载Excel空白模板，填写安全阀校验信息数据，确保数据格式正确。</w:t>
            </w:r>
          </w:p>
          <w:p>
            <w:pPr>
              <w:pStyle w:val="null3"/>
              <w:ind w:firstLine="420"/>
              <w:jc w:val="left"/>
            </w:pPr>
            <w:r>
              <w:rPr>
                <w:sz w:val="21"/>
                <w:color w:val="000000"/>
              </w:rPr>
              <w:t>上传机构将填好安全阀校验信息数据的</w:t>
            </w:r>
            <w:r>
              <w:rPr>
                <w:sz w:val="21"/>
                <w:color w:val="000000"/>
              </w:rPr>
              <w:t>Excel模板上传后，平台对数据进行字段逻辑确认，检查数据是否符合要求。如果数据不符合要求，平台用户界面应标红（或弹窗）提示Excel模板中不符合要求的字段，反馈给上传机构错误信息（在用户界面上标识出不符合要求的数据，为上传机构提供明确的修改方向）。上传机构需要根据平台反馈的错误信息修改Excel中的数据（支持批量修改）并重新上传。对上传机构修改后的数据，平台将重新验证，确保收集到的数据符合要求。</w:t>
            </w:r>
          </w:p>
          <w:p>
            <w:pPr>
              <w:pStyle w:val="null3"/>
              <w:jc w:val="left"/>
            </w:pPr>
            <w:r>
              <w:rPr>
                <w:sz w:val="21"/>
                <w:b/>
                <w:color w:val="000000"/>
              </w:rPr>
              <w:t>3.校验信息收集管理：</w:t>
            </w:r>
          </w:p>
          <w:p>
            <w:pPr>
              <w:pStyle w:val="null3"/>
              <w:jc w:val="both"/>
            </w:pPr>
            <w:r>
              <w:rPr>
                <w:sz w:val="21"/>
                <w:color w:val="000000"/>
              </w:rPr>
              <w:t xml:space="preserve">      平台提供校验信息收集日志查询功能，将数据收集方式、上传机构信息、验证结果、错误提示信息、安全阀校验信息的更新或新增信息等写入系统日志。</w:t>
            </w:r>
          </w:p>
        </w:tc>
      </w:tr>
      <w:tr>
        <w:tc>
          <w:tcPr>
            <w:tcW w:type="dxa" w:w="2076"/>
          </w:tcPr>
          <w:p/>
        </w:tc>
        <w:tc>
          <w:tcPr>
            <w:tcW w:type="dxa" w:w="415"/>
          </w:tcPr>
          <w:p>
            <w:pPr>
              <w:pStyle w:val="null3"/>
            </w:pPr>
            <w:r>
              <w:rPr/>
              <w:t>3</w:t>
            </w:r>
          </w:p>
        </w:tc>
        <w:tc>
          <w:tcPr>
            <w:tcW w:type="dxa" w:w="5814"/>
          </w:tcPr>
          <w:p>
            <w:pPr>
              <w:pStyle w:val="null3"/>
              <w:jc w:val="left"/>
            </w:pPr>
            <w:r>
              <w:rPr>
                <w:sz w:val="21"/>
                <w:b/>
                <w:color w:val="000000"/>
              </w:rPr>
              <w:t>三、</w:t>
            </w:r>
            <w:r>
              <w:rPr>
                <w:sz w:val="21"/>
                <w:b/>
                <w:color w:val="000000"/>
              </w:rPr>
              <w:t>校验信息档案管理</w:t>
            </w:r>
          </w:p>
          <w:p>
            <w:pPr>
              <w:pStyle w:val="null3"/>
              <w:ind w:firstLine="420"/>
              <w:jc w:val="left"/>
            </w:pPr>
            <w:r>
              <w:rPr>
                <w:sz w:val="21"/>
                <w:color w:val="000000"/>
              </w:rPr>
              <w:t>校验信息收集后平台自动更新安全阀校验信息库，根据库中的数据，平台的用户界面包含以下内容：安全阀基础资料，安全阀校验信息，使用单位信息。</w:t>
            </w:r>
          </w:p>
          <w:p>
            <w:pPr>
              <w:pStyle w:val="null3"/>
              <w:jc w:val="left"/>
            </w:pPr>
            <w:r>
              <w:rPr>
                <w:sz w:val="21"/>
                <w:b/>
                <w:color w:val="000000"/>
              </w:rPr>
              <w:t>1.安全阀基础资料：</w:t>
            </w:r>
          </w:p>
          <w:p>
            <w:pPr>
              <w:pStyle w:val="null3"/>
              <w:ind w:firstLine="420"/>
              <w:jc w:val="left"/>
            </w:pPr>
            <w:r>
              <w:rPr>
                <w:sz w:val="21"/>
                <w:color w:val="000000"/>
              </w:rPr>
              <w:t>安全阀基础资料字段包括使用单位</w:t>
            </w:r>
            <w:r>
              <w:rPr>
                <w:sz w:val="21"/>
                <w:color w:val="000000"/>
              </w:rPr>
              <w:t>*、使用单位地址、联系人、联系电话（手机号码）、装置名称*、阀门位号（安装位置）*、公称压力*、公称通径*、安全阀类型、安全阀型号、出厂编号、出厂日期、压力级别范围、安全阀制造单位、制造单位许可证编号、要求整定压力*、工作介质、工作压力、工作温度，下次校检日期，最新上传机构。这些字段可以用于建立安全阀的基本身份。用户界面可查询安全阀校验信息详细数据。</w:t>
            </w:r>
          </w:p>
          <w:p>
            <w:pPr>
              <w:pStyle w:val="null3"/>
              <w:ind w:firstLine="420"/>
              <w:jc w:val="left"/>
            </w:pPr>
            <w:r>
              <w:rPr>
                <w:sz w:val="21"/>
                <w:color w:val="000000"/>
              </w:rPr>
              <w:t>安全阀基础资料的更新机制：根据上传机构上传的校验信息数据中的星号字段判断是否将基础资料更新或新增。仅当特定星号字段完全一致时才进行更新，否则新增安全阀。流程图如图</w:t>
            </w:r>
            <w:r>
              <w:rPr>
                <w:sz w:val="21"/>
                <w:color w:val="000000"/>
              </w:rPr>
              <w:t>3：</w:t>
            </w:r>
          </w:p>
          <w:p>
            <w:pPr>
              <w:pStyle w:val="null3"/>
              <w:jc w:val="center"/>
            </w:pPr>
            <w:r>
              <w:drawing>
                <wp:inline distT="0" distR="0" distB="0" distL="0">
                  <wp:extent cx="3554730" cy="4473537"/>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3554730" cy="4473537"/>
                          </a:xfrm>
                          <a:prstGeom prst="rect">
                            <a:avLst/>
                          </a:prstGeom>
                        </pic:spPr>
                      </pic:pic>
                    </a:graphicData>
                  </a:graphic>
                </wp:inline>
              </w:drawing>
            </w:r>
          </w:p>
          <w:p>
            <w:pPr>
              <w:pStyle w:val="null3"/>
              <w:jc w:val="center"/>
            </w:pPr>
            <w:r>
              <w:rPr>
                <w:sz w:val="21"/>
                <w:color w:val="000000"/>
              </w:rPr>
              <w:t>图</w:t>
            </w:r>
            <w:r>
              <w:rPr>
                <w:sz w:val="21"/>
                <w:color w:val="000000"/>
              </w:rPr>
              <w:t>3、安全阀基础资料的更新</w:t>
            </w:r>
          </w:p>
          <w:p>
            <w:pPr>
              <w:pStyle w:val="null3"/>
              <w:ind w:firstLine="420"/>
              <w:jc w:val="left"/>
            </w:pPr>
            <w:r>
              <w:rPr>
                <w:sz w:val="21"/>
                <w:color w:val="000000"/>
              </w:rPr>
              <w:t>关联特种设备：弹窗搜索并绑定该安全阀安装的特种设备</w:t>
            </w:r>
          </w:p>
          <w:p>
            <w:pPr>
              <w:pStyle w:val="null3"/>
              <w:ind w:firstLine="420"/>
              <w:jc w:val="left"/>
            </w:pPr>
            <w:r>
              <w:rPr>
                <w:sz w:val="21"/>
                <w:color w:val="000000"/>
              </w:rPr>
              <w:t>为确保历史数据的完整性，平台应保存每次更新前的历史数据和记录，以便查询和追溯更新前的信息。</w:t>
            </w:r>
          </w:p>
          <w:p>
            <w:pPr>
              <w:pStyle w:val="null3"/>
              <w:jc w:val="left"/>
            </w:pPr>
            <w:r>
              <w:rPr>
                <w:sz w:val="21"/>
                <w:b/>
                <w:color w:val="000000"/>
              </w:rPr>
              <w:t>2.安全阀校验信息：</w:t>
            </w:r>
          </w:p>
          <w:p>
            <w:pPr>
              <w:pStyle w:val="null3"/>
              <w:ind w:firstLine="420"/>
              <w:jc w:val="left"/>
            </w:pPr>
            <w:r>
              <w:rPr>
                <w:sz w:val="21"/>
                <w:color w:val="000000"/>
              </w:rPr>
              <w:t>安全阀校验信息字段包括校验机构名称</w:t>
            </w:r>
            <w:r>
              <w:rPr>
                <w:sz w:val="21"/>
                <w:color w:val="000000"/>
              </w:rPr>
              <w:t>*、报告书编号*、使用单位*、使用单位地址、联系人、联系电话（手机号码）、装置名称*、阀门位号（安装位置）*、公称压力*、公称通径*、安全阀类型、安全阀型号、出厂编号、出厂日期、压力级别范围、安全阀制造单位、制造单位许可证编号、要求整定压力*、校验方式*、校验介质、整定压力、密封试验、执行标准、校验结论*、校验日期*、下次校验日期*、校验员。</w:t>
            </w:r>
          </w:p>
          <w:p>
            <w:pPr>
              <w:pStyle w:val="null3"/>
              <w:ind w:firstLine="420"/>
              <w:jc w:val="left"/>
            </w:pPr>
            <w:r>
              <w:rPr>
                <w:sz w:val="21"/>
                <w:color w:val="000000"/>
              </w:rPr>
              <w:t>数据权限分配原则：</w:t>
            </w:r>
          </w:p>
          <w:p>
            <w:pPr>
              <w:pStyle w:val="null3"/>
              <w:ind w:firstLine="420"/>
              <w:jc w:val="left"/>
            </w:pPr>
            <w:r>
              <w:rPr>
                <w:sz w:val="21"/>
                <w:color w:val="000000"/>
              </w:rPr>
              <w:t>各分院：各分院拥有维护管理本单位上传数据的权限，可上传、导出、更新、查询和维护其相关的校验信息。</w:t>
            </w:r>
          </w:p>
          <w:p>
            <w:pPr>
              <w:pStyle w:val="null3"/>
              <w:ind w:firstLine="420"/>
              <w:jc w:val="left"/>
            </w:pPr>
            <w:r>
              <w:rPr>
                <w:sz w:val="21"/>
                <w:color w:val="000000"/>
              </w:rPr>
              <w:t>省院：具有管理全大院安全阀校验信息数据的权限，可查看所有分院上传的数据，进行跨分院的查询和维护操作。</w:t>
            </w:r>
          </w:p>
          <w:p>
            <w:pPr>
              <w:pStyle w:val="null3"/>
              <w:ind w:firstLine="420"/>
              <w:jc w:val="left"/>
            </w:pPr>
            <w:r>
              <w:rPr>
                <w:sz w:val="21"/>
                <w:color w:val="000000"/>
              </w:rPr>
              <w:t>校验数据维护原则：</w:t>
            </w:r>
          </w:p>
          <w:p>
            <w:pPr>
              <w:pStyle w:val="null3"/>
              <w:ind w:firstLine="420"/>
              <w:jc w:val="left"/>
            </w:pPr>
            <w:r>
              <w:rPr>
                <w:sz w:val="21"/>
                <w:color w:val="000000"/>
              </w:rPr>
              <w:t>为了确保数据的准确性和一致性，已成功上传的校验数据中，星号字段（如必填项等）不允许在平台端进行修改。如确实有需要处理的数据，平台仅支持系统管理员进行操作。</w:t>
            </w:r>
          </w:p>
          <w:p>
            <w:pPr>
              <w:pStyle w:val="null3"/>
              <w:jc w:val="left"/>
            </w:pPr>
            <w:r>
              <w:rPr>
                <w:sz w:val="21"/>
                <w:b/>
                <w:color w:val="000000"/>
              </w:rPr>
              <w:t>3.使用单位信息：</w:t>
            </w:r>
          </w:p>
          <w:p>
            <w:pPr>
              <w:pStyle w:val="null3"/>
              <w:ind w:firstLine="420"/>
              <w:jc w:val="left"/>
            </w:pPr>
            <w:r>
              <w:rPr>
                <w:sz w:val="21"/>
                <w:color w:val="000000"/>
              </w:rPr>
              <w:t>平台需支持根据校验信息自动生成匹配使用单位信息库功能，若该使用单位无法匹配平台的使用单位信息库则自动创建相关数据，保证所有校验信息中的使用单位都建档在案。</w:t>
            </w:r>
          </w:p>
          <w:p>
            <w:pPr>
              <w:pStyle w:val="null3"/>
              <w:ind w:firstLine="420"/>
              <w:jc w:val="left"/>
            </w:pPr>
            <w:r>
              <w:rPr>
                <w:sz w:val="21"/>
                <w:color w:val="000000"/>
              </w:rPr>
              <w:t>为有效规范本平台使用单位信息，本平台需同步</w:t>
            </w:r>
            <w:r>
              <w:rPr>
                <w:sz w:val="21"/>
                <w:color w:val="000000"/>
              </w:rPr>
              <w:t>MIS系统使用单位信息库（数据同步方案在实施过程中双方磋商决定），并支持本平台使用单位信息库与MIS系统使用单位信息库匹配功能，若两库使用单位名一致则自动创建关联关系，若单位名不一致，则向用户提供相关功能界面进行绑定操作（人工绑定的关联关系仅适用于该校验机构的相关数据）。</w:t>
            </w:r>
          </w:p>
        </w:tc>
      </w:tr>
      <w:tr>
        <w:tc>
          <w:tcPr>
            <w:tcW w:type="dxa" w:w="2076"/>
          </w:tcPr>
          <w:p/>
        </w:tc>
        <w:tc>
          <w:tcPr>
            <w:tcW w:type="dxa" w:w="415"/>
          </w:tcPr>
          <w:p>
            <w:pPr>
              <w:pStyle w:val="null3"/>
            </w:pPr>
            <w:r>
              <w:rPr/>
              <w:t>4</w:t>
            </w:r>
          </w:p>
        </w:tc>
        <w:tc>
          <w:tcPr>
            <w:tcW w:type="dxa" w:w="5814"/>
          </w:tcPr>
          <w:p>
            <w:pPr>
              <w:pStyle w:val="null3"/>
              <w:jc w:val="left"/>
            </w:pPr>
            <w:r>
              <w:rPr>
                <w:sz w:val="21"/>
                <w:b/>
                <w:color w:val="000000"/>
              </w:rPr>
              <w:t>四、综合查询分析管理</w:t>
            </w:r>
          </w:p>
          <w:p>
            <w:pPr>
              <w:pStyle w:val="null3"/>
              <w:jc w:val="left"/>
            </w:pPr>
            <w:r>
              <w:rPr>
                <w:sz w:val="21"/>
                <w:b/>
                <w:color w:val="000000"/>
              </w:rPr>
              <w:t>（一）校验信息管理</w:t>
            </w:r>
          </w:p>
          <w:p>
            <w:pPr>
              <w:pStyle w:val="null3"/>
              <w:ind w:firstLine="420"/>
              <w:jc w:val="left"/>
            </w:pPr>
            <w:r>
              <w:rPr>
                <w:sz w:val="21"/>
                <w:color w:val="000000"/>
              </w:rPr>
              <w:t>可通过校验机构名称、报告编号、使用单位、装置名称、阀门位号（安装位置）、公称压力、公称通径、要求整定压力、校验结论、校验日期（日期范围）、下次校验日期（日期范围）等查询条件，查询校验信息。</w:t>
            </w:r>
          </w:p>
          <w:p>
            <w:pPr>
              <w:pStyle w:val="null3"/>
              <w:ind w:firstLine="420"/>
              <w:jc w:val="left"/>
            </w:pPr>
            <w:r>
              <w:rPr>
                <w:sz w:val="21"/>
                <w:color w:val="000000"/>
              </w:rPr>
              <w:t>用户界面功能按钮如下：</w:t>
            </w:r>
          </w:p>
          <w:p>
            <w:pPr>
              <w:pStyle w:val="null3"/>
              <w:ind w:firstLine="420"/>
              <w:jc w:val="left"/>
            </w:pPr>
            <w:r>
              <w:rPr>
                <w:sz w:val="21"/>
                <w:color w:val="000000"/>
              </w:rPr>
              <w:t>（</w:t>
            </w:r>
            <w:r>
              <w:rPr>
                <w:sz w:val="21"/>
                <w:color w:val="000000"/>
              </w:rPr>
              <w:t>1）查询：根据各查询条件字段查询校验信息数据。</w:t>
            </w:r>
          </w:p>
          <w:p>
            <w:pPr>
              <w:pStyle w:val="null3"/>
              <w:ind w:firstLine="420"/>
              <w:jc w:val="left"/>
            </w:pPr>
            <w:r>
              <w:rPr>
                <w:sz w:val="21"/>
                <w:color w:val="000000"/>
              </w:rPr>
              <w:t>（</w:t>
            </w:r>
            <w:r>
              <w:rPr>
                <w:sz w:val="21"/>
                <w:color w:val="000000"/>
              </w:rPr>
              <w:t>2）重置：清空所有查询条件。</w:t>
            </w:r>
          </w:p>
          <w:p>
            <w:pPr>
              <w:pStyle w:val="null3"/>
              <w:ind w:firstLine="420"/>
              <w:jc w:val="left"/>
            </w:pPr>
            <w:r>
              <w:rPr>
                <w:sz w:val="21"/>
                <w:color w:val="000000"/>
              </w:rPr>
              <w:t>（</w:t>
            </w:r>
            <w:r>
              <w:rPr>
                <w:sz w:val="21"/>
                <w:color w:val="000000"/>
              </w:rPr>
              <w:t>3）排列：根据字段逻辑关系按一定顺序排列展示校验信息。</w:t>
            </w:r>
          </w:p>
          <w:p>
            <w:pPr>
              <w:pStyle w:val="null3"/>
              <w:ind w:firstLine="420"/>
              <w:jc w:val="left"/>
            </w:pPr>
            <w:r>
              <w:rPr>
                <w:sz w:val="21"/>
                <w:color w:val="000000"/>
              </w:rPr>
              <w:t>（</w:t>
            </w:r>
            <w:r>
              <w:rPr>
                <w:sz w:val="21"/>
                <w:color w:val="000000"/>
              </w:rPr>
              <w:t>4）详情：点击可查看选中校验记录的校验详情信息。</w:t>
            </w:r>
          </w:p>
          <w:p>
            <w:pPr>
              <w:pStyle w:val="null3"/>
              <w:ind w:firstLine="420"/>
              <w:jc w:val="left"/>
            </w:pPr>
            <w:r>
              <w:rPr>
                <w:sz w:val="21"/>
                <w:color w:val="000000"/>
              </w:rPr>
              <w:t>（</w:t>
            </w:r>
            <w:r>
              <w:rPr>
                <w:sz w:val="21"/>
                <w:color w:val="000000"/>
              </w:rPr>
              <w:t>5）导出：批量导出勾选安全阀校验信息。导出格式为Excel。</w:t>
            </w:r>
          </w:p>
          <w:p>
            <w:pPr>
              <w:pStyle w:val="null3"/>
              <w:jc w:val="left"/>
            </w:pPr>
            <w:r>
              <w:rPr>
                <w:sz w:val="21"/>
                <w:b/>
                <w:color w:val="000000"/>
              </w:rPr>
              <w:t>（二）安全阀信息管理</w:t>
            </w:r>
          </w:p>
          <w:p>
            <w:pPr>
              <w:pStyle w:val="null3"/>
              <w:ind w:firstLine="420"/>
              <w:jc w:val="left"/>
            </w:pPr>
            <w:r>
              <w:rPr>
                <w:sz w:val="21"/>
                <w:color w:val="000000"/>
              </w:rPr>
              <w:t>可通过最新上传机构、校验机构名称、报告书编号、使用单位、装置名称、阀门位号（安装位置）、公称压力、公称通径、安全阀类型、安全阀型号、出厂编号、出厂日期、压力级别范围、安全阀制造单位、制造单位许可证编号、要求整定压力、校验方式、校验介质、密封试验、执行标准、校验结论、校验日期、下次校验日期、校验员等查询条件，查询安全阀信息。</w:t>
            </w:r>
          </w:p>
          <w:p>
            <w:pPr>
              <w:pStyle w:val="null3"/>
              <w:ind w:firstLine="420"/>
              <w:jc w:val="left"/>
            </w:pPr>
            <w:r>
              <w:rPr>
                <w:sz w:val="21"/>
                <w:color w:val="000000"/>
              </w:rPr>
              <w:t>用户界面功能按钮如下：</w:t>
            </w:r>
          </w:p>
          <w:p>
            <w:pPr>
              <w:pStyle w:val="null3"/>
              <w:ind w:firstLine="420"/>
              <w:jc w:val="left"/>
            </w:pPr>
            <w:r>
              <w:rPr>
                <w:sz w:val="21"/>
                <w:color w:val="000000"/>
              </w:rPr>
              <w:t>（</w:t>
            </w:r>
            <w:r>
              <w:rPr>
                <w:sz w:val="21"/>
                <w:color w:val="000000"/>
              </w:rPr>
              <w:t>1）查询：根据各查询条件字段查询安全阀信息数据。</w:t>
            </w:r>
          </w:p>
          <w:p>
            <w:pPr>
              <w:pStyle w:val="null3"/>
              <w:ind w:firstLine="420"/>
              <w:jc w:val="left"/>
            </w:pPr>
            <w:r>
              <w:rPr>
                <w:sz w:val="21"/>
                <w:color w:val="000000"/>
              </w:rPr>
              <w:t>（</w:t>
            </w:r>
            <w:r>
              <w:rPr>
                <w:sz w:val="21"/>
                <w:color w:val="000000"/>
              </w:rPr>
              <w:t>2）重置：清空所有查询条件。</w:t>
            </w:r>
          </w:p>
          <w:p>
            <w:pPr>
              <w:pStyle w:val="null3"/>
              <w:ind w:firstLine="420"/>
              <w:jc w:val="left"/>
            </w:pPr>
            <w:r>
              <w:rPr>
                <w:sz w:val="21"/>
                <w:color w:val="000000"/>
              </w:rPr>
              <w:t>（</w:t>
            </w:r>
            <w:r>
              <w:rPr>
                <w:sz w:val="21"/>
                <w:color w:val="000000"/>
              </w:rPr>
              <w:t>3）排列：根据字段逻辑关系按一定顺序排列安全阀信息。</w:t>
            </w:r>
          </w:p>
          <w:p>
            <w:pPr>
              <w:pStyle w:val="null3"/>
              <w:ind w:firstLine="420"/>
              <w:jc w:val="left"/>
            </w:pPr>
            <w:r>
              <w:rPr>
                <w:sz w:val="21"/>
                <w:color w:val="000000"/>
              </w:rPr>
              <w:t>（</w:t>
            </w:r>
            <w:r>
              <w:rPr>
                <w:sz w:val="21"/>
                <w:color w:val="000000"/>
              </w:rPr>
              <w:t>4）详情：点击可查看选中的安全阀详情信息。</w:t>
            </w:r>
          </w:p>
          <w:p>
            <w:pPr>
              <w:pStyle w:val="null3"/>
              <w:ind w:firstLine="420"/>
              <w:jc w:val="left"/>
            </w:pPr>
            <w:r>
              <w:rPr>
                <w:sz w:val="21"/>
                <w:color w:val="000000"/>
              </w:rPr>
              <w:t>（</w:t>
            </w:r>
            <w:r>
              <w:rPr>
                <w:sz w:val="21"/>
                <w:color w:val="000000"/>
              </w:rPr>
              <w:t>5）导出：批量导出勾选安全阀校验信息。导出格式为Excel。</w:t>
            </w:r>
          </w:p>
          <w:p>
            <w:pPr>
              <w:pStyle w:val="null3"/>
              <w:ind w:firstLine="420"/>
              <w:jc w:val="left"/>
            </w:pPr>
            <w:r>
              <w:rPr>
                <w:sz w:val="21"/>
                <w:color w:val="000000"/>
              </w:rPr>
              <w:t>（</w:t>
            </w:r>
            <w:r>
              <w:rPr>
                <w:sz w:val="21"/>
                <w:color w:val="000000"/>
              </w:rPr>
              <w:t>6）关联设备：弹窗搜索并绑定该安全阀安装的特种设备。</w:t>
            </w:r>
          </w:p>
          <w:p>
            <w:pPr>
              <w:pStyle w:val="null3"/>
              <w:jc w:val="left"/>
            </w:pPr>
            <w:r>
              <w:rPr>
                <w:sz w:val="21"/>
                <w:b/>
                <w:color w:val="000000"/>
              </w:rPr>
              <w:t>（三）使用单位安全阀到期情况查询</w:t>
            </w:r>
          </w:p>
          <w:p>
            <w:pPr>
              <w:pStyle w:val="null3"/>
              <w:ind w:firstLine="420"/>
              <w:jc w:val="left"/>
            </w:pPr>
            <w:r>
              <w:rPr>
                <w:sz w:val="21"/>
                <w:color w:val="000000"/>
              </w:rPr>
              <w:t>通过使用单位、下次校验日期（日期范围）等查询条件，查询各使用单位的安全阀到期数量，平台可生成表格或图表形式展示查询结果，并支持导出。</w:t>
            </w:r>
          </w:p>
          <w:p>
            <w:pPr>
              <w:pStyle w:val="null3"/>
              <w:ind w:firstLine="420"/>
              <w:jc w:val="left"/>
            </w:pPr>
            <w:r>
              <w:rPr>
                <w:sz w:val="21"/>
                <w:color w:val="000000"/>
              </w:rPr>
              <w:t>（</w:t>
            </w:r>
            <w:r>
              <w:rPr>
                <w:sz w:val="21"/>
                <w:color w:val="000000"/>
              </w:rPr>
              <w:t>1）用户界面功能按钮如下：</w:t>
            </w:r>
          </w:p>
          <w:p>
            <w:pPr>
              <w:pStyle w:val="null3"/>
              <w:ind w:firstLine="420"/>
              <w:jc w:val="left"/>
            </w:pPr>
            <w:r>
              <w:rPr>
                <w:sz w:val="21"/>
                <w:color w:val="000000"/>
              </w:rPr>
              <w:t>（</w:t>
            </w:r>
            <w:r>
              <w:rPr>
                <w:sz w:val="21"/>
                <w:color w:val="000000"/>
              </w:rPr>
              <w:t>2）查询：根据各查询条件字段查询安全阀到期数据。</w:t>
            </w:r>
          </w:p>
          <w:p>
            <w:pPr>
              <w:pStyle w:val="null3"/>
              <w:ind w:firstLine="420"/>
              <w:jc w:val="left"/>
            </w:pPr>
            <w:r>
              <w:rPr>
                <w:sz w:val="21"/>
                <w:color w:val="000000"/>
              </w:rPr>
              <w:t>（</w:t>
            </w:r>
            <w:r>
              <w:rPr>
                <w:sz w:val="21"/>
                <w:color w:val="000000"/>
              </w:rPr>
              <w:t>3）重置：清空所有查询条件。</w:t>
            </w:r>
          </w:p>
          <w:p>
            <w:pPr>
              <w:pStyle w:val="null3"/>
              <w:ind w:firstLine="420"/>
              <w:jc w:val="left"/>
            </w:pPr>
            <w:r>
              <w:rPr>
                <w:sz w:val="21"/>
                <w:color w:val="000000"/>
              </w:rPr>
              <w:t>（</w:t>
            </w:r>
            <w:r>
              <w:rPr>
                <w:sz w:val="21"/>
                <w:color w:val="000000"/>
              </w:rPr>
              <w:t>4）排列：根据字段逻辑关系按一定顺序排列安全阀到期信息。</w:t>
            </w:r>
          </w:p>
          <w:p>
            <w:pPr>
              <w:pStyle w:val="null3"/>
              <w:ind w:firstLine="420"/>
              <w:jc w:val="left"/>
            </w:pPr>
            <w:r>
              <w:rPr>
                <w:sz w:val="21"/>
                <w:color w:val="000000"/>
              </w:rPr>
              <w:t>（</w:t>
            </w:r>
            <w:r>
              <w:rPr>
                <w:sz w:val="21"/>
                <w:color w:val="000000"/>
              </w:rPr>
              <w:t>5）详情：点击可查看选中的安全阀校验信息详情信息。。</w:t>
            </w:r>
          </w:p>
          <w:p>
            <w:pPr>
              <w:pStyle w:val="null3"/>
              <w:ind w:firstLine="420"/>
              <w:jc w:val="left"/>
            </w:pPr>
            <w:r>
              <w:rPr>
                <w:sz w:val="21"/>
                <w:color w:val="000000"/>
              </w:rPr>
              <w:t>（</w:t>
            </w:r>
            <w:r>
              <w:rPr>
                <w:sz w:val="21"/>
                <w:color w:val="000000"/>
              </w:rPr>
              <w:t>6）展示：点击可生成便于数据分析的表格或图表。</w:t>
            </w:r>
          </w:p>
          <w:p>
            <w:pPr>
              <w:pStyle w:val="null3"/>
              <w:ind w:firstLine="420"/>
              <w:jc w:val="left"/>
            </w:pPr>
            <w:r>
              <w:rPr>
                <w:sz w:val="21"/>
                <w:color w:val="000000"/>
              </w:rPr>
              <w:t>（</w:t>
            </w:r>
            <w:r>
              <w:rPr>
                <w:sz w:val="21"/>
                <w:color w:val="000000"/>
              </w:rPr>
              <w:t>7）导出：批量导出勾选的使用单位安全阀到期信息。</w:t>
            </w:r>
          </w:p>
          <w:p>
            <w:pPr>
              <w:pStyle w:val="null3"/>
              <w:ind w:firstLine="420"/>
              <w:jc w:val="left"/>
            </w:pPr>
            <w:r>
              <w:rPr>
                <w:sz w:val="21"/>
                <w:color w:val="000000"/>
              </w:rPr>
              <w:t>（</w:t>
            </w:r>
            <w:r>
              <w:rPr>
                <w:sz w:val="21"/>
                <w:color w:val="000000"/>
              </w:rPr>
              <w:t>8）发送检验通知：批量发送勾选安全阀的检验通知。</w:t>
            </w:r>
          </w:p>
          <w:p>
            <w:pPr>
              <w:pStyle w:val="null3"/>
              <w:jc w:val="left"/>
            </w:pPr>
            <w:r>
              <w:rPr>
                <w:sz w:val="21"/>
                <w:b/>
                <w:color w:val="000000"/>
              </w:rPr>
              <w:t>（四）校验数据分析查询</w:t>
            </w:r>
          </w:p>
          <w:p>
            <w:pPr>
              <w:pStyle w:val="null3"/>
              <w:ind w:firstLine="420"/>
              <w:jc w:val="left"/>
            </w:pPr>
            <w:r>
              <w:rPr>
                <w:sz w:val="21"/>
                <w:color w:val="000000"/>
              </w:rPr>
              <w:t>通过使用单位名称、校验机构名称、校验日期（日期范围）等查询条件，查询使用单位安全阀总量、历史（日期范围）送检量、安全阀设备配比（最近一年安全阀校验数量</w:t>
            </w:r>
            <w:r>
              <w:rPr>
                <w:sz w:val="21"/>
                <w:color w:val="000000"/>
              </w:rPr>
              <w:t>/使用单位特种设备量）排序，并对选中的安全阀使用单位的安全阀及设备进行进一步的详细分析，校验机构历史校验量、报告复校率、校验数据历史同比等分析数据，平台可生成表格或图表形式展示查询结果，并支持导出。</w:t>
            </w:r>
          </w:p>
          <w:p>
            <w:pPr>
              <w:pStyle w:val="null3"/>
              <w:ind w:firstLine="420"/>
              <w:jc w:val="left"/>
            </w:pPr>
            <w:r>
              <w:rPr>
                <w:sz w:val="21"/>
                <w:color w:val="000000"/>
              </w:rPr>
              <w:t>用户界面功能按钮如下：</w:t>
            </w:r>
          </w:p>
          <w:p>
            <w:pPr>
              <w:pStyle w:val="null3"/>
              <w:ind w:firstLine="420"/>
              <w:jc w:val="left"/>
            </w:pPr>
            <w:r>
              <w:rPr>
                <w:sz w:val="21"/>
                <w:color w:val="000000"/>
              </w:rPr>
              <w:t>（</w:t>
            </w:r>
            <w:r>
              <w:rPr>
                <w:sz w:val="21"/>
                <w:color w:val="000000"/>
              </w:rPr>
              <w:t>1）分析项：选择安全阀总量、历史送检量、安全阀设备配比（校验安全阀数量/使用单位特种设备量），校验机构历史校验量、报告复校率、校验数据历史同比等分析数据。</w:t>
            </w:r>
          </w:p>
          <w:p>
            <w:pPr>
              <w:pStyle w:val="null3"/>
              <w:ind w:firstLine="420"/>
              <w:jc w:val="left"/>
            </w:pPr>
            <w:r>
              <w:rPr>
                <w:sz w:val="21"/>
                <w:color w:val="000000"/>
              </w:rPr>
              <w:t>（</w:t>
            </w:r>
            <w:r>
              <w:rPr>
                <w:sz w:val="21"/>
                <w:color w:val="000000"/>
              </w:rPr>
              <w:t>2）查询：根据各查询条件字段查询相应分析数据。</w:t>
            </w:r>
          </w:p>
          <w:p>
            <w:pPr>
              <w:pStyle w:val="null3"/>
              <w:ind w:firstLine="420"/>
              <w:jc w:val="left"/>
            </w:pPr>
            <w:r>
              <w:rPr>
                <w:sz w:val="21"/>
                <w:color w:val="000000"/>
              </w:rPr>
              <w:t>（</w:t>
            </w:r>
            <w:r>
              <w:rPr>
                <w:sz w:val="21"/>
                <w:color w:val="000000"/>
              </w:rPr>
              <w:t>3）重置：清空所有查询条件。</w:t>
            </w:r>
          </w:p>
          <w:p>
            <w:pPr>
              <w:pStyle w:val="null3"/>
              <w:ind w:firstLine="420"/>
              <w:jc w:val="left"/>
            </w:pPr>
            <w:r>
              <w:rPr>
                <w:sz w:val="21"/>
                <w:color w:val="000000"/>
              </w:rPr>
              <w:t>（</w:t>
            </w:r>
            <w:r>
              <w:rPr>
                <w:sz w:val="21"/>
                <w:color w:val="000000"/>
              </w:rPr>
              <w:t>4）排列：根据选定字段的逻辑关系按一定顺序排列展示数据。</w:t>
            </w:r>
          </w:p>
          <w:p>
            <w:pPr>
              <w:pStyle w:val="null3"/>
              <w:ind w:firstLine="420"/>
              <w:jc w:val="left"/>
            </w:pPr>
            <w:r>
              <w:rPr>
                <w:sz w:val="21"/>
                <w:color w:val="000000"/>
              </w:rPr>
              <w:t>（</w:t>
            </w:r>
            <w:r>
              <w:rPr>
                <w:sz w:val="21"/>
                <w:color w:val="000000"/>
              </w:rPr>
              <w:t>5）详情：点击可查看选中的安全阀校验信息详情信息。</w:t>
            </w:r>
          </w:p>
          <w:p>
            <w:pPr>
              <w:pStyle w:val="null3"/>
              <w:ind w:firstLine="420"/>
              <w:jc w:val="left"/>
            </w:pPr>
            <w:r>
              <w:rPr>
                <w:sz w:val="21"/>
                <w:color w:val="000000"/>
              </w:rPr>
              <w:t>（</w:t>
            </w:r>
            <w:r>
              <w:rPr>
                <w:sz w:val="21"/>
                <w:color w:val="000000"/>
              </w:rPr>
              <w:t>6）展示：点击可生成分析数据的表格或图表。</w:t>
            </w:r>
          </w:p>
          <w:p>
            <w:pPr>
              <w:pStyle w:val="null3"/>
              <w:ind w:firstLine="420"/>
              <w:jc w:val="left"/>
            </w:pPr>
            <w:r>
              <w:rPr>
                <w:sz w:val="21"/>
                <w:color w:val="000000"/>
              </w:rPr>
              <w:t>（</w:t>
            </w:r>
            <w:r>
              <w:rPr>
                <w:sz w:val="21"/>
                <w:color w:val="000000"/>
              </w:rPr>
              <w:t>7）导出：批量导出勾选的分析数据。</w:t>
            </w:r>
          </w:p>
          <w:p>
            <w:pPr>
              <w:pStyle w:val="null3"/>
              <w:ind w:firstLine="420"/>
              <w:jc w:val="left"/>
            </w:pPr>
            <w:r>
              <w:rPr/>
              <w:t xml:space="preserve"> </w:t>
            </w:r>
          </w:p>
        </w:tc>
      </w:tr>
      <w:tr>
        <w:tc>
          <w:tcPr>
            <w:tcW w:type="dxa" w:w="2076"/>
          </w:tcPr>
          <w:p/>
        </w:tc>
        <w:tc>
          <w:tcPr>
            <w:tcW w:type="dxa" w:w="415"/>
          </w:tcPr>
          <w:p>
            <w:pPr>
              <w:pStyle w:val="null3"/>
            </w:pPr>
            <w:r>
              <w:rPr/>
              <w:t>5</w:t>
            </w:r>
          </w:p>
        </w:tc>
        <w:tc>
          <w:tcPr>
            <w:tcW w:type="dxa" w:w="5814"/>
          </w:tcPr>
          <w:p>
            <w:pPr>
              <w:pStyle w:val="null3"/>
              <w:jc w:val="left"/>
            </w:pPr>
            <w:r>
              <w:rPr>
                <w:sz w:val="21"/>
                <w:b/>
                <w:color w:val="000000"/>
              </w:rPr>
              <w:t>五、预警管理</w:t>
            </w:r>
          </w:p>
          <w:p>
            <w:pPr>
              <w:pStyle w:val="null3"/>
              <w:ind w:firstLine="420"/>
              <w:jc w:val="left"/>
            </w:pPr>
            <w:r>
              <w:rPr>
                <w:sz w:val="21"/>
                <w:color w:val="000000"/>
              </w:rPr>
              <w:t>平台需对接提供的短信接收发送接口，并提供安全阀到期短信提醒功能。</w:t>
            </w:r>
          </w:p>
          <w:p>
            <w:pPr>
              <w:pStyle w:val="null3"/>
              <w:ind w:firstLine="420"/>
              <w:jc w:val="left"/>
            </w:pPr>
            <w:r>
              <w:rPr>
                <w:sz w:val="21"/>
                <w:color w:val="000000"/>
              </w:rPr>
              <w:t>用户界面包括使用单位名称、校验机构名称、校验方式、下次校验日期及预警时间，预警频率等字段，平台可定期向使用单位联系人发送提醒短信，提醒送检安全阀。</w:t>
            </w:r>
          </w:p>
          <w:p>
            <w:pPr>
              <w:pStyle w:val="null3"/>
              <w:ind w:firstLine="420"/>
              <w:jc w:val="left"/>
            </w:pPr>
            <w:r>
              <w:rPr>
                <w:sz w:val="21"/>
                <w:color w:val="000000"/>
              </w:rPr>
              <w:t>平台可以根据实际需要灵活设置预警时间和预警频率，确保使用单位有足够的时间来做好准备。</w:t>
            </w:r>
          </w:p>
          <w:p>
            <w:pPr>
              <w:pStyle w:val="null3"/>
              <w:ind w:firstLine="420"/>
              <w:jc w:val="left"/>
            </w:pPr>
            <w:r>
              <w:rPr>
                <w:sz w:val="21"/>
                <w:color w:val="000000"/>
              </w:rPr>
              <w:t>对于预警短信发送失败的情况，平台应将记录写入日志，并提供预警信息发送日志查询模块。同时，平台生成人工预警联络清单，便于工作人员人工预警。</w:t>
            </w:r>
          </w:p>
        </w:tc>
      </w:tr>
      <w:tr>
        <w:tc>
          <w:tcPr>
            <w:tcW w:type="dxa" w:w="2076"/>
          </w:tcPr>
          <w:p/>
        </w:tc>
        <w:tc>
          <w:tcPr>
            <w:tcW w:type="dxa" w:w="415"/>
          </w:tcPr>
          <w:p>
            <w:pPr>
              <w:pStyle w:val="null3"/>
            </w:pPr>
            <w:r>
              <w:rPr/>
              <w:t>6</w:t>
            </w:r>
          </w:p>
        </w:tc>
        <w:tc>
          <w:tcPr>
            <w:tcW w:type="dxa" w:w="5814"/>
          </w:tcPr>
          <w:p>
            <w:pPr>
              <w:pStyle w:val="null3"/>
              <w:jc w:val="left"/>
            </w:pPr>
            <w:r>
              <w:rPr>
                <w:sz w:val="21"/>
                <w:b/>
                <w:color w:val="000000"/>
              </w:rPr>
              <w:t>六、辅助功能</w:t>
            </w:r>
          </w:p>
          <w:p>
            <w:pPr>
              <w:pStyle w:val="null3"/>
              <w:jc w:val="left"/>
            </w:pPr>
            <w:r>
              <w:rPr>
                <w:sz w:val="21"/>
                <w:color w:val="000000"/>
              </w:rPr>
              <w:t>辅助功能包括用户管理、其他系统配合功能管理。</w:t>
            </w:r>
          </w:p>
          <w:p>
            <w:pPr>
              <w:pStyle w:val="null3"/>
              <w:jc w:val="left"/>
            </w:pPr>
            <w:r>
              <w:rPr>
                <w:sz w:val="21"/>
                <w:b/>
                <w:color w:val="000000"/>
              </w:rPr>
              <w:t>1.用户管理</w:t>
            </w:r>
          </w:p>
          <w:p>
            <w:pPr>
              <w:pStyle w:val="null3"/>
              <w:ind w:firstLine="420"/>
              <w:jc w:val="left"/>
            </w:pPr>
            <w:r>
              <w:rPr>
                <w:sz w:val="21"/>
                <w:color w:val="000000"/>
              </w:rPr>
              <w:t>（</w:t>
            </w:r>
            <w:r>
              <w:rPr>
                <w:sz w:val="21"/>
                <w:color w:val="000000"/>
              </w:rPr>
              <w:t>1）平台用户角色：</w:t>
            </w:r>
          </w:p>
          <w:p>
            <w:pPr>
              <w:pStyle w:val="null3"/>
              <w:ind w:firstLine="420"/>
              <w:jc w:val="left"/>
            </w:pPr>
            <w:r>
              <w:rPr>
                <w:sz w:val="21"/>
                <w:color w:val="000000"/>
              </w:rPr>
              <w:t>系统管理员：系统管理员是系统中权限最高的操作员，可以执行各类操作，并拥有最高权限。平台可以设置多个系统管理员。</w:t>
            </w:r>
          </w:p>
          <w:p>
            <w:pPr>
              <w:pStyle w:val="null3"/>
              <w:ind w:firstLine="420"/>
              <w:jc w:val="left"/>
            </w:pPr>
            <w:r>
              <w:rPr>
                <w:sz w:val="21"/>
                <w:color w:val="000000"/>
              </w:rPr>
              <w:t>层级系统管理员：层级系统管理员是各分院系统中权限最高的操作员，拥有对本单位用户和数据管理的最高权限。每个分院至少有一个层级系统管理员账户。</w:t>
            </w:r>
          </w:p>
          <w:p>
            <w:pPr>
              <w:pStyle w:val="null3"/>
              <w:ind w:firstLine="420"/>
              <w:jc w:val="left"/>
            </w:pPr>
            <w:r>
              <w:rPr>
                <w:sz w:val="21"/>
                <w:color w:val="000000"/>
              </w:rPr>
              <w:t>普通用户：普通用户可以注册新账户或通过云平台账号登录，具有较低的权限，可以根据权限进行特定操作。</w:t>
            </w:r>
          </w:p>
          <w:p>
            <w:pPr>
              <w:pStyle w:val="null3"/>
              <w:ind w:firstLine="420"/>
              <w:jc w:val="left"/>
            </w:pPr>
            <w:r>
              <w:rPr>
                <w:sz w:val="21"/>
                <w:color w:val="000000"/>
              </w:rPr>
              <w:t>角色权限：</w:t>
            </w:r>
          </w:p>
          <w:p>
            <w:pPr>
              <w:pStyle w:val="null3"/>
              <w:ind w:firstLine="420"/>
              <w:jc w:val="left"/>
            </w:pPr>
            <w:r>
              <w:rPr>
                <w:sz w:val="21"/>
                <w:color w:val="000000"/>
              </w:rPr>
              <w:t>系统管理员权限：系统管理员可以管理整个系统，包括用户信息管理、数据管理、权限控制等。</w:t>
            </w:r>
          </w:p>
          <w:p>
            <w:pPr>
              <w:pStyle w:val="null3"/>
              <w:ind w:firstLine="420"/>
              <w:jc w:val="left"/>
            </w:pPr>
            <w:r>
              <w:rPr>
                <w:sz w:val="21"/>
                <w:color w:val="000000"/>
              </w:rPr>
              <w:t>层级系统管理员权限：层级系统管理员可以管理各分院系统内的用户和数据，具有对本单位的数据管理权限。</w:t>
            </w:r>
          </w:p>
          <w:p>
            <w:pPr>
              <w:pStyle w:val="null3"/>
              <w:ind w:firstLine="420"/>
              <w:jc w:val="left"/>
            </w:pPr>
            <w:r>
              <w:rPr>
                <w:sz w:val="21"/>
                <w:color w:val="000000"/>
              </w:rPr>
              <w:t>普通用户权限：普通用户具有较低的权限，可以执行特定的操作，如查询、分析和统计数据等。</w:t>
            </w:r>
          </w:p>
          <w:p>
            <w:pPr>
              <w:pStyle w:val="null3"/>
              <w:ind w:firstLine="420"/>
              <w:jc w:val="left"/>
            </w:pPr>
            <w:r>
              <w:rPr>
                <w:sz w:val="21"/>
                <w:color w:val="000000"/>
              </w:rPr>
              <w:t>（</w:t>
            </w:r>
            <w:r>
              <w:rPr>
                <w:sz w:val="21"/>
                <w:color w:val="000000"/>
              </w:rPr>
              <w:t>3）登录方式和用户账号管理：</w:t>
            </w:r>
          </w:p>
          <w:p>
            <w:pPr>
              <w:pStyle w:val="null3"/>
              <w:ind w:firstLine="420"/>
              <w:jc w:val="left"/>
            </w:pPr>
            <w:r>
              <w:rPr>
                <w:sz w:val="21"/>
                <w:color w:val="000000"/>
              </w:rPr>
              <w:t>平台与广东特检院统一门户对接，由系统管理员赋予角色权限。采用云平台账号登录方式的用户账户信息修改（如修改密码）只能通过云平台操作。</w:t>
            </w:r>
          </w:p>
          <w:p>
            <w:pPr>
              <w:pStyle w:val="null3"/>
              <w:ind w:firstLine="420"/>
              <w:jc w:val="left"/>
            </w:pPr>
            <w:r>
              <w:rPr>
                <w:sz w:val="21"/>
                <w:color w:val="000000"/>
              </w:rPr>
              <w:t>（</w:t>
            </w:r>
            <w:r>
              <w:rPr>
                <w:sz w:val="21"/>
                <w:color w:val="000000"/>
              </w:rPr>
              <w:t>4）系统管理员（含层级）功能：</w:t>
            </w:r>
          </w:p>
          <w:p>
            <w:pPr>
              <w:pStyle w:val="null3"/>
              <w:ind w:firstLine="420"/>
              <w:jc w:val="left"/>
            </w:pPr>
            <w:r>
              <w:rPr>
                <w:sz w:val="21"/>
                <w:color w:val="000000"/>
              </w:rPr>
              <w:t>系统管理员（含层级）可以管理用户信息，包括用户信息列表展示、添加、修改、删除用户，分配普通用户权限，重置用户密码等。</w:t>
            </w:r>
          </w:p>
          <w:p>
            <w:pPr>
              <w:pStyle w:val="null3"/>
              <w:jc w:val="left"/>
            </w:pPr>
            <w:r>
              <w:rPr>
                <w:sz w:val="21"/>
                <w:b/>
                <w:color w:val="000000"/>
              </w:rPr>
              <w:t>2.其他系统配合功能管理</w:t>
            </w:r>
          </w:p>
          <w:p>
            <w:pPr>
              <w:pStyle w:val="null3"/>
              <w:ind w:firstLine="420"/>
              <w:jc w:val="left"/>
            </w:pPr>
            <w:r>
              <w:rPr>
                <w:sz w:val="21"/>
                <w:color w:val="000000"/>
              </w:rPr>
              <w:t>（</w:t>
            </w:r>
            <w:r>
              <w:rPr>
                <w:sz w:val="21"/>
                <w:color w:val="000000"/>
              </w:rPr>
              <w:t>1）字典管理：</w:t>
            </w:r>
          </w:p>
          <w:p>
            <w:pPr>
              <w:pStyle w:val="null3"/>
              <w:ind w:firstLine="420"/>
              <w:jc w:val="left"/>
            </w:pPr>
            <w:r>
              <w:rPr>
                <w:sz w:val="21"/>
                <w:color w:val="000000"/>
              </w:rPr>
              <w:t>字典信息：包括字典代码、字典类别名称、字段类别编码、上级代码、排序号等。用户界面可标识和分类数据，以及对数据进行排序和组织。</w:t>
            </w:r>
          </w:p>
          <w:p>
            <w:pPr>
              <w:pStyle w:val="null3"/>
              <w:ind w:firstLine="420"/>
              <w:jc w:val="left"/>
            </w:pPr>
            <w:r>
              <w:rPr>
                <w:sz w:val="21"/>
                <w:color w:val="000000"/>
              </w:rPr>
              <w:t>系统管理员（含层级）操作：对字典信息的维护和管理。用户界面可以进行字典的新增子级或同级、删除、修改、查询、保存等操作。</w:t>
            </w:r>
          </w:p>
          <w:p>
            <w:pPr>
              <w:pStyle w:val="null3"/>
              <w:ind w:firstLine="420"/>
              <w:jc w:val="left"/>
            </w:pPr>
            <w:r>
              <w:rPr>
                <w:sz w:val="21"/>
                <w:color w:val="000000"/>
              </w:rPr>
              <w:t>（</w:t>
            </w:r>
            <w:r>
              <w:rPr>
                <w:sz w:val="21"/>
                <w:color w:val="000000"/>
              </w:rPr>
              <w:t>2）操作日志：</w:t>
            </w:r>
          </w:p>
          <w:p>
            <w:pPr>
              <w:pStyle w:val="null3"/>
              <w:ind w:firstLine="420"/>
              <w:jc w:val="left"/>
            </w:pPr>
            <w:r>
              <w:rPr>
                <w:sz w:val="21"/>
                <w:color w:val="000000"/>
              </w:rPr>
              <w:t>记录系统操作：操作日志会记录系统的操作行为信息，如登录信息、系统管理员（含层级）和普通用户的操作记录，包括对字典的管理操作、数据上传、关联、导出等。</w:t>
            </w:r>
          </w:p>
          <w:p>
            <w:pPr>
              <w:pStyle w:val="null3"/>
              <w:ind w:firstLine="420"/>
              <w:jc w:val="left"/>
            </w:pPr>
            <w:r>
              <w:rPr>
                <w:sz w:val="21"/>
                <w:color w:val="000000"/>
              </w:rPr>
              <w:t>记录系统异常：操作日志还可以记录系统异常情况，如报错信息、异常数据、异常操作等。</w:t>
            </w:r>
          </w:p>
          <w:p>
            <w:pPr>
              <w:pStyle w:val="null3"/>
              <w:ind w:firstLine="420"/>
              <w:jc w:val="left"/>
            </w:pPr>
            <w:r>
              <w:rPr>
                <w:sz w:val="21"/>
                <w:color w:val="000000"/>
              </w:rPr>
              <w:t>查询和导出：管理员可以根据日期、操作类型、用户等条件进行操作记录的查询。平台支持操作日志的导出。</w:t>
            </w:r>
          </w:p>
          <w:p>
            <w:pPr>
              <w:pStyle w:val="null3"/>
              <w:ind w:firstLine="420"/>
              <w:jc w:val="left"/>
            </w:pPr>
            <w:r>
              <w:rPr/>
              <w:t xml:space="preserve"> </w:t>
            </w:r>
          </w:p>
        </w:tc>
      </w:tr>
      <w:tr>
        <w:tc>
          <w:tcPr>
            <w:tcW w:type="dxa" w:w="2076"/>
          </w:tcPr>
          <w:p/>
        </w:tc>
        <w:tc>
          <w:tcPr>
            <w:tcW w:type="dxa" w:w="415"/>
          </w:tcPr>
          <w:p>
            <w:pPr>
              <w:pStyle w:val="null3"/>
            </w:pPr>
            <w:r>
              <w:rPr/>
              <w:t>7</w:t>
            </w:r>
          </w:p>
        </w:tc>
        <w:tc>
          <w:tcPr>
            <w:tcW w:type="dxa" w:w="5814"/>
          </w:tcPr>
          <w:p>
            <w:pPr>
              <w:pStyle w:val="null3"/>
              <w:jc w:val="left"/>
              <w:outlineLvl w:val="0"/>
            </w:pPr>
            <w:r>
              <w:rPr>
                <w:sz w:val="21"/>
                <w:b/>
              </w:rPr>
              <w:t>七、系统功能清单</w:t>
            </w:r>
          </w:p>
          <w:tbl>
            <w:tblPr>
              <w:tblInd w:type="dxa" w:w="120"/>
              <w:tblBorders>
                <w:top w:val="none" w:color="000000" w:sz="4"/>
                <w:left w:val="none" w:color="000000" w:sz="4"/>
                <w:bottom w:val="none" w:color="000000" w:sz="4"/>
                <w:right w:val="none" w:color="000000" w:sz="4"/>
                <w:insideH w:val="none"/>
                <w:insideV w:val="none"/>
              </w:tblBorders>
            </w:tblPr>
            <w:tblGrid>
              <w:gridCol w:w="622"/>
              <w:gridCol w:w="1149"/>
              <w:gridCol w:w="3805"/>
            </w:tblGrid>
            <w:tr>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模块</w:t>
                  </w:r>
                </w:p>
              </w:tc>
              <w:tc>
                <w:tcPr>
                  <w:tcW w:type="dxa" w:w="1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功能</w:t>
                  </w:r>
                </w:p>
              </w:tc>
              <w:tc>
                <w:tcPr>
                  <w:tcW w:type="dxa" w:w="38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功能描述</w:t>
                  </w:r>
                </w:p>
              </w:tc>
            </w:tr>
            <w:tr>
              <w:tc>
                <w:tcPr>
                  <w:tcW w:type="dxa" w:w="6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校验信息收集管理</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★接口对接</w:t>
                  </w:r>
                </w:p>
              </w:tc>
              <w:tc>
                <w:tcPr>
                  <w:tcW w:type="dxa" w:w="3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平台制定和发布统一的数据接口，包括数据格式、字段要求等。满足对接要求的安全阀检测系统可通过接口实现数据上传。平台接收并解析上传的数据，进行字段逻辑确认。</w:t>
                  </w:r>
                </w:p>
                <w:p>
                  <w:pPr>
                    <w:pStyle w:val="null3"/>
                    <w:jc w:val="both"/>
                  </w:pPr>
                  <w:r>
                    <w:rPr>
                      <w:sz w:val="21"/>
                    </w:rPr>
                    <w:t>平台建设单位需配合满足对接要求的安全阀检测系统进行接口调试，完成系统接口对接工作。</w:t>
                  </w:r>
                </w:p>
              </w:tc>
            </w:tr>
            <w:tr>
              <w:tc>
                <w:tcPr>
                  <w:tcW w:type="dxa" w:w="622"/>
                  <w:vMerge/>
                  <w:tcBorders>
                    <w:top w:val="none" w:color="000000" w:sz="4"/>
                    <w:left w:val="single" w:color="000000" w:sz="4"/>
                    <w:bottom w:val="single" w:color="000000" w:sz="4"/>
                    <w:right w:val="single" w:color="000000" w:sz="4"/>
                  </w:tcBorders>
                </w:tcP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★Excel数据导入</w:t>
                  </w:r>
                </w:p>
              </w:tc>
              <w:tc>
                <w:tcPr>
                  <w:tcW w:type="dxa" w:w="3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平台制定和发布统一的数据接口，包括数据格式、字段要求等（详见附表）。满足对接要求的安全阀检测系统可通过接口实现数据上传。平台接收并解析上传的数据，进行字段逻辑确认。</w:t>
                  </w:r>
                </w:p>
              </w:tc>
            </w:tr>
            <w:tr>
              <w:tc>
                <w:tcPr>
                  <w:tcW w:type="dxa" w:w="622"/>
                  <w:vMerge/>
                  <w:tcBorders>
                    <w:top w:val="none" w:color="000000" w:sz="4"/>
                    <w:left w:val="single" w:color="000000" w:sz="4"/>
                    <w:bottom w:val="single" w:color="000000" w:sz="4"/>
                    <w:right w:val="single" w:color="000000" w:sz="4"/>
                  </w:tcBorders>
                </w:tcP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校验信息收集管理</w:t>
                  </w:r>
                </w:p>
              </w:tc>
              <w:tc>
                <w:tcPr>
                  <w:tcW w:type="dxa" w:w="3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平台提供校验信息收集日志查询功能，将数据收集方式、上传机构信息、验证结果、错误提示信息、安全阀校验信息的更新或新增信息等写入系统日志。</w:t>
                  </w:r>
                </w:p>
              </w:tc>
            </w:tr>
            <w:tr>
              <w:tc>
                <w:tcPr>
                  <w:tcW w:type="dxa" w:w="6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校验信息档案管理</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安全阀基础资料</w:t>
                  </w:r>
                </w:p>
              </w:tc>
              <w:tc>
                <w:tcPr>
                  <w:tcW w:type="dxa" w:w="3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用户界面可查询安全阀校验信息详细数据。</w:t>
                  </w:r>
                </w:p>
              </w:tc>
            </w:tr>
            <w:tr>
              <w:tc>
                <w:tcPr>
                  <w:tcW w:type="dxa" w:w="622"/>
                  <w:vMerge/>
                  <w:tcBorders>
                    <w:top w:val="none" w:color="000000" w:sz="4"/>
                    <w:left w:val="single" w:color="000000" w:sz="4"/>
                    <w:bottom w:val="single" w:color="000000" w:sz="4"/>
                    <w:right w:val="single" w:color="000000" w:sz="4"/>
                  </w:tcBorders>
                </w:tcP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安全阀校验信息</w:t>
                  </w:r>
                </w:p>
              </w:tc>
              <w:tc>
                <w:tcPr>
                  <w:tcW w:type="dxa" w:w="3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各分院拥有维护管理本单位上传数据的权限，可上传、导出、更新、查询和维护其相关的校验信息。省院：具有管理全大院安全阀校验信息数据的权限，可查看所有分院上传的数据，进行跨分院的查询和维护操作。</w:t>
                  </w:r>
                </w:p>
                <w:p>
                  <w:pPr>
                    <w:pStyle w:val="null3"/>
                    <w:jc w:val="both"/>
                  </w:pPr>
                  <w:r>
                    <w:rPr>
                      <w:sz w:val="21"/>
                    </w:rPr>
                    <w:t>各分院拥有维护管理本单位上传数据的权限，可上传、导出、更新、查询和维护其相关的校验信息。</w:t>
                  </w:r>
                </w:p>
              </w:tc>
            </w:tr>
            <w:tr>
              <w:tc>
                <w:tcPr>
                  <w:tcW w:type="dxa" w:w="622"/>
                  <w:vMerge/>
                  <w:tcBorders>
                    <w:top w:val="none" w:color="000000" w:sz="4"/>
                    <w:left w:val="single" w:color="000000" w:sz="4"/>
                    <w:bottom w:val="single" w:color="000000" w:sz="4"/>
                    <w:right w:val="single" w:color="000000" w:sz="4"/>
                  </w:tcBorders>
                </w:tcP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使用单位信息</w:t>
                  </w:r>
                </w:p>
              </w:tc>
              <w:tc>
                <w:tcPr>
                  <w:tcW w:type="dxa" w:w="3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平台与</w:t>
                  </w:r>
                  <w:r>
                    <w:rPr>
                      <w:sz w:val="21"/>
                    </w:rPr>
                    <w:t>MIS系统对接，可调用MIS系统中的使用单位信息，在用户界面中显示字段与MIS中使用单位字段一致。</w:t>
                  </w:r>
                </w:p>
              </w:tc>
            </w:tr>
            <w:tr>
              <w:tc>
                <w:tcPr>
                  <w:tcW w:type="dxa" w:w="6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综合查询分析管理</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校验信息管理</w:t>
                  </w:r>
                </w:p>
              </w:tc>
              <w:tc>
                <w:tcPr>
                  <w:tcW w:type="dxa" w:w="3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通过校验机构名称、报告编号、使用单位、装置名称、阀门位号（安装位置）、公称压力、公称通径、要求整定压力、校验结论、校验日期（日期范围）、下次校验日期（日期范围）等查询条件，查询校验信息。</w:t>
                  </w:r>
                </w:p>
                <w:p>
                  <w:pPr>
                    <w:pStyle w:val="null3"/>
                    <w:jc w:val="both"/>
                  </w:pPr>
                  <w:r>
                    <w:rPr>
                      <w:sz w:val="21"/>
                    </w:rPr>
                    <w:t>用户界面功能按钮如下：</w:t>
                  </w:r>
                </w:p>
                <w:p>
                  <w:pPr>
                    <w:pStyle w:val="null3"/>
                    <w:jc w:val="both"/>
                  </w:pPr>
                  <w:r>
                    <w:rPr>
                      <w:sz w:val="21"/>
                    </w:rPr>
                    <w:t>(1)查询：根据各查询条件字段查询校验信息数据。</w:t>
                  </w:r>
                </w:p>
                <w:p>
                  <w:pPr>
                    <w:pStyle w:val="null3"/>
                    <w:jc w:val="both"/>
                  </w:pPr>
                  <w:r>
                    <w:rPr>
                      <w:sz w:val="21"/>
                    </w:rPr>
                    <w:t>(2)重置：清空所有查询条件。</w:t>
                  </w:r>
                </w:p>
                <w:p>
                  <w:pPr>
                    <w:pStyle w:val="null3"/>
                    <w:jc w:val="both"/>
                  </w:pPr>
                  <w:r>
                    <w:rPr>
                      <w:sz w:val="21"/>
                    </w:rPr>
                    <w:t>(3)排列：根据字段逻辑关系按一定顺序排列展示校验信息。</w:t>
                  </w:r>
                </w:p>
                <w:p>
                  <w:pPr>
                    <w:pStyle w:val="null3"/>
                    <w:jc w:val="both"/>
                  </w:pPr>
                  <w:r>
                    <w:rPr>
                      <w:sz w:val="21"/>
                    </w:rPr>
                    <w:t>(4)详情：点击可查看选中校验记录的校验详情信息。</w:t>
                  </w:r>
                </w:p>
                <w:p>
                  <w:pPr>
                    <w:pStyle w:val="null3"/>
                    <w:jc w:val="both"/>
                  </w:pPr>
                  <w:r>
                    <w:rPr>
                      <w:sz w:val="21"/>
                    </w:rPr>
                    <w:t>(5)导出：批量导出勾选安全阀校验信息。导出格式为Excel。</w:t>
                  </w:r>
                </w:p>
              </w:tc>
            </w:tr>
            <w:tr>
              <w:tc>
                <w:tcPr>
                  <w:tcW w:type="dxa" w:w="622"/>
                  <w:vMerge/>
                  <w:tcBorders>
                    <w:top w:val="none" w:color="000000" w:sz="4"/>
                    <w:left w:val="single" w:color="000000" w:sz="4"/>
                    <w:bottom w:val="single" w:color="000000" w:sz="4"/>
                    <w:right w:val="single" w:color="000000" w:sz="4"/>
                  </w:tcBorders>
                </w:tcP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安全阀信息管理</w:t>
                  </w:r>
                </w:p>
              </w:tc>
              <w:tc>
                <w:tcPr>
                  <w:tcW w:type="dxa" w:w="3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通过最新上传机构、校验机构名称、报告书编号、使用单位、装置名称、阀门位号（安装位置）、公称压力、公称通径、安全阀类型、安全阀型号、出厂编号、出厂日期、压力级别范围、安全阀制造单位、制造单位许可证编号、要求整定压力、校验方式、校验介质、密封试验、执行标准、校验结论、校验日期、下次校验日期、校验员等查询条件，查询安全阀信息。</w:t>
                  </w:r>
                </w:p>
                <w:p>
                  <w:pPr>
                    <w:pStyle w:val="null3"/>
                    <w:jc w:val="both"/>
                  </w:pPr>
                  <w:r>
                    <w:rPr>
                      <w:sz w:val="21"/>
                    </w:rPr>
                    <w:t>用户界面功能按钮如下：</w:t>
                  </w:r>
                </w:p>
                <w:p>
                  <w:pPr>
                    <w:pStyle w:val="null3"/>
                    <w:jc w:val="both"/>
                  </w:pPr>
                  <w:r>
                    <w:rPr>
                      <w:sz w:val="21"/>
                    </w:rPr>
                    <w:t>(1)查询：根据各查询条件字段查询安全阀信息数据。</w:t>
                  </w:r>
                </w:p>
                <w:p>
                  <w:pPr>
                    <w:pStyle w:val="null3"/>
                    <w:jc w:val="both"/>
                  </w:pPr>
                  <w:r>
                    <w:rPr>
                      <w:sz w:val="21"/>
                    </w:rPr>
                    <w:t>(2)重置：清空所有查询条件。</w:t>
                  </w:r>
                </w:p>
                <w:p>
                  <w:pPr>
                    <w:pStyle w:val="null3"/>
                    <w:jc w:val="both"/>
                  </w:pPr>
                  <w:r>
                    <w:rPr>
                      <w:sz w:val="21"/>
                    </w:rPr>
                    <w:t>(3)排列：根据字段逻辑关系按一定顺序排列安全阀信息。</w:t>
                  </w:r>
                </w:p>
                <w:p>
                  <w:pPr>
                    <w:pStyle w:val="null3"/>
                    <w:jc w:val="both"/>
                  </w:pPr>
                  <w:r>
                    <w:rPr>
                      <w:sz w:val="21"/>
                    </w:rPr>
                    <w:t>(4)详情：点击可查看选中的安全阀详情信息。</w:t>
                  </w:r>
                </w:p>
                <w:p>
                  <w:pPr>
                    <w:pStyle w:val="null3"/>
                    <w:jc w:val="both"/>
                  </w:pPr>
                  <w:r>
                    <w:rPr>
                      <w:sz w:val="21"/>
                    </w:rPr>
                    <w:t>(5)导出：批量导出勾选安全阀校验信息。导出格式为Excel。</w:t>
                  </w:r>
                </w:p>
                <w:p>
                  <w:pPr>
                    <w:pStyle w:val="null3"/>
                    <w:jc w:val="both"/>
                  </w:pPr>
                  <w:r>
                    <w:rPr>
                      <w:sz w:val="21"/>
                    </w:rPr>
                    <w:t>(6)关联设备：弹窗搜索并绑定该安全阀安装的特种设备。</w:t>
                  </w:r>
                </w:p>
              </w:tc>
            </w:tr>
            <w:tr>
              <w:tc>
                <w:tcPr>
                  <w:tcW w:type="dxa" w:w="622"/>
                  <w:vMerge/>
                  <w:tcBorders>
                    <w:top w:val="none" w:color="000000" w:sz="4"/>
                    <w:left w:val="single" w:color="000000" w:sz="4"/>
                    <w:bottom w:val="single" w:color="000000" w:sz="4"/>
                    <w:right w:val="single" w:color="000000" w:sz="4"/>
                  </w:tcBorders>
                </w:tcP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使用单位安全阀到期情况查询</w:t>
                  </w:r>
                </w:p>
              </w:tc>
              <w:tc>
                <w:tcPr>
                  <w:tcW w:type="dxa" w:w="3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通过使用单位、下次校验日期（日期范围）等查询条件，查询各使用单位的安全阀到期数量，平台可生成表格或图表形式展示查询结果，并支持导出。</w:t>
                  </w:r>
                </w:p>
                <w:p>
                  <w:pPr>
                    <w:pStyle w:val="null3"/>
                    <w:jc w:val="both"/>
                  </w:pPr>
                  <w:r>
                    <w:rPr>
                      <w:sz w:val="21"/>
                    </w:rPr>
                    <w:t>用户界面功能按钮如下：</w:t>
                  </w:r>
                </w:p>
                <w:p>
                  <w:pPr>
                    <w:pStyle w:val="null3"/>
                    <w:jc w:val="both"/>
                  </w:pPr>
                  <w:r>
                    <w:rPr>
                      <w:sz w:val="21"/>
                    </w:rPr>
                    <w:t>(1)查询：根据各查询条件字段查询安全阀到期数据。</w:t>
                  </w:r>
                </w:p>
                <w:p>
                  <w:pPr>
                    <w:pStyle w:val="null3"/>
                    <w:jc w:val="both"/>
                  </w:pPr>
                  <w:r>
                    <w:rPr>
                      <w:sz w:val="21"/>
                    </w:rPr>
                    <w:t>(2)重置：清空所有查询条件。</w:t>
                  </w:r>
                </w:p>
                <w:p>
                  <w:pPr>
                    <w:pStyle w:val="null3"/>
                    <w:jc w:val="both"/>
                  </w:pPr>
                  <w:r>
                    <w:rPr>
                      <w:sz w:val="21"/>
                    </w:rPr>
                    <w:t>(3)排列：根据字段逻辑关系按一定顺序排列安全阀到期信息。</w:t>
                  </w:r>
                </w:p>
                <w:p>
                  <w:pPr>
                    <w:pStyle w:val="null3"/>
                    <w:jc w:val="both"/>
                  </w:pPr>
                  <w:r>
                    <w:rPr>
                      <w:sz w:val="21"/>
                    </w:rPr>
                    <w:t>(4)详情：点击可查看选中的安全阀校验信息详情信息。</w:t>
                  </w:r>
                </w:p>
                <w:p>
                  <w:pPr>
                    <w:pStyle w:val="null3"/>
                    <w:jc w:val="both"/>
                  </w:pPr>
                  <w:r>
                    <w:rPr>
                      <w:sz w:val="21"/>
                    </w:rPr>
                    <w:t>(5)展示：点击可生成便于数据分析的表格或图表。</w:t>
                  </w:r>
                </w:p>
                <w:p>
                  <w:pPr>
                    <w:pStyle w:val="null3"/>
                    <w:jc w:val="both"/>
                  </w:pPr>
                  <w:r>
                    <w:rPr>
                      <w:sz w:val="21"/>
                    </w:rPr>
                    <w:t>(6)导出：批量导出勾选的使用单位安全阀到期信息。</w:t>
                  </w:r>
                </w:p>
                <w:p>
                  <w:pPr>
                    <w:pStyle w:val="null3"/>
                    <w:jc w:val="both"/>
                  </w:pPr>
                  <w:r>
                    <w:rPr>
                      <w:sz w:val="21"/>
                    </w:rPr>
                    <w:t>(7)发送检验通知：批量发送勾选安全阀的检验通知。</w:t>
                  </w:r>
                </w:p>
              </w:tc>
            </w:tr>
            <w:tr>
              <w:tc>
                <w:tcPr>
                  <w:tcW w:type="dxa" w:w="622"/>
                  <w:vMerge/>
                  <w:tcBorders>
                    <w:top w:val="none" w:color="000000" w:sz="4"/>
                    <w:left w:val="single" w:color="000000" w:sz="4"/>
                    <w:bottom w:val="single" w:color="000000" w:sz="4"/>
                    <w:right w:val="single" w:color="000000" w:sz="4"/>
                  </w:tcBorders>
                </w:tcP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校验数据分析查询</w:t>
                  </w:r>
                </w:p>
              </w:tc>
              <w:tc>
                <w:tcPr>
                  <w:tcW w:type="dxa" w:w="3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通过使用单位名称、校验机构名称、校验日期（日期范围）等查询条件，查询使用单位安全阀总量、历史（日期范围）送检量、安全阀设备配比（最近一年安全阀校验数量</w:t>
                  </w:r>
                  <w:r>
                    <w:rPr>
                      <w:sz w:val="21"/>
                    </w:rPr>
                    <w:t>/使用单位特种设备量）排序，并对选中的安全阀使用单位的安全阀及设备进行进一步的详细分析，校验机构历史校验量、报告复校率、校验数据历史同比等分析数据，平台可生成表格或图表形式展示查询结果，并支持导出。</w:t>
                  </w:r>
                </w:p>
                <w:p>
                  <w:pPr>
                    <w:pStyle w:val="null3"/>
                    <w:jc w:val="both"/>
                  </w:pPr>
                  <w:r>
                    <w:rPr>
                      <w:sz w:val="21"/>
                    </w:rPr>
                    <w:t>用户界面功能按钮如下：</w:t>
                  </w:r>
                </w:p>
                <w:p>
                  <w:pPr>
                    <w:pStyle w:val="null3"/>
                    <w:jc w:val="both"/>
                  </w:pPr>
                  <w:r>
                    <w:rPr>
                      <w:sz w:val="21"/>
                    </w:rPr>
                    <w:t>(1)分析项：选择安全阀总量、历史送检量、安全阀设备配比（校验安全阀数量/使用单位特种设备量），校验机构历史校验量、报告复校率、校验数据历史同比等分析数据。</w:t>
                  </w:r>
                </w:p>
                <w:p>
                  <w:pPr>
                    <w:pStyle w:val="null3"/>
                    <w:jc w:val="both"/>
                  </w:pPr>
                  <w:r>
                    <w:rPr>
                      <w:sz w:val="21"/>
                    </w:rPr>
                    <w:t>(2)查询：根据各查询条件字段查询相应分析数据。</w:t>
                  </w:r>
                </w:p>
                <w:p>
                  <w:pPr>
                    <w:pStyle w:val="null3"/>
                    <w:jc w:val="both"/>
                  </w:pPr>
                  <w:r>
                    <w:rPr>
                      <w:sz w:val="21"/>
                    </w:rPr>
                    <w:t>(3)重置：清空所有查询条件。</w:t>
                  </w:r>
                </w:p>
                <w:p>
                  <w:pPr>
                    <w:pStyle w:val="null3"/>
                    <w:jc w:val="both"/>
                  </w:pPr>
                  <w:r>
                    <w:rPr>
                      <w:sz w:val="21"/>
                    </w:rPr>
                    <w:t>(4)排列：根据选定字段的逻辑关系按一定顺序排列展示数据。</w:t>
                  </w:r>
                </w:p>
                <w:p>
                  <w:pPr>
                    <w:pStyle w:val="null3"/>
                    <w:jc w:val="both"/>
                  </w:pPr>
                  <w:r>
                    <w:rPr>
                      <w:sz w:val="21"/>
                    </w:rPr>
                    <w:t>(5)详情：点击可查看选中的安全阀校验信息详情信息。</w:t>
                  </w:r>
                </w:p>
                <w:p>
                  <w:pPr>
                    <w:pStyle w:val="null3"/>
                    <w:jc w:val="both"/>
                  </w:pPr>
                  <w:r>
                    <w:rPr>
                      <w:sz w:val="21"/>
                    </w:rPr>
                    <w:t>(6)展示：点击可生成分析数据的表格或图表。</w:t>
                  </w:r>
                </w:p>
                <w:p>
                  <w:pPr>
                    <w:pStyle w:val="null3"/>
                    <w:jc w:val="both"/>
                  </w:pPr>
                  <w:r>
                    <w:rPr>
                      <w:sz w:val="21"/>
                    </w:rPr>
                    <w:t>(7)导出：批量导出勾选的分析数据。</w:t>
                  </w:r>
                </w:p>
              </w:tc>
            </w:tr>
            <w:tr>
              <w:tc>
                <w:tcPr>
                  <w:tcW w:type="dxa" w:w="6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预警管理</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预警功能</w:t>
                  </w:r>
                </w:p>
              </w:tc>
              <w:tc>
                <w:tcPr>
                  <w:tcW w:type="dxa" w:w="3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平台需对接提供的短信接收发送接口，并提供安全阀到期短信提醒功能。</w:t>
                  </w:r>
                </w:p>
              </w:tc>
            </w:tr>
            <w:tr>
              <w:tc>
                <w:tcPr>
                  <w:tcW w:type="dxa" w:w="622"/>
                  <w:vMerge/>
                  <w:tcBorders>
                    <w:top w:val="none" w:color="000000" w:sz="4"/>
                    <w:left w:val="single" w:color="000000" w:sz="4"/>
                    <w:bottom w:val="single" w:color="000000" w:sz="4"/>
                    <w:right w:val="single" w:color="000000" w:sz="4"/>
                  </w:tcBorders>
                </w:tcP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预警界面</w:t>
                  </w:r>
                </w:p>
              </w:tc>
              <w:tc>
                <w:tcPr>
                  <w:tcW w:type="dxa" w:w="3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用户界面包括使用单位名称、校验机构名称、校验方式、下次校验日期及预警时间，预警频率等字段。</w:t>
                  </w:r>
                </w:p>
              </w:tc>
            </w:tr>
            <w:tr>
              <w:tc>
                <w:tcPr>
                  <w:tcW w:type="dxa" w:w="622"/>
                  <w:vMerge/>
                  <w:tcBorders>
                    <w:top w:val="none" w:color="000000" w:sz="4"/>
                    <w:left w:val="single" w:color="000000" w:sz="4"/>
                    <w:bottom w:val="single" w:color="000000" w:sz="4"/>
                    <w:right w:val="single" w:color="000000" w:sz="4"/>
                  </w:tcBorders>
                </w:tcP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预警设置</w:t>
                  </w:r>
                </w:p>
              </w:tc>
              <w:tc>
                <w:tcPr>
                  <w:tcW w:type="dxa" w:w="3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平台可以根据实际需要灵活设置预警时间和预警频率，确保使用单位有足够的时间来做好准备。</w:t>
                  </w:r>
                </w:p>
              </w:tc>
            </w:tr>
            <w:tr>
              <w:tc>
                <w:tcPr>
                  <w:tcW w:type="dxa" w:w="622"/>
                  <w:vMerge/>
                  <w:tcBorders>
                    <w:top w:val="none" w:color="000000" w:sz="4"/>
                    <w:left w:val="single" w:color="000000" w:sz="4"/>
                    <w:bottom w:val="single" w:color="000000" w:sz="4"/>
                    <w:right w:val="single" w:color="000000" w:sz="4"/>
                  </w:tcBorders>
                </w:tcP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预警短信日志</w:t>
                  </w:r>
                </w:p>
              </w:tc>
              <w:tc>
                <w:tcPr>
                  <w:tcW w:type="dxa" w:w="3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对于预警短信发送失败的情况，平台应将记录写入日志，并提供预警信息发送日志查询模块。</w:t>
                  </w:r>
                </w:p>
              </w:tc>
            </w:tr>
            <w:tr>
              <w:tc>
                <w:tcPr>
                  <w:tcW w:type="dxa" w:w="622"/>
                  <w:vMerge/>
                  <w:tcBorders>
                    <w:top w:val="none" w:color="000000" w:sz="4"/>
                    <w:left w:val="single" w:color="000000" w:sz="4"/>
                    <w:bottom w:val="single" w:color="000000" w:sz="4"/>
                    <w:right w:val="single" w:color="000000" w:sz="4"/>
                  </w:tcBorders>
                </w:tcP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预警联络清单</w:t>
                  </w:r>
                </w:p>
              </w:tc>
              <w:tc>
                <w:tcPr>
                  <w:tcW w:type="dxa" w:w="3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平台生成人工预警联络清单，便于工作人员人工预警。</w:t>
                  </w:r>
                </w:p>
              </w:tc>
            </w:tr>
            <w:tr>
              <w:tc>
                <w:tcPr>
                  <w:tcW w:type="dxa" w:w="6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辅助功能</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用户管理</w:t>
                  </w:r>
                </w:p>
              </w:tc>
              <w:tc>
                <w:tcPr>
                  <w:tcW w:type="dxa" w:w="3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平台用户角色、角色权限、登录方式和用户账号管理、系统管理员（含层级）功能</w:t>
                  </w:r>
                </w:p>
              </w:tc>
            </w:tr>
            <w:tr>
              <w:tc>
                <w:tcPr>
                  <w:tcW w:type="dxa" w:w="622"/>
                  <w:vMerge/>
                  <w:tcBorders>
                    <w:top w:val="none" w:color="000000" w:sz="4"/>
                    <w:left w:val="single" w:color="000000" w:sz="4"/>
                    <w:bottom w:val="single" w:color="000000" w:sz="4"/>
                    <w:right w:val="single" w:color="000000" w:sz="4"/>
                  </w:tcBorders>
                </w:tcP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其他系统配合功能管理</w:t>
                  </w:r>
                </w:p>
              </w:tc>
              <w:tc>
                <w:tcPr>
                  <w:tcW w:type="dxa" w:w="3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字典管理、操作日志</w:t>
                  </w:r>
                </w:p>
              </w:tc>
            </w:tr>
          </w:tbl>
          <w:p>
            <w:pPr>
              <w:pStyle w:val="null3"/>
              <w:jc w:val="both"/>
            </w:pPr>
            <w:r>
              <w:rPr/>
              <w:t xml:space="preserve"> </w:t>
            </w:r>
          </w:p>
        </w:tc>
      </w:tr>
      <w:tr>
        <w:tc>
          <w:tcPr>
            <w:tcW w:type="dxa" w:w="2076"/>
          </w:tcPr>
          <w:p/>
        </w:tc>
        <w:tc>
          <w:tcPr>
            <w:tcW w:type="dxa" w:w="415"/>
          </w:tcPr>
          <w:p>
            <w:pPr>
              <w:pStyle w:val="null3"/>
            </w:pPr>
            <w:r>
              <w:rPr/>
              <w:t>8</w:t>
            </w:r>
          </w:p>
        </w:tc>
        <w:tc>
          <w:tcPr>
            <w:tcW w:type="dxa" w:w="5814"/>
          </w:tcPr>
          <w:p>
            <w:pPr>
              <w:pStyle w:val="null3"/>
              <w:jc w:val="both"/>
            </w:pPr>
            <w:r>
              <w:rPr>
                <w:sz w:val="21"/>
                <w:b/>
              </w:rPr>
              <w:t>八、</w:t>
            </w:r>
            <w:r>
              <w:rPr>
                <w:sz w:val="21"/>
                <w:b/>
              </w:rPr>
              <w:t>技术要求</w:t>
            </w:r>
          </w:p>
          <w:p>
            <w:pPr>
              <w:pStyle w:val="null3"/>
              <w:spacing w:before="135" w:after="135"/>
              <w:jc w:val="both"/>
              <w:outlineLvl w:val="1"/>
            </w:pPr>
            <w:r>
              <w:rPr>
                <w:sz w:val="21"/>
                <w:b/>
              </w:rPr>
              <w:t>（一）服务端运行环境要求</w:t>
            </w:r>
          </w:p>
          <w:tbl>
            <w:tblPr>
              <w:tblInd w:type="dxa" w:w="120"/>
              <w:tblBorders>
                <w:top w:val="none" w:color="000000" w:sz="4"/>
                <w:left w:val="none" w:color="000000" w:sz="4"/>
                <w:bottom w:val="none" w:color="000000" w:sz="4"/>
                <w:right w:val="none" w:color="000000" w:sz="4"/>
                <w:insideH w:val="none"/>
                <w:insideV w:val="none"/>
              </w:tblBorders>
            </w:tblPr>
            <w:tblGrid>
              <w:gridCol w:w="1583"/>
              <w:gridCol w:w="4015"/>
            </w:tblGrid>
            <w:tr>
              <w:tc>
                <w:tcPr>
                  <w:tcW w:type="dxa" w:w="1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类别</w:t>
                  </w:r>
                </w:p>
              </w:tc>
              <w:tc>
                <w:tcPr>
                  <w:tcW w:type="dxa" w:w="40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要求</w:t>
                  </w:r>
                </w:p>
              </w:tc>
            </w:tr>
            <w:tr>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服务器、操作系统、数据库、中间件</w:t>
                  </w: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★支持国产的服务器、操作系统、数据库、中间件，具体选型在建设过程中由采购人指定</w:t>
                  </w:r>
                  <w:r>
                    <w:rPr>
                      <w:sz w:val="21"/>
                    </w:rPr>
                    <w:t>。操作系统不限于麒麟、统信；数据库不限于达梦、人大金仓；中间件不限于金蝶天燕、宝兰德、东方通。</w:t>
                  </w:r>
                </w:p>
              </w:tc>
            </w:tr>
          </w:tbl>
          <w:p>
            <w:pPr>
              <w:pStyle w:val="null3"/>
              <w:ind w:firstLine="480"/>
              <w:jc w:val="both"/>
              <w:outlineLvl w:val="1"/>
            </w:pPr>
            <w:r>
              <w:rPr>
                <w:sz w:val="21"/>
                <w:b/>
              </w:rPr>
              <w:t>（二）客户端访问环境要求</w:t>
            </w:r>
          </w:p>
          <w:tbl>
            <w:tblPr>
              <w:tblInd w:type="dxa" w:w="120"/>
              <w:tblBorders>
                <w:top w:val="none" w:color="000000" w:sz="4"/>
                <w:left w:val="none" w:color="000000" w:sz="4"/>
                <w:bottom w:val="none" w:color="000000" w:sz="4"/>
                <w:right w:val="none" w:color="000000" w:sz="4"/>
                <w:insideH w:val="none"/>
                <w:insideV w:val="none"/>
              </w:tblBorders>
            </w:tblPr>
            <w:tblGrid>
              <w:gridCol w:w="1466"/>
              <w:gridCol w:w="4132"/>
            </w:tblGrid>
            <w:tr>
              <w:tc>
                <w:tcPr>
                  <w:tcW w:type="dxa" w:w="1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类别</w:t>
                  </w:r>
                </w:p>
              </w:tc>
              <w:tc>
                <w:tcPr>
                  <w:tcW w:type="dxa" w:w="4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要求</w:t>
                  </w:r>
                </w:p>
              </w:tc>
            </w:tr>
            <w:tr>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客户端操作系统</w:t>
                  </w:r>
                </w:p>
              </w:tc>
              <w:tc>
                <w:tcPr>
                  <w:tcW w:type="dxa" w:w="4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至少</w:t>
                  </w:r>
                  <w:r>
                    <w:rPr>
                      <w:sz w:val="21"/>
                    </w:rPr>
                    <w:t>适配</w:t>
                  </w:r>
                  <w:r>
                    <w:rPr>
                      <w:sz w:val="21"/>
                    </w:rPr>
                    <w:t>Windows 10及以上的Windows桌面操作系统，同时需支持国产操作系统具体选型在建设过程中由采购人指定。</w:t>
                  </w:r>
                </w:p>
              </w:tc>
            </w:tr>
            <w:tr>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客户端浏览器</w:t>
                  </w:r>
                </w:p>
              </w:tc>
              <w:tc>
                <w:tcPr>
                  <w:tcW w:type="dxa" w:w="4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至少</w:t>
                  </w:r>
                  <w:r>
                    <w:rPr>
                      <w:sz w:val="21"/>
                    </w:rPr>
                    <w:t>适配</w:t>
                  </w:r>
                  <w:r>
                    <w:rPr>
                      <w:sz w:val="21"/>
                    </w:rPr>
                    <w:t>统信</w:t>
                  </w:r>
                  <w:r>
                    <w:rPr>
                      <w:sz w:val="21"/>
                    </w:rPr>
                    <w:t>UOS浏览器、360安全浏览器、谷歌浏览器。</w:t>
                  </w:r>
                </w:p>
              </w:tc>
            </w:tr>
          </w:tbl>
          <w:p>
            <w:pPr>
              <w:pStyle w:val="null3"/>
              <w:jc w:val="both"/>
              <w:outlineLvl w:val="1"/>
            </w:pPr>
            <w:r>
              <w:rPr>
                <w:sz w:val="21"/>
                <w:b/>
              </w:rPr>
              <w:t>（三）基础硬件配置</w:t>
            </w:r>
          </w:p>
          <w:tbl>
            <w:tblPr>
              <w:tblInd w:type="dxa" w:w="120"/>
              <w:tblBorders>
                <w:top w:val="none" w:color="000000" w:sz="4"/>
                <w:left w:val="none" w:color="000000" w:sz="4"/>
                <w:bottom w:val="none" w:color="000000" w:sz="4"/>
                <w:right w:val="none" w:color="000000" w:sz="4"/>
                <w:insideH w:val="none"/>
                <w:insideV w:val="none"/>
              </w:tblBorders>
            </w:tblPr>
            <w:tblGrid>
              <w:gridCol w:w="1469"/>
              <w:gridCol w:w="4129"/>
            </w:tblGrid>
            <w:tr>
              <w:tc>
                <w:tcPr>
                  <w:tcW w:type="dxa" w:w="1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指标</w:t>
                  </w:r>
                </w:p>
              </w:tc>
              <w:tc>
                <w:tcPr>
                  <w:tcW w:type="dxa" w:w="4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基本配置要求</w:t>
                  </w:r>
                </w:p>
              </w:tc>
            </w:tr>
            <w:tr>
              <w:tc>
                <w:tcPr>
                  <w:tcW w:type="dxa" w:w="1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w:t>
                  </w:r>
                </w:p>
              </w:tc>
              <w:tc>
                <w:tcPr>
                  <w:tcW w:type="dxa" w:w="4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16 vCPUs或以上。</w:t>
                  </w:r>
                </w:p>
              </w:tc>
            </w:tr>
            <w:tr>
              <w:tc>
                <w:tcPr>
                  <w:tcW w:type="dxa" w:w="1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内存</w:t>
                  </w:r>
                </w:p>
              </w:tc>
              <w:tc>
                <w:tcPr>
                  <w:tcW w:type="dxa" w:w="4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16G或以上。</w:t>
                  </w:r>
                </w:p>
              </w:tc>
            </w:tr>
            <w:tr>
              <w:tc>
                <w:tcPr>
                  <w:tcW w:type="dxa" w:w="1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存储</w:t>
                  </w:r>
                </w:p>
              </w:tc>
              <w:tc>
                <w:tcPr>
                  <w:tcW w:type="dxa" w:w="4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512G或以上。</w:t>
                  </w:r>
                </w:p>
              </w:tc>
            </w:tr>
            <w:tr>
              <w:tc>
                <w:tcPr>
                  <w:tcW w:type="dxa" w:w="1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带宽</w:t>
                  </w:r>
                </w:p>
              </w:tc>
              <w:tc>
                <w:tcPr>
                  <w:tcW w:type="dxa" w:w="4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10Mbps以上互联网访问。</w:t>
                  </w:r>
                </w:p>
              </w:tc>
            </w:tr>
          </w:tbl>
          <w:p>
            <w:pPr>
              <w:pStyle w:val="null3"/>
              <w:ind w:firstLine="640"/>
              <w:jc w:val="both"/>
            </w:pPr>
            <w:r>
              <w:rPr>
                <w:sz w:val="21"/>
              </w:rPr>
              <w:t>由采购人提供两台或更多满足以上配置要求的服务器设备和带宽要求的网络，并确保这些设备具有稳定可靠的硬件性能和网络连接。</w:t>
            </w:r>
          </w:p>
          <w:p>
            <w:pPr>
              <w:pStyle w:val="null3"/>
              <w:ind w:firstLine="640"/>
              <w:jc w:val="both"/>
              <w:outlineLvl w:val="1"/>
            </w:pPr>
            <w:r>
              <w:rPr>
                <w:sz w:val="21"/>
                <w:b/>
              </w:rPr>
              <w:t>（四）性能要求</w:t>
            </w:r>
          </w:p>
          <w:tbl>
            <w:tblPr>
              <w:tblInd w:type="dxa" w:w="225"/>
              <w:tblBorders>
                <w:top w:val="none" w:color="000000" w:sz="4"/>
                <w:left w:val="none" w:color="000000" w:sz="4"/>
                <w:bottom w:val="none" w:color="000000" w:sz="4"/>
                <w:right w:val="none" w:color="000000" w:sz="4"/>
                <w:insideH w:val="none"/>
                <w:insideV w:val="none"/>
              </w:tblBorders>
            </w:tblPr>
            <w:tblGrid>
              <w:gridCol w:w="1466"/>
              <w:gridCol w:w="4120"/>
            </w:tblGrid>
            <w:tr>
              <w:tc>
                <w:tcPr>
                  <w:tcW w:type="dxa" w:w="1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指标</w:t>
                  </w:r>
                </w:p>
              </w:tc>
              <w:tc>
                <w:tcPr>
                  <w:tcW w:type="dxa" w:w="4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要求</w:t>
                  </w:r>
                </w:p>
              </w:tc>
            </w:tr>
            <w:tr>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并发访问</w:t>
                  </w:r>
                </w:p>
              </w:tc>
              <w:tc>
                <w:tcPr>
                  <w:tcW w:type="dxa" w:w="4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最大线程并发指标</w:t>
                  </w:r>
                  <w:r>
                    <w:rPr>
                      <w:sz w:val="21"/>
                    </w:rPr>
                    <w:t>100。</w:t>
                  </w:r>
                </w:p>
              </w:tc>
            </w:tr>
            <w:tr>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反应时间</w:t>
                  </w:r>
                </w:p>
              </w:tc>
              <w:tc>
                <w:tcPr>
                  <w:tcW w:type="dxa" w:w="4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平均反应时间</w:t>
                  </w:r>
                  <w:r>
                    <w:rPr>
                      <w:sz w:val="21"/>
                    </w:rPr>
                    <w:t>≤5s，最大负载反应时间≤10s。</w:t>
                  </w:r>
                </w:p>
              </w:tc>
            </w:tr>
            <w:tr>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系统稳定性</w:t>
                  </w:r>
                </w:p>
              </w:tc>
              <w:tc>
                <w:tcPr>
                  <w:tcW w:type="dxa" w:w="4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系统软硬件整体及其功能模块应具有稳定性，在各种情况下软件系统可用率</w:t>
                  </w:r>
                  <w:r>
                    <w:rPr>
                      <w:sz w:val="21"/>
                    </w:rPr>
                    <w:t>&gt;=99.8%。</w:t>
                  </w:r>
                </w:p>
              </w:tc>
            </w:tr>
            <w:tr>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系统用户数量</w:t>
                  </w:r>
                </w:p>
              </w:tc>
              <w:tc>
                <w:tcPr>
                  <w:tcW w:type="dxa" w:w="4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100个</w:t>
                  </w:r>
                </w:p>
              </w:tc>
            </w:tr>
          </w:tbl>
          <w:p>
            <w:pPr>
              <w:pStyle w:val="null3"/>
              <w:jc w:val="both"/>
            </w:pPr>
            <w:r>
              <w:rPr/>
              <w:t xml:space="preserve"> </w:t>
            </w:r>
          </w:p>
          <w:p>
            <w:pPr>
              <w:pStyle w:val="null3"/>
              <w:jc w:val="both"/>
            </w:pPr>
            <w:r>
              <w:rPr/>
              <w:t xml:space="preserve"> </w:t>
            </w:r>
          </w:p>
        </w:tc>
      </w:tr>
      <w:tr>
        <w:tc>
          <w:tcPr>
            <w:tcW w:type="dxa" w:w="2076"/>
          </w:tcPr>
          <w:p/>
        </w:tc>
        <w:tc>
          <w:tcPr>
            <w:tcW w:type="dxa" w:w="415"/>
          </w:tcPr>
          <w:p>
            <w:pPr>
              <w:pStyle w:val="null3"/>
            </w:pPr>
            <w:r>
              <w:rPr/>
              <w:t>9</w:t>
            </w:r>
          </w:p>
        </w:tc>
        <w:tc>
          <w:tcPr>
            <w:tcW w:type="dxa" w:w="5814"/>
          </w:tcPr>
          <w:p>
            <w:pPr>
              <w:pStyle w:val="null3"/>
              <w:jc w:val="left"/>
            </w:pPr>
            <w:r>
              <w:rPr>
                <w:sz w:val="21"/>
                <w:b/>
                <w:color w:val="000000"/>
              </w:rPr>
              <w:t>九、项目实施要求</w:t>
            </w:r>
          </w:p>
          <w:p>
            <w:pPr>
              <w:pStyle w:val="null3"/>
              <w:jc w:val="left"/>
            </w:pPr>
            <w:r>
              <w:rPr>
                <w:sz w:val="21"/>
                <w:b/>
                <w:color w:val="000000"/>
              </w:rPr>
              <w:t>（一）项目总体要求</w:t>
            </w:r>
          </w:p>
          <w:p>
            <w:pPr>
              <w:pStyle w:val="null3"/>
              <w:ind w:firstLine="420"/>
              <w:jc w:val="left"/>
            </w:pPr>
            <w:r>
              <w:rPr>
                <w:sz w:val="21"/>
                <w:color w:val="000000"/>
              </w:rPr>
              <w:t>（</w:t>
            </w:r>
            <w:r>
              <w:rPr>
                <w:sz w:val="21"/>
                <w:color w:val="000000"/>
              </w:rPr>
              <w:t>1）有成熟可行的实施方法论支撑，提供了比较详细的调研、设计、专家评审、修订和实施阶段服务的计划；</w:t>
            </w:r>
          </w:p>
          <w:p>
            <w:pPr>
              <w:pStyle w:val="null3"/>
              <w:ind w:firstLine="420"/>
              <w:jc w:val="left"/>
            </w:pPr>
            <w:r>
              <w:rPr>
                <w:sz w:val="21"/>
                <w:color w:val="000000"/>
              </w:rPr>
              <w:t>（</w:t>
            </w:r>
            <w:r>
              <w:rPr>
                <w:sz w:val="21"/>
                <w:color w:val="000000"/>
              </w:rPr>
              <w:t>2）分阶段进行项目进程把控，并且有相应的控制文档，具有成功的项目管理经验；</w:t>
            </w:r>
          </w:p>
          <w:p>
            <w:pPr>
              <w:pStyle w:val="null3"/>
              <w:jc w:val="left"/>
            </w:pPr>
            <w:r>
              <w:rPr>
                <w:sz w:val="21"/>
                <w:b/>
                <w:color w:val="000000"/>
              </w:rPr>
              <w:t>（二）项目实施进度要求</w:t>
            </w:r>
          </w:p>
          <w:p>
            <w:pPr>
              <w:pStyle w:val="null3"/>
              <w:ind w:firstLine="420"/>
              <w:jc w:val="left"/>
            </w:pPr>
            <w:r>
              <w:rPr>
                <w:sz w:val="21"/>
                <w:color w:val="000000"/>
              </w:rPr>
              <w:t>自合同签订之日起四个月内完成项目开发，项目终验合格后提供一年系统维保期。</w:t>
            </w:r>
          </w:p>
          <w:p>
            <w:pPr>
              <w:pStyle w:val="null3"/>
              <w:jc w:val="left"/>
            </w:pPr>
            <w:r>
              <w:rPr>
                <w:sz w:val="21"/>
                <w:b/>
                <w:color w:val="000000"/>
              </w:rPr>
              <w:t>（三）项目实施过程要求</w:t>
            </w:r>
          </w:p>
          <w:p>
            <w:pPr>
              <w:pStyle w:val="null3"/>
              <w:ind w:firstLine="420"/>
              <w:jc w:val="left"/>
            </w:pPr>
            <w:r>
              <w:rPr>
                <w:sz w:val="21"/>
                <w:color w:val="000000"/>
              </w:rPr>
              <w:t>投标人在项目实施中，应提交如下材料：需求说明书、概要设计、详细设计、测试方案、测试用例、测试报告、试运行报告、用户使用报告、操作手册、运维手册、培训方案、培训教材、培训记录、部署文件及双方协商认为必要的材料。</w:t>
            </w:r>
          </w:p>
          <w:p>
            <w:pPr>
              <w:pStyle w:val="null3"/>
              <w:ind w:firstLine="420"/>
              <w:jc w:val="left"/>
            </w:pPr>
            <w:r>
              <w:rPr>
                <w:sz w:val="21"/>
                <w:color w:val="000000"/>
              </w:rPr>
              <w:t>供应商应在项目完成时，将本项目所有文档、资料汇集成册交付给采购方，所有文件要求用中文书写或有完整的中文注释。供应商需负责所有交付的项目过程文档打印装订等费用及工作。</w:t>
            </w:r>
          </w:p>
          <w:p>
            <w:pPr>
              <w:pStyle w:val="null3"/>
              <w:jc w:val="left"/>
            </w:pPr>
            <w:r>
              <w:rPr>
                <w:sz w:val="21"/>
                <w:b/>
                <w:color w:val="000000"/>
              </w:rPr>
              <w:t>（四）系统安全性要求</w:t>
            </w:r>
          </w:p>
          <w:p>
            <w:pPr>
              <w:pStyle w:val="null3"/>
              <w:ind w:firstLine="420"/>
              <w:jc w:val="left"/>
            </w:pPr>
            <w:r>
              <w:rPr>
                <w:sz w:val="21"/>
                <w:color w:val="000000"/>
              </w:rPr>
              <w:t>（</w:t>
            </w:r>
            <w:r>
              <w:rPr>
                <w:sz w:val="21"/>
                <w:color w:val="000000"/>
              </w:rPr>
              <w:t>1）要求系统可满足国家信息系统安全等级保护二级或以上认证，可能产生的评测费用由采购人负责。</w:t>
            </w:r>
          </w:p>
          <w:p>
            <w:pPr>
              <w:pStyle w:val="null3"/>
              <w:ind w:firstLine="420"/>
              <w:jc w:val="left"/>
            </w:pPr>
            <w:r>
              <w:rPr>
                <w:sz w:val="21"/>
                <w:color w:val="000000"/>
              </w:rPr>
              <w:t>（</w:t>
            </w:r>
            <w:r>
              <w:rPr>
                <w:sz w:val="21"/>
                <w:color w:val="000000"/>
              </w:rPr>
              <w:t>2）身份认证：基于账号密码进行身份认证，实现用户的身份认证，并确保信息的完整性和来源合法性。</w:t>
            </w:r>
          </w:p>
          <w:p>
            <w:pPr>
              <w:pStyle w:val="null3"/>
              <w:ind w:firstLine="420"/>
              <w:jc w:val="left"/>
            </w:pPr>
            <w:r>
              <w:rPr>
                <w:sz w:val="21"/>
                <w:color w:val="000000"/>
              </w:rPr>
              <w:t>（</w:t>
            </w:r>
            <w:r>
              <w:rPr>
                <w:sz w:val="21"/>
                <w:color w:val="000000"/>
              </w:rPr>
              <w:t>3）数据保密性：将账号、密码、身份证号、手机号和家庭住址等敏感信息进行加密处理，确保在数据存储、传输和处理过程中，只有授权人员能够解密和访问数据内容。同时，应遵循以下原则：仅在具有特定目的和充分必要性的情况下处理敏感个人信息，并采取严格的保护措施。在处理之前，需要进行影响评估，并向个人告知处理的必要性以及对个人权益的影响。</w:t>
            </w:r>
          </w:p>
          <w:p>
            <w:pPr>
              <w:pStyle w:val="null3"/>
              <w:ind w:firstLine="420"/>
              <w:jc w:val="left"/>
            </w:pPr>
            <w:r>
              <w:rPr>
                <w:sz w:val="21"/>
                <w:color w:val="000000"/>
              </w:rPr>
              <w:t>（</w:t>
            </w:r>
            <w:r>
              <w:rPr>
                <w:sz w:val="21"/>
                <w:color w:val="000000"/>
              </w:rPr>
              <w:t>4）访问控制：严格控制数据访问的权限。提供方便的授权/取消机制和检查机制，对于系统资源的访问权限，可针对不同的用户灵活配置不同的访问策略。</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广东省特种设备检测研究院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4</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现场电子开标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p>
            <w:pPr>
              <w:pStyle w:val="null3"/>
            </w:pPr>
            <w:r>
              <w:rPr/>
              <w:t>采购包4：总价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r>
              <w:rPr/>
              <w:t>采购包4：保证金人民币：0.00元整。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p>
            <w:pPr>
              <w:pStyle w:val="null3"/>
            </w:pPr>
            <w:r>
              <w:rPr/>
              <w:t>采购包4：</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采购机构代理服务收费标准：按照委托协议协商标准。</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其他，1.有融资要求的中标供应商可根据自身情况，申请政府采购合同融资。详见政府采购合同融资相关政策：《广东省财政厅 广东省地方金融监督管理局 中国人民银行广州分行关于开展省级政府采购合同融资工作的通知》（粤财采购〔2020〕6号）。 2.本项目采用现场电子开标，供应商应注意： （1）供应商应按在提交投标文件截止时间前将加密的电子投标（响应）文件成功上传至广东省政府采购网（广东政府采购智慧云平台），未按要求上传的将视为自动放弃投标。 （2）供应商应委派代表携带制作该投标（响应）文件的CA证书、存储有经广东省政府采购网下载的备用标书（电子投标文件）的U盘（或光盘）前往开标现场进行签到、解密；供应商未按要求进行解密的，视为无效投标。 （3）到现场参加开标的法定代表人或授权代表应当按照本项目招标公告载明的时间和地点参加开标。请供应商代表人员携带身份证原件（大厦一楼大厅物业管理处需登记后方可进入大厦，请投标人合理安排到场时间）到达开标现场，否则由此产生的后果由供应商自行承担。 （4）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采购包2：非专门面向中小企业</w:t>
            </w:r>
          </w:p>
          <w:p>
            <w:pPr>
              <w:pStyle w:val="null3"/>
              <w:jc w:val="left"/>
            </w:pPr>
            <w:r>
              <w:rPr/>
              <w:t>采购包3：非专门面向中小企业</w:t>
            </w:r>
          </w:p>
          <w:p>
            <w:pPr>
              <w:pStyle w:val="null3"/>
              <w:jc w:val="left"/>
            </w:pPr>
            <w:r>
              <w:rPr/>
              <w:t>采购包4：面向中小企业，采购包专门预留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广东华伦招标有限公司官网（https://www.gdhualun.com.cn/）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广东华伦招标有限公司官网（https://www.gdhualun.com.cn/）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总工办</w:t>
      </w:r>
    </w:p>
    <w:p>
      <w:pPr>
        <w:pStyle w:val="null3"/>
        <w:ind w:firstLine="480"/>
      </w:pPr>
      <w:r>
        <w:rPr/>
        <w:t>电话：</w:t>
      </w:r>
      <w:r>
        <w:rPr/>
        <w:t>020-83172166-862</w:t>
      </w:r>
    </w:p>
    <w:p>
      <w:pPr>
        <w:pStyle w:val="null3"/>
        <w:ind w:firstLine="480"/>
      </w:pPr>
      <w:r>
        <w:rPr/>
        <w:t>传真：</w:t>
      </w:r>
      <w:r>
        <w:rPr/>
        <w:t>/</w:t>
      </w:r>
    </w:p>
    <w:p>
      <w:pPr>
        <w:pStyle w:val="null3"/>
        <w:ind w:firstLine="480"/>
      </w:pPr>
      <w:r>
        <w:rPr/>
        <w:t>邮箱：</w:t>
      </w:r>
      <w:r>
        <w:rPr/>
        <w:t>hualuneb@163.com</w:t>
      </w:r>
    </w:p>
    <w:p>
      <w:pPr>
        <w:pStyle w:val="null3"/>
        <w:ind w:firstLine="480"/>
      </w:pPr>
      <w:r>
        <w:rPr/>
        <w:t>地址：</w:t>
      </w:r>
      <w:r>
        <w:rPr/>
        <w:t>广州市越秀区广仁路1号广仁大厦7楼（如采用邮寄形式提交，请提前跟我司工作人员联系，并同步将邮寄底单发送至我司邮箱）</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话：020-83188580、83188500、83188511、83188586</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特种设备行政许可鉴定评审管理系统建设项目)：综合评分法,是指投标文件满足招标文件全部实质性要求，且按照评审因素的量化指标评审得分最高的投标人为中标候选人的评标方法。（最低报价不是中标的唯一依据。）</w:t>
      </w:r>
    </w:p>
    <w:p>
      <w:pPr>
        <w:pStyle w:val="null3"/>
      </w:pPr>
      <w:r>
        <w:rPr/>
        <w:t>采购包2(特种设备大屏建设项目)：综合评分法,是指投标文件满足招标文件全部实质性要求，且按照评审因素的量化指标评审得分最高的投标人为中标候选人的评标方法。（最低报价不是中标的唯一依据。）</w:t>
      </w:r>
    </w:p>
    <w:p>
      <w:pPr>
        <w:pStyle w:val="null3"/>
      </w:pPr>
      <w:r>
        <w:rPr/>
        <w:t>采购包3(广东省特种设备检测研究院网站建设项目)：综合评分法,是指投标文件满足招标文件全部实质性要求，且按照评审因素的量化指标评审得分最高的投标人为中标候选人的评标方法。（最低报价不是中标的唯一依据。）</w:t>
      </w:r>
    </w:p>
    <w:p>
      <w:pPr>
        <w:pStyle w:val="null3"/>
      </w:pPr>
      <w:r>
        <w:rPr/>
        <w:t>采购包4(安全阀校验信息化平台建设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采购包1（特种设备行政许可鉴定评审管理系统建设项目）：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采购包2（特种设备大屏建设项目）：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采购包3（广东省特种设备检测研究院网站建设项目）：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采购包4（安全阀校验信息化平台建设项目）：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采购包1（特种设备行政许可鉴定评审管理系统建设项目）：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2022年度或2023年度财务状况报告或基本开户行（或基本存款账户行）出具的资信证明，或最近一期财务报表（适用在上一年度或本财务年度成立的法人或其他组织），或人民银行出具的个人信用报告（适用于自然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预留专门面向中小企业,全部服务由中小微企业承接。监狱企业、残疾人福利单位视同小型、微型企业。注：中小微企业以供应商提供的《中小企业声明函（服务）》为判定标准，残疾人福利性单位以供应商提供的《残疾人福利性单位声明函》为判定标准，监狱企业须供应商提供由省级以上监狱管理局、戒毒管理局（含新疆生产建设兵团）出具的属于监狱企业的证明文件，否则不予认定。</w:t>
            </w:r>
          </w:p>
        </w:tc>
      </w:tr>
    </w:tbl>
    <w:p>
      <w:pPr>
        <w:pStyle w:val="null3"/>
      </w:pPr>
      <w:r>
        <w:rPr/>
        <w:t>采购包2（特种设备大屏建设项目）：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2022年度或2023年度财务状况报告或基本开户行（或基本存款账户行）出具的资信证明，或最近一期财务报表（适用在上一年度或本财务年度成立的法人或其他组织），或人民银行出具的个人信用报告（适用于自然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本采购包不属于专门面向中小企业采购的采购包。</w:t>
            </w:r>
          </w:p>
        </w:tc>
      </w:tr>
    </w:tbl>
    <w:p>
      <w:pPr>
        <w:pStyle w:val="null3"/>
      </w:pPr>
      <w:r>
        <w:rPr/>
        <w:t>采购包3（广东省特种设备检测研究院网站建设项目）：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2022年度或2023年度财务状况报告或基本开户行（或基本存款账户行）出具的资信证明，或最近一期财务报表（适用在上一年度或本财务年度成立的法人或其他组织），或人民银行出具的个人信用报告（适用于自然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本采购包不属于专门面向中小企业采购的采购包。</w:t>
            </w:r>
          </w:p>
        </w:tc>
      </w:tr>
    </w:tbl>
    <w:p>
      <w:pPr>
        <w:pStyle w:val="null3"/>
      </w:pPr>
      <w:r>
        <w:rPr/>
        <w:t>采购包4（安全阀校验信息化平台建设项目）：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2022年度或2023年度财务状况报告或基本开户行（或基本存款账户行）出具的资信证明，或最近一期财务报表（适用在上一年度或本财务年度成立的法人或其他组织），或人民银行出具的个人信用报告（适用于自然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预留专门面向中小企业,全部服务由中小微企业承接。监狱企业、残疾人福利单位视同小型、微型企业。注：中小微企业以供应商提供的《中小企业声明函（服务）》为判定标准，残疾人福利性单位以供应商提供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采购包1（特种设备行政许可鉴定评审管理系统建设项目）：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“★”号条款（如有）</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报价修正（如有）</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1.投标报价符合招标文件对报价的要求。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采购包2（特种设备大屏建设项目）：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“★”号条款（如有）</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报价修正（如有）</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1.投标报价符合招标文件对报价的要求。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采购包3（广东省特种设备检测研究院网站建设项目）：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“★”号条款（如有）</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报价修正（如有）</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1.投标报价符合招标文件对报价的要求。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采购包4（安全阀校验信息化平台建设项目）：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“★”号条款（如有）</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报价修正（如有）</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1.投标报价符合招标文件对报价的要求。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采购包1(特种设备行政许可鉴定评审管理系统建设项目):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商务部分34.0分</w:t>
            </w:r>
          </w:p>
          <w:p>
            <w:pPr>
              <w:pStyle w:val="null3"/>
            </w:pPr>
            <w:r>
              <w:rPr/>
              <w:t>技术部分56.0分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系统功能及要求响应情况 (6.0分)</w:t>
            </w:r>
            <w:r>
              <w:rPr/>
              <w:t>，（等次分值选择：</w:t>
            </w:r>
            <w:r>
              <w:rPr/>
              <w:t>0.0;</w:t>
            </w:r>
            <w:r>
              <w:rPr/>
              <w:t>2.0;</w:t>
            </w:r>
            <w:r>
              <w:rPr/>
              <w:t>4.0;</w:t>
            </w:r>
            <w:r>
              <w:rPr/>
              <w:t>6.0;</w:t>
            </w:r>
            <w:r>
              <w:rPr/>
              <w:t>）</w:t>
            </w:r>
          </w:p>
        </w:tc>
        <w:tc>
          <w:tcPr>
            <w:tcW w:type="dxa" w:w="5076"/>
          </w:tcPr>
          <w:p>
            <w:pPr>
              <w:pStyle w:val="null3"/>
              <w:jc w:val="left"/>
            </w:pPr>
            <w:r>
              <w:rPr/>
              <w:t>根据投标人对本采购包组采购需求4（系统功能及要求）中带“▲”符号的技术条款（共3项）的响应情况进行评审： 每有一项完全响应或优于技术条款要求得2分，最高得6分。 注：根据投标人提供的《技术和服务要求响应表》响应情况及系统相关功能截图作为评审依据，未提供或资料不齐全的，不得分；如提供的系统相关功能截图与《技术和服务要求响应表》不一致的，以《技术和服务要求响应表》的响应情况为准。</w:t>
            </w:r>
          </w:p>
        </w:tc>
      </w:tr>
      <w:tr>
        <w:tc>
          <w:tcPr>
            <w:tcW w:type="dxa" w:w="922"/>
            <w:gridSpan w:val="2"/>
            <w:vMerge/>
          </w:tcPr>
          <w:p/>
        </w:tc>
        <w:tc>
          <w:tcPr>
            <w:tcW w:type="dxa" w:w="2307"/>
          </w:tcPr>
          <w:p>
            <w:pPr>
              <w:pStyle w:val="null3"/>
              <w:jc w:val="left"/>
            </w:pPr>
            <w:r>
              <w:rPr/>
              <w:t>系统功能设计方案 (12.0分)</w:t>
            </w:r>
            <w:r>
              <w:rPr/>
              <w:t>，（等次分值选择：</w:t>
            </w:r>
            <w:r>
              <w:rPr/>
              <w:t>0.0;</w:t>
            </w:r>
            <w:r>
              <w:rPr/>
              <w:t>3.0;</w:t>
            </w:r>
            <w:r>
              <w:rPr/>
              <w:t>6.0;</w:t>
            </w:r>
            <w:r>
              <w:rPr/>
              <w:t>9.0;</w:t>
            </w:r>
            <w:r>
              <w:rPr/>
              <w:t>12.0;</w:t>
            </w:r>
            <w:r>
              <w:rPr/>
              <w:t>）</w:t>
            </w:r>
          </w:p>
        </w:tc>
        <w:tc>
          <w:tcPr>
            <w:tcW w:type="dxa" w:w="5076"/>
          </w:tcPr>
          <w:p>
            <w:pPr>
              <w:pStyle w:val="null3"/>
              <w:jc w:val="left"/>
            </w:pPr>
            <w:r>
              <w:rPr/>
              <w:t>根据投标人提供的系统功能设计方案（包含但不限于设计方案与采购需求符合情况、页面设计情况、科学性、合理性以及使用方便性）进行评审： 1.提供详细的功能设计方案，设计方案完全满足采购人需求、且页面设计简洁、科学、合理，便于使用，得12分； 2.提供详细的功能设计方案，设计方案能满足采购人需求、且页面设计简洁，有一定的科学性、合理性，有一定的使用方便性，得9分； 3.提供的功能设计方案不够详细，设计方案基本满足采购人需求、页面设计不够简洁、不够科学合理，使用较复杂，得6分； 4.功能设计方案粗略，设计方案不能满足采购人需求、或页面设计不简洁、不科学、不合理，能使用，得3分。 5.无提供或其他情况，得0分。</w:t>
            </w:r>
          </w:p>
        </w:tc>
      </w:tr>
      <w:tr>
        <w:tc>
          <w:tcPr>
            <w:tcW w:type="dxa" w:w="922"/>
            <w:gridSpan w:val="2"/>
            <w:vMerge/>
          </w:tcPr>
          <w:p/>
        </w:tc>
        <w:tc>
          <w:tcPr>
            <w:tcW w:type="dxa" w:w="2307"/>
          </w:tcPr>
          <w:p>
            <w:pPr>
              <w:pStyle w:val="null3"/>
              <w:jc w:val="left"/>
            </w:pPr>
            <w:r>
              <w:rPr/>
              <w:t>技术设计方案 (12.0分)</w:t>
            </w:r>
            <w:r>
              <w:rPr/>
              <w:t>，（等次分值选择：</w:t>
            </w:r>
            <w:r>
              <w:rPr/>
              <w:t>0.0;</w:t>
            </w:r>
            <w:r>
              <w:rPr/>
              <w:t>3.0;</w:t>
            </w:r>
            <w:r>
              <w:rPr/>
              <w:t>6.0;</w:t>
            </w:r>
            <w:r>
              <w:rPr/>
              <w:t>9.0;</w:t>
            </w:r>
            <w:r>
              <w:rPr/>
              <w:t>12.0;</w:t>
            </w:r>
            <w:r>
              <w:rPr/>
              <w:t>）</w:t>
            </w:r>
          </w:p>
        </w:tc>
        <w:tc>
          <w:tcPr>
            <w:tcW w:type="dxa" w:w="5076"/>
          </w:tcPr>
          <w:p>
            <w:pPr>
              <w:pStyle w:val="null3"/>
              <w:jc w:val="left"/>
            </w:pPr>
            <w:r>
              <w:rPr/>
              <w:t>根据投标人提供的技术设计方案（包括但不限于对系统设计思路、体系架构、技术路线、关键技术等内容）进行评审： 1.系统设计思路清晰、体系架构完善、技术路线科学，完全满足或优于采购需求，得12分。 2.系统设计思路清晰、体系架构完善、技术路线有一定的科学性，基本能满足采购需求，得9分。 3.系统设计思路不够清晰、体系架构不够完善、技术路线不够科学，得6分。 4.系统设计思路不清晰、体系架构不完善、技术路线不科学，得3分。 5.无技术设计方案，得0分。</w:t>
            </w:r>
          </w:p>
        </w:tc>
      </w:tr>
      <w:tr>
        <w:tc>
          <w:tcPr>
            <w:tcW w:type="dxa" w:w="922"/>
            <w:gridSpan w:val="2"/>
            <w:vMerge/>
          </w:tcPr>
          <w:p/>
        </w:tc>
        <w:tc>
          <w:tcPr>
            <w:tcW w:type="dxa" w:w="2307"/>
          </w:tcPr>
          <w:p>
            <w:pPr>
              <w:pStyle w:val="null3"/>
              <w:jc w:val="left"/>
            </w:pPr>
            <w:r>
              <w:rPr/>
              <w:t>数据对接方案 (6.0分)</w:t>
            </w:r>
            <w:r>
              <w:rPr/>
              <w:t>，（等次分值选择：</w:t>
            </w:r>
            <w:r>
              <w:rPr/>
              <w:t>0.0;</w:t>
            </w:r>
            <w:r>
              <w:rPr/>
              <w:t>1.0;</w:t>
            </w:r>
            <w:r>
              <w:rPr/>
              <w:t>3.0;</w:t>
            </w:r>
            <w:r>
              <w:rPr/>
              <w:t>6.0;</w:t>
            </w:r>
            <w:r>
              <w:rPr/>
              <w:t>）</w:t>
            </w:r>
          </w:p>
        </w:tc>
        <w:tc>
          <w:tcPr>
            <w:tcW w:type="dxa" w:w="5076"/>
          </w:tcPr>
          <w:p>
            <w:pPr>
              <w:pStyle w:val="null3"/>
              <w:jc w:val="left"/>
            </w:pPr>
            <w:r>
              <w:rPr/>
              <w:t>本项目需要与档案系统对接，同步历史的鉴定评审信息,并将系统产生的评审记录、报告等资料和流转日志、业务等信息推送到档案系统；与电子签章系统对接，进行评审报告等文书的电子签章；与省特检院的智慧特检云平台对接，需按云平台的相关规范实现人员、组织架构的同步、单点登录和统一待办等功能。根据投标人提供的数据对接方案进行评审： 1.数据对接方案完整、合理、可行性高，完全满足或优于采购需求，得6分。 2.数据对接方案完整、合理，有一定的可行性，能一定程度满足采购需求，得3分。 3.数据对接方案不完整、可行性差，不能满足采购需求，得1分。 4.未提供数据对接方案或其他情况的，得0分。</w:t>
            </w:r>
          </w:p>
        </w:tc>
      </w:tr>
      <w:tr>
        <w:tc>
          <w:tcPr>
            <w:tcW w:type="dxa" w:w="922"/>
            <w:gridSpan w:val="2"/>
            <w:vMerge/>
          </w:tcPr>
          <w:p/>
        </w:tc>
        <w:tc>
          <w:tcPr>
            <w:tcW w:type="dxa" w:w="2307"/>
          </w:tcPr>
          <w:p>
            <w:pPr>
              <w:pStyle w:val="null3"/>
              <w:jc w:val="left"/>
            </w:pPr>
            <w:r>
              <w:rPr/>
              <w:t>培训方案 (2.0分)</w:t>
            </w:r>
            <w:r>
              <w:rPr/>
              <w:t>，（等次分值选择：</w:t>
            </w:r>
            <w:r>
              <w:rPr/>
              <w:t>0.0;</w:t>
            </w:r>
            <w:r>
              <w:rPr/>
              <w:t>0.5;</w:t>
            </w:r>
            <w:r>
              <w:rPr/>
              <w:t>1.0;</w:t>
            </w:r>
            <w:r>
              <w:rPr/>
              <w:t>2.0;</w:t>
            </w:r>
            <w:r>
              <w:rPr/>
              <w:t>）</w:t>
            </w:r>
          </w:p>
        </w:tc>
        <w:tc>
          <w:tcPr>
            <w:tcW w:type="dxa" w:w="5076"/>
          </w:tcPr>
          <w:p>
            <w:pPr>
              <w:pStyle w:val="null3"/>
              <w:jc w:val="left"/>
            </w:pPr>
            <w:r>
              <w:rPr/>
              <w:t>根据投标人提供的培训方案（包括但不限于总体培训计划和目标、培训人员配置、培训时间和培训次数、培训内容和培训质量控制等）进行评审： 1.有提供培训方案，方案完整、科学、合理、可行，完全满足且优于采购需求的，得2分； 2.有提供培训方案，方案有一定的科学性、合理性及可行性，能一定程度满足采购需求的，得1分； 3.有提供培训方案，但方案科学性低或合理性低或可行性低，不能完全满足采购需求的，得0.5分； 4.无提供或其他情况，得0分。</w:t>
            </w:r>
          </w:p>
        </w:tc>
      </w:tr>
      <w:tr>
        <w:tc>
          <w:tcPr>
            <w:tcW w:type="dxa" w:w="922"/>
            <w:gridSpan w:val="2"/>
            <w:vMerge/>
          </w:tcPr>
          <w:p/>
        </w:tc>
        <w:tc>
          <w:tcPr>
            <w:tcW w:type="dxa" w:w="2307"/>
          </w:tcPr>
          <w:p>
            <w:pPr>
              <w:pStyle w:val="null3"/>
              <w:jc w:val="left"/>
            </w:pPr>
            <w:r>
              <w:rPr/>
              <w:t>售后服务方案 (4.0分)</w:t>
            </w:r>
            <w:r>
              <w:rPr/>
              <w:t>，（等次分值选择：</w:t>
            </w:r>
            <w:r>
              <w:rPr/>
              <w:t>0.0;</w:t>
            </w:r>
            <w:r>
              <w:rPr/>
              <w:t>1.0;</w:t>
            </w:r>
            <w:r>
              <w:rPr/>
              <w:t>2.0;</w:t>
            </w:r>
            <w:r>
              <w:rPr/>
              <w:t>4.0;</w:t>
            </w:r>
            <w:r>
              <w:rPr/>
              <w:t>）</w:t>
            </w:r>
          </w:p>
        </w:tc>
        <w:tc>
          <w:tcPr>
            <w:tcW w:type="dxa" w:w="5076"/>
          </w:tcPr>
          <w:p>
            <w:pPr>
              <w:pStyle w:val="null3"/>
              <w:jc w:val="left"/>
            </w:pPr>
            <w:r>
              <w:rPr/>
              <w:t>根据投标人提供的售后服务方案（包括但不限于售后服务要求、售后服务保障体系、售后服务响应及承诺等）进行评审： 1.具有详细的服务承诺，方案总体优秀，保障体系全面、维护响应及时，完全满足或优于采购需求，得4分； 2.有服务承诺，方案总体良好，有一定的保障体系、维护响应及时，能一定程度满足采购需求，得2分； 3.有服务承诺，方案总体有欠缺，保障体系描述不清、维护响应及时，得1分。 4.无提供或其他情况，得0分。</w:t>
            </w:r>
          </w:p>
        </w:tc>
      </w:tr>
      <w:tr>
        <w:tc>
          <w:tcPr>
            <w:tcW w:type="dxa" w:w="922"/>
            <w:gridSpan w:val="2"/>
            <w:vMerge/>
          </w:tcPr>
          <w:p/>
        </w:tc>
        <w:tc>
          <w:tcPr>
            <w:tcW w:type="dxa" w:w="2307"/>
          </w:tcPr>
          <w:p>
            <w:pPr>
              <w:pStyle w:val="null3"/>
              <w:jc w:val="left"/>
            </w:pPr>
            <w:r>
              <w:rPr/>
              <w:t>现场功能演示 (14.0分)</w:t>
            </w:r>
          </w:p>
        </w:tc>
        <w:tc>
          <w:tcPr>
            <w:tcW w:type="dxa" w:w="5076"/>
          </w:tcPr>
          <w:p>
            <w:pPr>
              <w:pStyle w:val="null3"/>
              <w:jc w:val="left"/>
            </w:pPr>
            <w:r>
              <w:rPr/>
              <w:t>根据投标人的演示情况进行评审： 1.基础平台功能演示（8分） ①对表单模板进行可视化设计，支持Word格式文件模板快速导入成表单基础模板，全部满足得2分，不满足不得分。 ②支持在模板上制作表格、文本、日期元件、下拉元件、复选元件、图片元件，全部满足得1分，不满足不得分。 ③支持流式布局，元件至上而下动态布局，全部满足得1分，不满足不得分。 ④支持模板表格行通过动态行控件动态生成，全部满足得1分，不满足不得分。 ⑤支持模板预览功能，全部满足得1分，不满足不得分。 ⑥支持表格元件的单元格内容高度自适应，全部满足得2分，不满足不得分。 2.业务功能演示（6分） ①演示记录或报告录入、审核、审批功能，全部满足得2分，不满足不得分。 ②演示记录或报告数据从业务系统动态读取功能，全部满足得2分，不满足不得分。 ③演示一份记录中字段数据通过页面内其他字段抽取、处理后自动生成，全部满足得2分，不满足不得分。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企业认证情况 (2.0分)</w:t>
            </w:r>
            <w:r>
              <w:rPr/>
              <w:t>，（等次分值选择：</w:t>
            </w:r>
            <w:r>
              <w:rPr/>
              <w:t>0.0;</w:t>
            </w:r>
            <w:r>
              <w:rPr/>
              <w:t>1.0;</w:t>
            </w:r>
            <w:r>
              <w:rPr/>
              <w:t>2.0;</w:t>
            </w:r>
            <w:r>
              <w:rPr/>
              <w:t>）</w:t>
            </w:r>
          </w:p>
        </w:tc>
        <w:tc>
          <w:tcPr>
            <w:tcW w:type="dxa" w:w="5076"/>
          </w:tcPr>
          <w:p>
            <w:pPr>
              <w:pStyle w:val="null3"/>
              <w:jc w:val="left"/>
            </w:pPr>
            <w:r>
              <w:rPr/>
              <w:t>投标人具有质量管理体系认证证书、信息安全管理体系认证证书，每有一类有效证书的得1分，最多得2分。 注：（1）须提供上述有效期内的证书复印件，同时提供国家认证认可监督管理委员会信息中心的认证认可业务信息统一查询平台（http://cx.cnca.cn/)中查询其证书有效信息的网页打印件并加盖投标人公章，不提供或者证书已失效或者证书已撤销或者资料提供不齐全的不得分。（2）如因成立时间不满足认证时间要求且办理认证所需要合理时间不足导致未能获得认证证书的，或者因办理新证(旧证续期)所需要合理时间不足导致未能获得认证证书的，供应商提供说明文件明确以上事项，说明合理且属实的，可对应得分。</w:t>
            </w:r>
          </w:p>
        </w:tc>
      </w:tr>
      <w:tr>
        <w:tc>
          <w:tcPr>
            <w:tcW w:type="dxa" w:w="922"/>
            <w:gridSpan w:val="2"/>
            <w:vMerge/>
          </w:tcPr>
          <w:p/>
        </w:tc>
        <w:tc>
          <w:tcPr>
            <w:tcW w:type="dxa" w:w="2307"/>
          </w:tcPr>
          <w:p>
            <w:pPr>
              <w:pStyle w:val="null3"/>
              <w:jc w:val="left"/>
            </w:pPr>
            <w:r>
              <w:rPr/>
              <w:t>投标人自主研发能力 (12.0分)</w:t>
            </w:r>
          </w:p>
        </w:tc>
        <w:tc>
          <w:tcPr>
            <w:tcW w:type="dxa" w:w="5076"/>
          </w:tcPr>
          <w:p>
            <w:pPr>
              <w:pStyle w:val="null3"/>
              <w:jc w:val="left"/>
            </w:pPr>
            <w:r>
              <w:rPr/>
              <w:t>投标人具有与本采购包相关的计算机软件著作权证书（如：智慧电子表单平台、电子签章可视化系统、特种设备系统国产化适配软件、流程可视化服务平台、智慧表单画图软件、特种设备智慧检验检测数字化平台、特种设备使用登记流程安全管理平台、特种设备动态智能全程电子化系统、特种设备智慧大厅一体机平台、特种设备电子签章可视化系统、特种设备安全监检一体化平台、特种设备数据中心平台），每提供一份计算机软件著作权证书得1分，最高得12分。 注：著作权登记证书日期必须在2020年1月1日至提交投标文件截止时间当日期间,提供有效的软件著作权登记证书复印件，并提供中国版权保护中心（http://www.ccopyright.com.cn/）查询结果截图，未提供或资料不齐全的不得分。</w:t>
            </w:r>
          </w:p>
        </w:tc>
      </w:tr>
      <w:tr>
        <w:tc>
          <w:tcPr>
            <w:tcW w:type="dxa" w:w="922"/>
            <w:gridSpan w:val="2"/>
            <w:vMerge/>
          </w:tcPr>
          <w:p/>
        </w:tc>
        <w:tc>
          <w:tcPr>
            <w:tcW w:type="dxa" w:w="2307"/>
          </w:tcPr>
          <w:p>
            <w:pPr>
              <w:pStyle w:val="null3"/>
              <w:jc w:val="left"/>
            </w:pPr>
            <w:r>
              <w:rPr/>
              <w:t>投标人同类项目业绩 (15.0分)</w:t>
            </w:r>
          </w:p>
        </w:tc>
        <w:tc>
          <w:tcPr>
            <w:tcW w:type="dxa" w:w="5076"/>
          </w:tcPr>
          <w:p>
            <w:pPr>
              <w:pStyle w:val="null3"/>
              <w:jc w:val="left"/>
            </w:pPr>
            <w:r>
              <w:rPr/>
              <w:t>自2021年5月1日以来（以合同签订时间为准），投标人已完成的特种设备信息化建设项目（新建或升级改造）业绩： 每提供1个得1分，最高得15分。 备注：1.投标人须同时提供合同复印件和验收证明材料复印件（加盖投标单位公章的复印件。2.同一客户（用户或使用单位）不重复计算。</w:t>
            </w:r>
          </w:p>
        </w:tc>
      </w:tr>
      <w:tr>
        <w:tc>
          <w:tcPr>
            <w:tcW w:type="dxa" w:w="922"/>
            <w:gridSpan w:val="2"/>
            <w:vMerge/>
          </w:tcPr>
          <w:p/>
        </w:tc>
        <w:tc>
          <w:tcPr>
            <w:tcW w:type="dxa" w:w="2307"/>
          </w:tcPr>
          <w:p>
            <w:pPr>
              <w:pStyle w:val="null3"/>
              <w:jc w:val="left"/>
            </w:pPr>
            <w:r>
              <w:rPr/>
              <w:t>投入人员 (5.0分)</w:t>
            </w:r>
            <w:r>
              <w:rPr/>
              <w:t>，（等次分值选择：</w:t>
            </w:r>
            <w:r>
              <w:rPr/>
              <w:t>0.0;</w:t>
            </w:r>
            <w:r>
              <w:rPr/>
              <w:t>1.0;</w:t>
            </w:r>
            <w:r>
              <w:rPr/>
              <w:t>2.0;</w:t>
            </w:r>
            <w:r>
              <w:rPr/>
              <w:t>3.0;</w:t>
            </w:r>
            <w:r>
              <w:rPr/>
              <w:t>4.0;</w:t>
            </w:r>
            <w:r>
              <w:rPr/>
              <w:t>5.0;</w:t>
            </w:r>
            <w:r>
              <w:rPr/>
              <w:t>）</w:t>
            </w:r>
          </w:p>
        </w:tc>
        <w:tc>
          <w:tcPr>
            <w:tcW w:type="dxa" w:w="5076"/>
          </w:tcPr>
          <w:p>
            <w:pPr>
              <w:pStyle w:val="null3"/>
              <w:jc w:val="left"/>
            </w:pPr>
            <w:r>
              <w:rPr/>
              <w:t>1.项目经理具备信息系统项目管理师证书，提供得1分，不提供不得分； 2.项目团队成员（不含项目经理）具有系统分析师证书的，每提供一人得2分，序号2项最高得4分。 注：需同时提供上述人员的相关证书复印件、在投标人单位近3个月（开标当月往前顺推）内任意1个月的缴纳社保明细，未提供或资料不齐全的不得分。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采购包2(特种设备大屏建设项目):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平台功能要求 (22.0分)</w:t>
            </w:r>
          </w:p>
        </w:tc>
        <w:tc>
          <w:tcPr>
            <w:tcW w:type="dxa" w:w="5076"/>
          </w:tcPr>
          <w:p>
            <w:pPr>
              <w:pStyle w:val="null3"/>
              <w:jc w:val="left"/>
            </w:pPr>
            <w:r>
              <w:rPr/>
              <w:t>根据投标人对本采购包组采购需求4.1（平台功能要求）中带“▲”符号的技术条款（共11项）的响应情况进行评审： 每有一项完全响应或优于技术条款要求得2分，最高得22分。 注：根据投标人提供的《技术和服务要求响应表》响应情况及系统相关功能截图作为评审依据，未提供或资料不齐全的，不得分；如提供的系统相关功能截图与《技术和服务要求响应表》不一致的，以《技术和服务要求响应表》的响应情况为准。</w:t>
            </w:r>
          </w:p>
        </w:tc>
      </w:tr>
      <w:tr>
        <w:tc>
          <w:tcPr>
            <w:tcW w:type="dxa" w:w="922"/>
            <w:gridSpan w:val="2"/>
            <w:vMerge/>
          </w:tcPr>
          <w:p/>
        </w:tc>
        <w:tc>
          <w:tcPr>
            <w:tcW w:type="dxa" w:w="2307"/>
          </w:tcPr>
          <w:p>
            <w:pPr>
              <w:pStyle w:val="null3"/>
              <w:jc w:val="left"/>
            </w:pPr>
            <w:r>
              <w:rPr/>
              <w:t>实施方案 (15.0分)</w:t>
            </w:r>
            <w:r>
              <w:rPr/>
              <w:t>，（等次分值选择：</w:t>
            </w:r>
            <w:r>
              <w:rPr/>
              <w:t>0.0;</w:t>
            </w:r>
            <w:r>
              <w:rPr/>
              <w:t>1.0;</w:t>
            </w:r>
            <w:r>
              <w:rPr/>
              <w:t>3.0;</w:t>
            </w:r>
            <w:r>
              <w:rPr/>
              <w:t>9.0;</w:t>
            </w:r>
            <w:r>
              <w:rPr/>
              <w:t>15.0;</w:t>
            </w:r>
            <w:r>
              <w:rPr/>
              <w:t>）</w:t>
            </w:r>
          </w:p>
        </w:tc>
        <w:tc>
          <w:tcPr>
            <w:tcW w:type="dxa" w:w="5076"/>
          </w:tcPr>
          <w:p>
            <w:pPr>
              <w:pStyle w:val="null3"/>
              <w:jc w:val="left"/>
            </w:pPr>
            <w:r>
              <w:rPr/>
              <w:t>根据投标人提供的项目实施方案（包括但不限于实施进度、工期保证措施、安全控制措施、实施质量控制方案等）进行评审： 1.项目实施方案完全满足或优于采购要求，有详细完善的实施进度计划和工期保证措施；有详细完善的安全控制措施、实施质量控制方案及实施质量保证措施和质量管理程序等。有详细完善的应急保障方案；方案中系统建设的软件部署、功能测试方案、试运行方案及验收方案，具有合理性、科学性、可扩展性和安全性描述，有完善的项目质量保证措施、项目风险管理措施，得15分； 2.项目实施方案满足采购要求，有完善的实施进度计划和工期保证措施；有完善的安全控制措施、实施质量控制方案及实施质量保证措施和质量管理程序；提供应用软件实施方案，方案中系统建设的软件部署、功能测试方案、试运行方案及验收方案，内容详细、有一定的可行性；有提供项目质量保证措施、项目风险管理措施，得9分； 3.有提供项目实施方案、安全控制措施及实施质量控制保证方案；提供的实施方案中有系统的基本安装部署及调试的描述，系统建设的软件部署、功能测试方案、试运行方案及验收方案，内容的欠缺、简单；有提供实施进度计划和工期保证措施，有一定的可行性，得3分； 4.提供的项目实施方案、安全控制措施、质量控制保证方案、系统建设的软件部署、功能测试方案、试运行方案及验收方案、实施进度计划和工期保证措施，方案（或措施）内容不全面、或未提供齐全的方案（或措施）、或可行性低，得1分； 5.无提供或其他情况，得0分。</w:t>
            </w:r>
          </w:p>
        </w:tc>
      </w:tr>
      <w:tr>
        <w:tc>
          <w:tcPr>
            <w:tcW w:type="dxa" w:w="922"/>
            <w:gridSpan w:val="2"/>
            <w:vMerge/>
          </w:tcPr>
          <w:p/>
        </w:tc>
        <w:tc>
          <w:tcPr>
            <w:tcW w:type="dxa" w:w="2307"/>
          </w:tcPr>
          <w:p>
            <w:pPr>
              <w:pStyle w:val="null3"/>
              <w:jc w:val="left"/>
            </w:pPr>
            <w:r>
              <w:rPr/>
              <w:t>现场演示 (12.0分)</w:t>
            </w:r>
          </w:p>
        </w:tc>
        <w:tc>
          <w:tcPr>
            <w:tcW w:type="dxa" w:w="5076"/>
          </w:tcPr>
          <w:p>
            <w:pPr>
              <w:pStyle w:val="null3"/>
              <w:jc w:val="left"/>
            </w:pPr>
            <w:r>
              <w:rPr/>
              <w:t>为保障用户方的系统使用权益，根据投标人的演示情况进行评审： 1.快速搭建可视化大屏（过程要求体现但不限于以下功能：C/S设计器、数据集成、智慧布局）； 2.替换可视化大屏中某个组件的样式（过程要求体现但不限于以下功能：UI组件库、组件复用、一键切换主题风格）； 3.人机交互实现跳转、下钻数据（过程要求体现但不限于以下功能：高级交互、钻取联动、点击跳转）； 4.平台BI功能演示（过程要求体现但不限于以下功能：报表&amp;参数查询、仪表板、自定义地图、BI平台管理功能等）。 注：系统演示中每有一项演示完全满足要求且效果优秀得3分，部分满足得1分，不满足为0分，该项满分合计为12分。</w:t>
            </w:r>
          </w:p>
        </w:tc>
      </w:tr>
      <w:tr>
        <w:tc>
          <w:tcPr>
            <w:tcW w:type="dxa" w:w="922"/>
            <w:gridSpan w:val="2"/>
            <w:vMerge/>
          </w:tcPr>
          <w:p/>
        </w:tc>
        <w:tc>
          <w:tcPr>
            <w:tcW w:type="dxa" w:w="2307"/>
          </w:tcPr>
          <w:p>
            <w:pPr>
              <w:pStyle w:val="null3"/>
              <w:jc w:val="left"/>
            </w:pPr>
            <w:r>
              <w:rPr/>
              <w:t>培训方案 (5.0分)</w:t>
            </w:r>
            <w:r>
              <w:rPr/>
              <w:t>，（等次分值选择：</w:t>
            </w:r>
            <w:r>
              <w:rPr/>
              <w:t>0.0;</w:t>
            </w:r>
            <w:r>
              <w:rPr/>
              <w:t>1.0;</w:t>
            </w:r>
            <w:r>
              <w:rPr/>
              <w:t>3.0;</w:t>
            </w:r>
            <w:r>
              <w:rPr/>
              <w:t>5.0;</w:t>
            </w:r>
            <w:r>
              <w:rPr/>
              <w:t>）</w:t>
            </w:r>
          </w:p>
        </w:tc>
        <w:tc>
          <w:tcPr>
            <w:tcW w:type="dxa" w:w="5076"/>
          </w:tcPr>
          <w:p>
            <w:pPr>
              <w:pStyle w:val="null3"/>
              <w:jc w:val="left"/>
            </w:pPr>
            <w:r>
              <w:rPr/>
              <w:t>根据投标人提供的培训方案（包括但不限于总体培训计划、内容、课时、师资情况等）进行评审： 1.培训方案优于采购要求，培训内容详细完整，培训方式多样化且提供远程、现场、集中等全方位多渠道、多元化的培训方式，能提供日常技术支持、系统安装部署与升级服务、在线视频教程等完善的服务内容及师资力量和培训教材，得5分； 2.培训方案满足采购要求，有详细的方案计划，培训内容详实，多种培训方式，提供师资力量和培训教材，内容详细切实可行，得3分； 3.培训方案基本满足采购招标要求，内容有欠缺、或有一定的可行性，得1分； 4.无提供或其他情况，得0分。</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根据投标人提供的售后服务方案（包含但不限于服务范围、服务内容、服务方式、服务水平等）进行评审： 1.售后服务方案优于采购要求的，提供项目售后服务方案内容全面，具备完善的售后服务体系，能够提供明确的售后服务响应，并针对本项目提供专门的售后服务技术支持、服务保障方案、故障处理流程及应急预案，具有优秀的售后团队，得6分； 2.售后服务方案满足采购要求，提供的售后服务方案内容全面，具备有一定完善的售后服务体系，能够提供售后服务响应、售后服务技术支持、服务保障方案、故障处理流程，具有良好的售后团队，得3分； 3.售后服务方案基本满足采购要求，提供的售后服务方案内容简单，基本可行，得1分； 4.无提供或其他情况，得0分。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投标人认证情况 (8.0分)</w:t>
            </w:r>
            <w:r>
              <w:rPr/>
              <w:t>，（等次分值选择：</w:t>
            </w:r>
            <w:r>
              <w:rPr/>
              <w:t>0.0;</w:t>
            </w:r>
            <w:r>
              <w:rPr/>
              <w:t>2.0;</w:t>
            </w:r>
            <w:r>
              <w:rPr/>
              <w:t>4.0;</w:t>
            </w:r>
            <w:r>
              <w:rPr/>
              <w:t>6.0;</w:t>
            </w:r>
            <w:r>
              <w:rPr/>
              <w:t>8.0;</w:t>
            </w:r>
            <w:r>
              <w:rPr/>
              <w:t>）</w:t>
            </w:r>
          </w:p>
        </w:tc>
        <w:tc>
          <w:tcPr>
            <w:tcW w:type="dxa" w:w="5076"/>
          </w:tcPr>
          <w:p>
            <w:pPr>
              <w:pStyle w:val="null3"/>
              <w:jc w:val="left"/>
            </w:pPr>
            <w:r>
              <w:rPr/>
              <w:t>1.投标人具质量管理体系认证证书及信息安全管理体系认证证书，每提供一类有效证书得2分，最高得4分； 2.投标人具有有效的CMMI认定证书，得2分； 3.可视化产品具有信息系统安全等级保护三级或以上备案证明，得2分。 注：（1）提供上述相关证书（或证明材料）的复印件并加盖投标人公章；上述序号1的需同时提供国家认证认可监督管理委员会信息中心的认证认可业务信息统一查询平台（http://cx.cnca.cn/)中查询其证书有效信息的网页打印件并加盖投标人公章，不提供或者证书已失效或者证书已撤销或者资料提供不齐全的不得分；（2）如因成立时间不满足认证时间要求且办理认证所需要合理时间不足导致未能获得上述序号1认证证书的，或者因办理新证(旧证续期)所需要合理时间不足导致未能获得上述序号1认证证书的，供应商提供说明文件明确以上事项，说明合理且属实的，可对应得分。</w:t>
            </w:r>
          </w:p>
        </w:tc>
      </w:tr>
      <w:tr>
        <w:tc>
          <w:tcPr>
            <w:tcW w:type="dxa" w:w="922"/>
            <w:gridSpan w:val="2"/>
            <w:vMerge/>
          </w:tcPr>
          <w:p/>
        </w:tc>
        <w:tc>
          <w:tcPr>
            <w:tcW w:type="dxa" w:w="2307"/>
          </w:tcPr>
          <w:p>
            <w:pPr>
              <w:pStyle w:val="null3"/>
              <w:jc w:val="left"/>
            </w:pPr>
            <w:r>
              <w:rPr/>
              <w:t>同类项目业绩 (14.0分)</w:t>
            </w:r>
          </w:p>
        </w:tc>
        <w:tc>
          <w:tcPr>
            <w:tcW w:type="dxa" w:w="5076"/>
          </w:tcPr>
          <w:p>
            <w:pPr>
              <w:pStyle w:val="null3"/>
              <w:jc w:val="left"/>
            </w:pPr>
            <w:r>
              <w:rPr/>
              <w:t>自2020年1月1日以来（以合同签订时间为准），具有以下项目业绩： 1.独立承接过特种设备报表数据分析相关信息化建设项目，每提供一份业绩证明材料得1分，最高3分； 2.独立承担大屏可视化建设类项目业绩，每提供一份业绩证明材料得1分，最高得11分。 注：须提供上述业绩的合同复印件（须包含供货清单）作为证明材料，无提供证明材料或评审专家组无法认定的不得分；同一份业绩如同时符合上述要求的，只计算一次。</w:t>
            </w:r>
          </w:p>
        </w:tc>
      </w:tr>
      <w:tr>
        <w:tc>
          <w:tcPr>
            <w:tcW w:type="dxa" w:w="922"/>
            <w:gridSpan w:val="2"/>
            <w:vMerge/>
          </w:tcPr>
          <w:p/>
        </w:tc>
        <w:tc>
          <w:tcPr>
            <w:tcW w:type="dxa" w:w="2307"/>
          </w:tcPr>
          <w:p>
            <w:pPr>
              <w:pStyle w:val="null3"/>
              <w:jc w:val="left"/>
            </w:pPr>
            <w:r>
              <w:rPr/>
              <w:t>投标人自主研发能力 (8.0分)</w:t>
            </w:r>
            <w:r>
              <w:rPr/>
              <w:t>，（等次分值选择：</w:t>
            </w:r>
            <w:r>
              <w:rPr/>
              <w:t>0.0;</w:t>
            </w:r>
            <w:r>
              <w:rPr/>
              <w:t>2.0;</w:t>
            </w:r>
            <w:r>
              <w:rPr/>
              <w:t>4.0;</w:t>
            </w:r>
            <w:r>
              <w:rPr/>
              <w:t>6.0;</w:t>
            </w:r>
            <w:r>
              <w:rPr/>
              <w:t>8.0;</w:t>
            </w:r>
            <w:r>
              <w:rPr/>
              <w:t>）</w:t>
            </w:r>
          </w:p>
        </w:tc>
        <w:tc>
          <w:tcPr>
            <w:tcW w:type="dxa" w:w="5076"/>
          </w:tcPr>
          <w:p>
            <w:pPr>
              <w:pStyle w:val="null3"/>
              <w:jc w:val="left"/>
            </w:pPr>
            <w:r>
              <w:rPr/>
              <w:t>1.投标人具有自主研发的可视化产品（代码自主率需超过70%），得2分； 2.产品具有适配信_创环境的证明（需提供第三方机构出具的测试报告和信_创版本软件著作证明作为证明材料），得4分； 3.提供的产品具有自主研发的BI报表功能（代码自主率需超过70%），得2分。 注：（1）上述序号1和序号3，需提供第三方机构出具的检测报告复印件并加盖投标人公章；上述序号2需提供第三方机构出具的测试报告和信_创版本软件著作证明的复印件并加盖投标人公章； （2）证明材料不齐全或评审专家组无法认定的不得分。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采购包3(广东省特种设备检测研究院网站建设项目):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项目整体解决方案 (10.0分)</w:t>
            </w:r>
            <w:r>
              <w:rPr/>
              <w:t>，（等次分值选择：</w:t>
            </w:r>
            <w:r>
              <w:rPr/>
              <w:t>0.0;</w:t>
            </w:r>
            <w:r>
              <w:rPr/>
              <w:t>1.0;</w:t>
            </w:r>
            <w:r>
              <w:rPr/>
              <w:t>2.0;</w:t>
            </w:r>
            <w:r>
              <w:rPr/>
              <w:t>6.0;</w:t>
            </w:r>
            <w:r>
              <w:rPr/>
              <w:t>10.0;</w:t>
            </w:r>
            <w:r>
              <w:rPr/>
              <w:t>）</w:t>
            </w:r>
          </w:p>
        </w:tc>
        <w:tc>
          <w:tcPr>
            <w:tcW w:type="dxa" w:w="5076"/>
          </w:tcPr>
          <w:p>
            <w:pPr>
              <w:pStyle w:val="null3"/>
              <w:jc w:val="left"/>
            </w:pPr>
            <w:r>
              <w:rPr/>
              <w:t>根据投标人提供的项目整体解决方案（包括但不限于对系统业务的理解、总体研发思路、项目技术架构的理解、软件开发的难点分析等）进行评审： 1.对项目的理解清晰，总体研发思路方向准确，对项目技术架构的理解程度强，对开发难点的分析准确度高，解决方案完整性高、安全性高，描述详细，得10分； 2.对项目的理解清晰，总体研发思路方向准确，对项目技术架构的理解程度强，对开发难点的分析有一定的准确度，解决方案有一定的完整性和安全性，描述有一定的详细，得6分； 3.对项目的有一定的理解，总体研发思路方向有一定的准确性，对项目技术架构有一定的理解，对开发难点的分析准确度一般，解决方案完整性和安全性一般，描述详细度一般，得2分； 4.对项目的理解不够清晰，总体研发思路方向不够准确，对项目技术架构的理解程度弱，对开发难点的分析不够准确，解决方案不够完整或不够安全，描述不够详细，得1分； 5.无提供或其他情况，得0分。</w:t>
            </w:r>
          </w:p>
        </w:tc>
      </w:tr>
      <w:tr>
        <w:tc>
          <w:tcPr>
            <w:tcW w:type="dxa" w:w="922"/>
            <w:gridSpan w:val="2"/>
            <w:vMerge/>
          </w:tcPr>
          <w:p/>
        </w:tc>
        <w:tc>
          <w:tcPr>
            <w:tcW w:type="dxa" w:w="2307"/>
          </w:tcPr>
          <w:p>
            <w:pPr>
              <w:pStyle w:val="null3"/>
              <w:jc w:val="left"/>
            </w:pPr>
            <w:r>
              <w:rPr/>
              <w:t>现场功能演示 (20.0分)</w:t>
            </w:r>
          </w:p>
        </w:tc>
        <w:tc>
          <w:tcPr>
            <w:tcW w:type="dxa" w:w="5076"/>
          </w:tcPr>
          <w:p>
            <w:pPr>
              <w:pStyle w:val="null3"/>
              <w:jc w:val="left"/>
            </w:pPr>
            <w:r>
              <w:rPr/>
              <w:t>根据投标的演示情况进行评审： （1）内容发布功能 ①文章管理：文章分类、标签、搜索等功能完善，能够查看和恢复历史版本。 ②内容编辑：编辑界面友好，具有简单、稳定、易用的文章编辑器，支持一键排版，可导入多种文件并且导入后格式一致。 ③敏感词过滤：有效过滤敏感词汇，并可以自定义敏感词库和敏感词库自动定期更新。 ④发文审批：审批流程清晰，可自定义内容发布流程。 ⑤内容发布：发布结果可多终端预览，可以投递到多个栏目，发布后及时更新。 ⑥附件管理：附件上传、管理、下载等功能完善。 ⑦数据统计分析：提供详尽的网站使用数据统计和分析功能。 ⑧智能搜索：提供智能搜索。 （2）系统管理功能 ①站点管理：站点配置灵活，易于管理。 ②栏目管理：栏目结构清晰，支持多级分类。 ③运维监控：系统监控功能完善，能及时发现和解决问题。例如：备份包的日期和完整性，产品所在磁盘的剩余空间等。 ④一键启停：可以一键完成系统启动、关闭。 ⑤角色与权限控制：权限分配灵活，支持多种角色设置。 ⑥数据备份与还原：备份恢复功能可靠、方便。 ⑦补丁更新：系统升级、补丁更新流程顺畅。 ⑧数据统计分析：系统运行数据的收集、分析功能是否完善。 （3）安全管理功能 ①安全检测：系统安全性检测功能全面，是否能及时发现潜在安全隐患。例如：长时间未登录的管理员账号，异常时间段登录账号，是否有长期不更新的站点，发现攻击行为记录等。 ②危险文件检测：是否能有效检测并处理危险文件。 ③防篡改：是否有防篡改机制，保障数据完整性。 ④记录并反向追踪攻击过程：是否能够记录攻击过程，并追踪攻击来源。 投标人的演示每符合上述1项（以带“①”“②”“③”……符号的序号为1项）要求的得1分，最高得20分。 注：演示方式为真实系统后台演示，未演示或用PPT、word、DEMO等演示形式的不得分。</w:t>
            </w:r>
          </w:p>
        </w:tc>
      </w:tr>
      <w:tr>
        <w:tc>
          <w:tcPr>
            <w:tcW w:type="dxa" w:w="922"/>
            <w:gridSpan w:val="2"/>
            <w:vMerge/>
          </w:tcPr>
          <w:p/>
        </w:tc>
        <w:tc>
          <w:tcPr>
            <w:tcW w:type="dxa" w:w="2307"/>
          </w:tcPr>
          <w:p>
            <w:pPr>
              <w:pStyle w:val="null3"/>
              <w:jc w:val="left"/>
            </w:pPr>
            <w:r>
              <w:rPr/>
              <w:t>前端页面设计方案 (10.0分)</w:t>
            </w:r>
            <w:r>
              <w:rPr/>
              <w:t>，（等次分值选择：</w:t>
            </w:r>
            <w:r>
              <w:rPr/>
              <w:t>0.0;</w:t>
            </w:r>
            <w:r>
              <w:rPr/>
              <w:t>2.0;</w:t>
            </w:r>
            <w:r>
              <w:rPr/>
              <w:t>4.0;</w:t>
            </w:r>
            <w:r>
              <w:rPr/>
              <w:t>6.0;</w:t>
            </w:r>
            <w:r>
              <w:rPr/>
              <w:t>8.0;</w:t>
            </w:r>
            <w:r>
              <w:rPr/>
              <w:t>10.0;</w:t>
            </w:r>
            <w:r>
              <w:rPr/>
              <w:t>）</w:t>
            </w:r>
          </w:p>
        </w:tc>
        <w:tc>
          <w:tcPr>
            <w:tcW w:type="dxa" w:w="5076"/>
          </w:tcPr>
          <w:p>
            <w:pPr>
              <w:pStyle w:val="null3"/>
              <w:jc w:val="left"/>
            </w:pPr>
            <w:r>
              <w:rPr/>
              <w:t>为体现投标人的设计能力，需设计广东省特检院省院官网的前端页面，包括首页和内容页，需在电脑端浏览器中展示。设计要求：采用最新流行的长屏大图设计，排版风格以及设计风格参考主流科研机构官网、政府类官网、国际检验检测机构官网等，以大像素、高张力的图片为首页主要展现形式，简洁而又不失信息量，页面设计精美，符合国际主流的设计趋势，且交互友好、简单，既体现单位特色，又符合国内相关专业领域页面设计趋势。从以下几个方面评价页面设计能力，总分10分。 1.设计创意：页面设计具有创意，得2分，符合特检院品牌形象，得2分； 2.用户体验：页面布局清晰，导航方便，能提供良好的用户体验，得2分； 3.视觉效果：页面颜色、字体、图片等总体视觉效果好，得4分。</w:t>
            </w:r>
          </w:p>
        </w:tc>
      </w:tr>
      <w:tr>
        <w:tc>
          <w:tcPr>
            <w:tcW w:type="dxa" w:w="922"/>
            <w:gridSpan w:val="2"/>
            <w:vMerge/>
          </w:tcPr>
          <w:p/>
        </w:tc>
        <w:tc>
          <w:tcPr>
            <w:tcW w:type="dxa" w:w="2307"/>
          </w:tcPr>
          <w:p>
            <w:pPr>
              <w:pStyle w:val="null3"/>
              <w:jc w:val="left"/>
            </w:pPr>
            <w:r>
              <w:rPr/>
              <w:t>国产化兼容性认证 (4.0分)</w:t>
            </w:r>
            <w:r>
              <w:rPr/>
              <w:t>，（等次分值选择：</w:t>
            </w:r>
            <w:r>
              <w:rPr/>
              <w:t>0.0;</w:t>
            </w:r>
            <w:r>
              <w:rPr/>
              <w:t>1.0;</w:t>
            </w:r>
            <w:r>
              <w:rPr/>
              <w:t>2.0;</w:t>
            </w:r>
            <w:r>
              <w:rPr/>
              <w:t>3.0;</w:t>
            </w:r>
            <w:r>
              <w:rPr/>
              <w:t>4.0;</w:t>
            </w:r>
            <w:r>
              <w:rPr/>
              <w:t>）</w:t>
            </w:r>
          </w:p>
        </w:tc>
        <w:tc>
          <w:tcPr>
            <w:tcW w:type="dxa" w:w="5076"/>
          </w:tcPr>
          <w:p>
            <w:pPr>
              <w:pStyle w:val="null3"/>
              <w:jc w:val="left"/>
            </w:pPr>
            <w:r>
              <w:rPr/>
              <w:t>投标人所提供的网站群平台支持国产化，提供与国产化中间件、数据库、操作系统、服务器、前端应用等互认证书，投标人提供国产化兼容性认证证书，每提供1类证书得1分，最高得4分。 注：需提供上述认证证书的复印件并加盖投标人公章。</w:t>
            </w:r>
          </w:p>
        </w:tc>
      </w:tr>
      <w:tr>
        <w:tc>
          <w:tcPr>
            <w:tcW w:type="dxa" w:w="922"/>
            <w:gridSpan w:val="2"/>
            <w:vMerge/>
          </w:tcPr>
          <w:p/>
        </w:tc>
        <w:tc>
          <w:tcPr>
            <w:tcW w:type="dxa" w:w="2307"/>
          </w:tcPr>
          <w:p>
            <w:pPr>
              <w:pStyle w:val="null3"/>
              <w:jc w:val="left"/>
            </w:pPr>
            <w:r>
              <w:rPr/>
              <w:t>安全评估报告 (6.0分)</w:t>
            </w:r>
            <w:r>
              <w:rPr/>
              <w:t>，（等次分值选择：</w:t>
            </w:r>
            <w:r>
              <w:rPr/>
              <w:t>0.0;</w:t>
            </w:r>
            <w:r>
              <w:rPr/>
              <w:t>2.0;</w:t>
            </w:r>
            <w:r>
              <w:rPr/>
              <w:t>4.0;</w:t>
            </w:r>
            <w:r>
              <w:rPr/>
              <w:t>6.0;</w:t>
            </w:r>
            <w:r>
              <w:rPr/>
              <w:t>）</w:t>
            </w:r>
          </w:p>
        </w:tc>
        <w:tc>
          <w:tcPr>
            <w:tcW w:type="dxa" w:w="5076"/>
          </w:tcPr>
          <w:p>
            <w:pPr>
              <w:pStyle w:val="null3"/>
              <w:jc w:val="left"/>
            </w:pPr>
            <w:r>
              <w:rPr/>
              <w:t>根据投标人提供专业的第三方安全评估机构出具的网站群系统产品安全评估报告情况进行评审： 1.等保合规性检查报告：内容包括系统在等级保护方面的合规性检查结果，须为等保二级以上。 2.渗透测试报告：需评估测试覆盖的范围和深度，是否有中高风险漏洞，以及报告中提出的安全风险和改进建议。 3.源代码审计报告：需要关注报告列出的源代码中存在的漏洞和安全风险，是否有安全最佳实践违规，权限和访问控制是否严谨，数据隐私和保护是否到位，代码质量好坏，代码是否规范，第三方依赖的安全性以及最终给出的安全建议和修复建议。 注：根据投标人提供自2022年1月1日（以评估报告出具的日期为准）至今专业的第三方安全评估机构出具的网站群系统产品安全评估报告作为评审依据，评估报告每包含有上述1项（以每个序号为1项）内容，完全符合要求的，得2分，最高得6分。</w:t>
            </w:r>
          </w:p>
        </w:tc>
      </w:tr>
      <w:tr>
        <w:tc>
          <w:tcPr>
            <w:tcW w:type="dxa" w:w="922"/>
            <w:gridSpan w:val="2"/>
            <w:vMerge w:val="restart"/>
          </w:tcPr>
          <w:p>
            <w:pPr>
              <w:pStyle w:val="null3"/>
              <w:jc w:val="center"/>
            </w:pPr>
            <w:r>
              <w:rPr/>
              <w:t>商务部分</w:t>
            </w:r>
          </w:p>
        </w:tc>
        <w:tc>
          <w:tcPr>
            <w:tcW w:type="dxa" w:w="2307"/>
          </w:tcPr>
          <w:p>
            <w:pPr>
              <w:pStyle w:val="null3"/>
              <w:jc w:val="left"/>
            </w:pPr>
            <w:r>
              <w:rPr/>
              <w:t>投标人认证情况 (3.0分)</w:t>
            </w:r>
            <w:r>
              <w:rPr/>
              <w:t>，（等次分值选择：</w:t>
            </w:r>
            <w:r>
              <w:rPr/>
              <w:t>0.0;</w:t>
            </w:r>
            <w:r>
              <w:rPr/>
              <w:t>1.5;</w:t>
            </w:r>
            <w:r>
              <w:rPr/>
              <w:t>3.0;</w:t>
            </w:r>
            <w:r>
              <w:rPr/>
              <w:t>）</w:t>
            </w:r>
          </w:p>
        </w:tc>
        <w:tc>
          <w:tcPr>
            <w:tcW w:type="dxa" w:w="5076"/>
          </w:tcPr>
          <w:p>
            <w:pPr>
              <w:pStyle w:val="null3"/>
              <w:jc w:val="left"/>
            </w:pPr>
            <w:r>
              <w:rPr/>
              <w:t>根据投标人的认证情况进行评审： 1.网站相关的软件著作权； 2.质量管理体系认证证书； 每具有上述一类有效证书得1.5分，最高得3分。投标人需提供上述有效的认证证书或相关有效的证明材料并加盖投标人公章。</w:t>
            </w:r>
          </w:p>
        </w:tc>
      </w:tr>
      <w:tr>
        <w:tc>
          <w:tcPr>
            <w:tcW w:type="dxa" w:w="922"/>
            <w:gridSpan w:val="2"/>
            <w:vMerge/>
          </w:tcPr>
          <w:p/>
        </w:tc>
        <w:tc>
          <w:tcPr>
            <w:tcW w:type="dxa" w:w="2307"/>
          </w:tcPr>
          <w:p>
            <w:pPr>
              <w:pStyle w:val="null3"/>
              <w:jc w:val="left"/>
            </w:pPr>
            <w:r>
              <w:rPr/>
              <w:t>项目团队人员资质及经验 (10.0分)</w:t>
            </w:r>
          </w:p>
        </w:tc>
        <w:tc>
          <w:tcPr>
            <w:tcW w:type="dxa" w:w="5076"/>
          </w:tcPr>
          <w:p>
            <w:pPr>
              <w:pStyle w:val="null3"/>
              <w:jc w:val="left"/>
            </w:pPr>
            <w:r>
              <w:rPr/>
              <w:t>根据投标人拟投入本项目的团队人员情况进行评审： 1.团队人员的资质情况（本小项最高得3分）： （1）具有高级信息系统项目管理师证书； （2）具有系统分析师证书； （3）具有系统架构师证书； 团队人员中，每有1个具有上述任意一类证书的，得1分，最高得3分；同一人同时具有上述多类证书的，只计算1次。 注：需提供上述人员的证书复印件及近3个月内任意1个月在投标人单位购买社保的证明材料复印件。 2.团队人员经验情况（本小项最高得7分）： （1）美工设计人员：工作经验超过3年，每有一个团队成员满足该条件得1分，最高得2分。（需要提供对应人员的工作经验证明文件，例如工作证明、工作合同、社保证明等的复印件并加盖投标人公章）。 （2）本科或以上学历并且是美术类、或设计类相关专业（以毕业证专业为准），每有一位团队成员满足该条件得1分，最高得2分。（需要提供对应人员的学历证书以及近3个月内任意1个月在投标人单位购买社会证明的复印件并加盖投标人公章） （3）团队人员中同时满足上述序号1和序号2的要求，且成员人数大于或等于2名的，得3分。</w:t>
            </w:r>
          </w:p>
        </w:tc>
      </w:tr>
      <w:tr>
        <w:tc>
          <w:tcPr>
            <w:tcW w:type="dxa" w:w="922"/>
            <w:gridSpan w:val="2"/>
            <w:vMerge/>
          </w:tcPr>
          <w:p/>
        </w:tc>
        <w:tc>
          <w:tcPr>
            <w:tcW w:type="dxa" w:w="2307"/>
          </w:tcPr>
          <w:p>
            <w:pPr>
              <w:pStyle w:val="null3"/>
              <w:jc w:val="left"/>
            </w:pPr>
            <w:r>
              <w:rPr/>
              <w:t>官网类似业绩 (13.0分)</w:t>
            </w:r>
          </w:p>
        </w:tc>
        <w:tc>
          <w:tcPr>
            <w:tcW w:type="dxa" w:w="5076"/>
          </w:tcPr>
          <w:p>
            <w:pPr>
              <w:pStyle w:val="null3"/>
              <w:jc w:val="left"/>
            </w:pPr>
            <w:r>
              <w:rPr/>
              <w:t>投标人提供自2021年1月1日（以合同签订日期为准）起至今，以投标人名称独立承接的与本采购包组采购标的类似的官网类建设业绩，每提供一个业绩证明材料得1分，最高得13分。 注：需提供上述业绩的合同扫描件（包含合同首页、能体现服务内容的页面、签字盖章页等）并加盖投标人公章。</w:t>
            </w:r>
          </w:p>
        </w:tc>
      </w:tr>
      <w:tr>
        <w:tc>
          <w:tcPr>
            <w:tcW w:type="dxa" w:w="922"/>
            <w:gridSpan w:val="2"/>
            <w:vMerge/>
          </w:tcPr>
          <w:p/>
        </w:tc>
        <w:tc>
          <w:tcPr>
            <w:tcW w:type="dxa" w:w="2307"/>
          </w:tcPr>
          <w:p>
            <w:pPr>
              <w:pStyle w:val="null3"/>
              <w:jc w:val="left"/>
            </w:pPr>
            <w:r>
              <w:rPr/>
              <w:t>系统实施方案 (8.0分)</w:t>
            </w:r>
            <w:r>
              <w:rPr/>
              <w:t>，（等次分值选择：</w:t>
            </w:r>
            <w:r>
              <w:rPr/>
              <w:t>0.0;</w:t>
            </w:r>
            <w:r>
              <w:rPr/>
              <w:t>1.0;</w:t>
            </w:r>
            <w:r>
              <w:rPr/>
              <w:t>4.0;</w:t>
            </w:r>
            <w:r>
              <w:rPr/>
              <w:t>8.0;</w:t>
            </w:r>
            <w:r>
              <w:rPr/>
              <w:t>）</w:t>
            </w:r>
          </w:p>
        </w:tc>
        <w:tc>
          <w:tcPr>
            <w:tcW w:type="dxa" w:w="5076"/>
          </w:tcPr>
          <w:p>
            <w:pPr>
              <w:pStyle w:val="null3"/>
              <w:jc w:val="left"/>
            </w:pPr>
            <w:r>
              <w:rPr/>
              <w:t>根据投标人提供的系统实施方案（包括但不限于项目管理流程、项目质量保证措施、质量保障方案以及需求调研、系统开发、系统测试、系统上线等）进行评审： 1.项目管理流程有效，方案和计划的完善度高，项目开发时间计划及里程安排合理，具有可操作性；按照进度规划提供文档材料，与项目建设目标的一致性强，质量保障措施及方案编制内容完整、详细，得8分； 2.项目管理流程较有效，方案和计划完善，项目开发时间计划及里程安排有一定的合理性，具有一定的可操作性；基本按照进度规划提供文档材料，基本与项目建设目标的一致，质量保障措施及方案编制基本完整，得4分； 3.项目管理流程不效性不够，方案和计划的不够完善，项目开发时间计划及里程安排不够合理；与项目建设目标有一定的一致性，质量保障措施及方案不够完整，得1分； 4.未提供系统实施方案的，得0分。</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根据投标人提供的售后服务方案（包括但不限于售后服务要求、售后服务保障体系、售后服务响应及承诺等）进行评审： 1.具有详细的服务承诺，方案总体优秀，保障体系全面、维护响应及时，得6分； 2.有服务承诺，方案总体良好，有一定的保障体系、维护响应及时，得3分； 3.有服务承诺，方案总体一般，保障体系描述不清、维护响应及时，得1分。 4.无提供或其他情况，得0分。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采购包4(安全阀校验信息化平台建设项目):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现场演示 (25.0分)</w:t>
            </w:r>
          </w:p>
        </w:tc>
        <w:tc>
          <w:tcPr>
            <w:tcW w:type="dxa" w:w="5076"/>
          </w:tcPr>
          <w:p>
            <w:pPr>
              <w:pStyle w:val="null3"/>
              <w:jc w:val="left"/>
            </w:pPr>
            <w:r>
              <w:rPr/>
              <w:t>根据投标人的演示情况进行评审： 1.对安全阀基础资料演示，包括但不限于以下内容：安全阀信息查询、安全阀详情查询，每有一项完全符合要求的得2.5分，最高得5分； 2.对安全阀校验信息演示，包括但不限于以下内容：安全阀校验信息查询、安全阀校验详情查询，每有一项完全符合要求的得2.5分，最高得5分； 3.对使用单位信息演示，包括但不限于以下内容：使用单位信息查询，完全符合要求的得5分，最高得5分； 4.对Excel数据导入功能演示，包括但不限于以下内容：安全阀检验信息数据Excel上传与导入、不符合要求数据上传后弹窗提醒、校验信息收集日志查询，全部满足得5分，有任意一项不满足的不得分； 5.对校验数据分析查询演示，包括但不限于以下内容：使用单位安全阀总量、历史（日期范围）送检量、安全阀设备配比（最近一年安全阀校验数量/使用单位特种设备量）查询，全部满足得5分，有任意一项不满足的不得分。 注：未演示或用PPT、word、DEMO等演示形式的不得分。</w:t>
            </w:r>
          </w:p>
        </w:tc>
      </w:tr>
      <w:tr>
        <w:tc>
          <w:tcPr>
            <w:tcW w:type="dxa" w:w="922"/>
            <w:gridSpan w:val="2"/>
            <w:vMerge/>
          </w:tcPr>
          <w:p/>
        </w:tc>
        <w:tc>
          <w:tcPr>
            <w:tcW w:type="dxa" w:w="2307"/>
          </w:tcPr>
          <w:p>
            <w:pPr>
              <w:pStyle w:val="null3"/>
              <w:jc w:val="left"/>
            </w:pPr>
            <w:r>
              <w:rPr/>
              <w:t>系统功能设计方案 (10.0分)</w:t>
            </w:r>
            <w:r>
              <w:rPr/>
              <w:t>，（等次分值选择：</w:t>
            </w:r>
            <w:r>
              <w:rPr/>
              <w:t>0.0;</w:t>
            </w:r>
            <w:r>
              <w:rPr/>
              <w:t>2.0;</w:t>
            </w:r>
            <w:r>
              <w:rPr/>
              <w:t>6.0;</w:t>
            </w:r>
            <w:r>
              <w:rPr/>
              <w:t>10.0;</w:t>
            </w:r>
            <w:r>
              <w:rPr/>
              <w:t>）</w:t>
            </w:r>
          </w:p>
        </w:tc>
        <w:tc>
          <w:tcPr>
            <w:tcW w:type="dxa" w:w="5076"/>
          </w:tcPr>
          <w:p>
            <w:pPr>
              <w:pStyle w:val="null3"/>
              <w:jc w:val="left"/>
            </w:pPr>
            <w:r>
              <w:rPr/>
              <w:t>根据投标人提供的系统功能设计方案进行评审： 1.提供详细的功能设计方案，设计方案完全满足或优于采购需求、且页面设计简洁、科学、合理、便于使用，得10分； 2.提供有一定详细度的功能设计方案，设计方案基本满足采购需求、页面设计有一定的简洁度、科学性、合理性、便于使用，得6分； 3.提供的功能设计方案粗略，设计方案不能满足采购需求、页面设计不够简洁、不够科学、不够合理、使用不够方便，得2分； 4.无提供或其他情况，得0分。</w:t>
            </w:r>
          </w:p>
        </w:tc>
      </w:tr>
      <w:tr>
        <w:tc>
          <w:tcPr>
            <w:tcW w:type="dxa" w:w="922"/>
            <w:gridSpan w:val="2"/>
            <w:vMerge/>
          </w:tcPr>
          <w:p/>
        </w:tc>
        <w:tc>
          <w:tcPr>
            <w:tcW w:type="dxa" w:w="2307"/>
          </w:tcPr>
          <w:p>
            <w:pPr>
              <w:pStyle w:val="null3"/>
              <w:jc w:val="left"/>
            </w:pPr>
            <w:r>
              <w:rPr/>
              <w:t>系统技术设计方案 (10.0分)</w:t>
            </w:r>
            <w:r>
              <w:rPr/>
              <w:t>，（等次分值选择：</w:t>
            </w:r>
            <w:r>
              <w:rPr/>
              <w:t>0.0;</w:t>
            </w:r>
            <w:r>
              <w:rPr/>
              <w:t>1.0;</w:t>
            </w:r>
            <w:r>
              <w:rPr/>
              <w:t>5.0;</w:t>
            </w:r>
            <w:r>
              <w:rPr/>
              <w:t>10.0;</w:t>
            </w:r>
            <w:r>
              <w:rPr/>
              <w:t>）</w:t>
            </w:r>
          </w:p>
        </w:tc>
        <w:tc>
          <w:tcPr>
            <w:tcW w:type="dxa" w:w="5076"/>
          </w:tcPr>
          <w:p>
            <w:pPr>
              <w:pStyle w:val="null3"/>
              <w:jc w:val="left"/>
            </w:pPr>
            <w:r>
              <w:rPr/>
              <w:t>根据投标人提供的系统技术设计方案（包括但不限于系统设计思路、体系架构、技术路线）进行评审： 1.系统设计思路清晰、体系架构完善、技术路线科学，得10分； 2.系统设计思路清晰、体系架构有一定的完善度、技术路线有一定的科学，得5分； 3.系统设计思路不够清晰、体系架构不够完善、技术路线不够科学，得1分。 4.无提供或其他情况，得0分。</w:t>
            </w:r>
          </w:p>
        </w:tc>
      </w:tr>
      <w:tr>
        <w:tc>
          <w:tcPr>
            <w:tcW w:type="dxa" w:w="922"/>
            <w:gridSpan w:val="2"/>
            <w:vMerge/>
          </w:tcPr>
          <w:p/>
        </w:tc>
        <w:tc>
          <w:tcPr>
            <w:tcW w:type="dxa" w:w="2307"/>
          </w:tcPr>
          <w:p>
            <w:pPr>
              <w:pStyle w:val="null3"/>
              <w:jc w:val="left"/>
            </w:pPr>
            <w:r>
              <w:rPr/>
              <w:t>校验信息收集设计方案 (5.0分)</w:t>
            </w:r>
            <w:r>
              <w:rPr/>
              <w:t>，（等次分值选择：</w:t>
            </w:r>
            <w:r>
              <w:rPr/>
              <w:t>0.0;</w:t>
            </w:r>
            <w:r>
              <w:rPr/>
              <w:t>1.0;</w:t>
            </w:r>
            <w:r>
              <w:rPr/>
              <w:t>3.0;</w:t>
            </w:r>
            <w:r>
              <w:rPr/>
              <w:t>5.0;</w:t>
            </w:r>
            <w:r>
              <w:rPr/>
              <w:t>）</w:t>
            </w:r>
          </w:p>
        </w:tc>
        <w:tc>
          <w:tcPr>
            <w:tcW w:type="dxa" w:w="5076"/>
          </w:tcPr>
          <w:p>
            <w:pPr>
              <w:pStyle w:val="null3"/>
              <w:jc w:val="left"/>
            </w:pPr>
            <w:r>
              <w:rPr/>
              <w:t>根据投标人提供的校验信息收集设计方案（包括但不限于校验信息收集设计思路、接口文档、数据模板设计）进行评审： 1.校验信息收集设计思路清晰、接口文档完善、Excel数据模板设计合理，得5分； 2.校验信息收集设计思路清晰、接口文档有一定的完善度、Excel数据模板设计有一定的合理性，得3分； 3.校验信息收集设计思路不够清晰、接口文档不够完善、Excel数据模板设计不够合理，得1分； 4.无提供或其他情况，得0分。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投标人认证情况 (5.0分)</w:t>
            </w:r>
            <w:r>
              <w:rPr/>
              <w:t>，（等次分值选择：</w:t>
            </w:r>
            <w:r>
              <w:rPr/>
              <w:t>0.0;</w:t>
            </w:r>
            <w:r>
              <w:rPr/>
              <w:t>2.5;</w:t>
            </w:r>
            <w:r>
              <w:rPr/>
              <w:t>5.0;</w:t>
            </w:r>
            <w:r>
              <w:rPr/>
              <w:t>）</w:t>
            </w:r>
          </w:p>
        </w:tc>
        <w:tc>
          <w:tcPr>
            <w:tcW w:type="dxa" w:w="5076"/>
          </w:tcPr>
          <w:p>
            <w:pPr>
              <w:pStyle w:val="null3"/>
              <w:jc w:val="left"/>
            </w:pPr>
            <w:r>
              <w:rPr/>
              <w:t>投标人获得安全阀校验系统及相关的软件著作权证书，每提供一份有效的软件著作权证书得2.5分，最高得5分。 注：需提供上述证书的复印件并加盖投标人公章。</w:t>
            </w:r>
          </w:p>
        </w:tc>
      </w:tr>
      <w:tr>
        <w:tc>
          <w:tcPr>
            <w:tcW w:type="dxa" w:w="922"/>
            <w:gridSpan w:val="2"/>
            <w:vMerge/>
          </w:tcPr>
          <w:p/>
        </w:tc>
        <w:tc>
          <w:tcPr>
            <w:tcW w:type="dxa" w:w="2307"/>
          </w:tcPr>
          <w:p>
            <w:pPr>
              <w:pStyle w:val="null3"/>
              <w:jc w:val="left"/>
            </w:pPr>
            <w:r>
              <w:rPr/>
              <w:t>同类项目业绩 (18.0分)</w:t>
            </w:r>
          </w:p>
        </w:tc>
        <w:tc>
          <w:tcPr>
            <w:tcW w:type="dxa" w:w="5076"/>
          </w:tcPr>
          <w:p>
            <w:pPr>
              <w:pStyle w:val="null3"/>
              <w:jc w:val="left"/>
            </w:pPr>
            <w:r>
              <w:rPr/>
              <w:t>投标人提供自2020年1月1日至今（以合同签订日期为准），以投标人名义独立承接的安全阀校验信息化系统新建、改造或升级相关业绩，每提供一份业绩证明材料得3分，最高得18分。 注：需提供上述业绩的合同复印件并加盖投标人公章。</w:t>
            </w:r>
          </w:p>
        </w:tc>
      </w:tr>
      <w:tr>
        <w:tc>
          <w:tcPr>
            <w:tcW w:type="dxa" w:w="922"/>
            <w:gridSpan w:val="2"/>
            <w:vMerge/>
          </w:tcPr>
          <w:p/>
        </w:tc>
        <w:tc>
          <w:tcPr>
            <w:tcW w:type="dxa" w:w="2307"/>
          </w:tcPr>
          <w:p>
            <w:pPr>
              <w:pStyle w:val="null3"/>
              <w:jc w:val="left"/>
            </w:pPr>
            <w:r>
              <w:rPr/>
              <w:t>用户满意度评价 (12.0分)</w:t>
            </w:r>
          </w:p>
        </w:tc>
        <w:tc>
          <w:tcPr>
            <w:tcW w:type="dxa" w:w="5076"/>
          </w:tcPr>
          <w:p>
            <w:pPr>
              <w:pStyle w:val="null3"/>
              <w:jc w:val="left"/>
            </w:pPr>
            <w:r>
              <w:rPr/>
              <w:t>投标人所承接的上述被判定为有效的“同类项目业绩”中，获得客户（或用户单位）出具的满意度评价，评价情况至少须为“好评”或“满意”“或优秀”或类似好评的方可计分，每提供1份证明材料得2分，最高得12分</w:t>
            </w:r>
          </w:p>
        </w:tc>
      </w:tr>
      <w:tr>
        <w:tc>
          <w:tcPr>
            <w:tcW w:type="dxa" w:w="922"/>
            <w:gridSpan w:val="2"/>
            <w:vMerge/>
          </w:tcPr>
          <w:p/>
        </w:tc>
        <w:tc>
          <w:tcPr>
            <w:tcW w:type="dxa" w:w="2307"/>
          </w:tcPr>
          <w:p>
            <w:pPr>
              <w:pStyle w:val="null3"/>
              <w:jc w:val="left"/>
            </w:pPr>
            <w:r>
              <w:rPr/>
              <w:t>售后服务 (5.0分)</w:t>
            </w:r>
            <w:r>
              <w:rPr/>
              <w:t>，（等次分值选择：</w:t>
            </w:r>
            <w:r>
              <w:rPr/>
              <w:t>0.0;</w:t>
            </w:r>
            <w:r>
              <w:rPr/>
              <w:t>1.0;</w:t>
            </w:r>
            <w:r>
              <w:rPr/>
              <w:t>3.0;</w:t>
            </w:r>
            <w:r>
              <w:rPr/>
              <w:t>5.0;</w:t>
            </w:r>
            <w:r>
              <w:rPr/>
              <w:t>）</w:t>
            </w:r>
          </w:p>
        </w:tc>
        <w:tc>
          <w:tcPr>
            <w:tcW w:type="dxa" w:w="5076"/>
          </w:tcPr>
          <w:p>
            <w:pPr>
              <w:pStyle w:val="null3"/>
              <w:jc w:val="left"/>
            </w:pPr>
            <w:r>
              <w:rPr/>
              <w:t>根据投标人提供的售后服务方案（包括但不限于售后服务要求、售后服务保障体系、售后服务响应及承诺等）进行评审： 1.具有详细的服务承诺，方案总体优秀，保障体系全面、维护响应及时，得5分； 2.有服务承诺，方案总体良好，有一定的保障体系、维护响应及时，得3分； 3.有服务承诺，方案总体一般，保障体系描述不清、维护响应及时，得1分。 4.无提供或其他情况，得0分。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pPr>
      <w:r>
        <w:rPr/>
        <w:t>采购包4：</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t xml:space="preserve"> </w:t>
      </w:r>
    </w:p>
    <w:p>
      <w:pPr>
        <w:pStyle w:val="null3"/>
        <w:spacing w:before="0" w:after="0"/>
        <w:ind w:left="0" w:right="0"/>
        <w:jc w:val="both"/>
      </w:pPr>
      <w:r>
        <w:rPr/>
        <w:t xml:space="preserve"> </w:t>
      </w:r>
    </w:p>
    <w:p>
      <w:pPr>
        <w:pStyle w:val="null3"/>
        <w:jc w:val="both"/>
      </w:pPr>
      <w:r>
        <w:rPr>
          <w:sz w:val="21"/>
          <w:b/>
        </w:rPr>
        <w:t>甲</w:t>
      </w:r>
      <w:r>
        <w:rPr>
          <w:sz w:val="21"/>
          <w:b/>
        </w:rPr>
        <w:t xml:space="preserve">  </w:t>
      </w:r>
      <w:r>
        <w:rPr>
          <w:sz w:val="21"/>
          <w:b/>
        </w:rPr>
        <w:t>方：</w:t>
      </w:r>
      <w:r>
        <w:rPr>
          <w:sz w:val="21"/>
          <w:u w:val="single"/>
        </w:rPr>
        <w:t>广东省特种设备检测研究院</w:t>
      </w:r>
    </w:p>
    <w:p>
      <w:pPr>
        <w:pStyle w:val="null3"/>
        <w:jc w:val="both"/>
      </w:pPr>
      <w:r>
        <w:rPr>
          <w:sz w:val="21"/>
          <w:b/>
        </w:rPr>
        <w:t>电</w:t>
      </w:r>
      <w:r>
        <w:rPr>
          <w:sz w:val="21"/>
          <w:b/>
        </w:rPr>
        <w:t xml:space="preserve">  </w:t>
      </w:r>
      <w:r>
        <w:rPr>
          <w:sz w:val="21"/>
          <w:b/>
        </w:rPr>
        <w:t>话：</w:t>
      </w:r>
      <w:r>
        <w:rPr>
          <w:sz w:val="21"/>
          <w:u w:val="single"/>
        </w:rPr>
        <w:t xml:space="preserve">0757-66867454           </w:t>
      </w:r>
    </w:p>
    <w:p>
      <w:pPr>
        <w:pStyle w:val="null3"/>
        <w:jc w:val="both"/>
      </w:pPr>
      <w:r>
        <w:rPr>
          <w:sz w:val="21"/>
          <w:b/>
        </w:rPr>
        <w:t>地</w:t>
      </w:r>
      <w:r>
        <w:rPr>
          <w:sz w:val="21"/>
          <w:b/>
        </w:rPr>
        <w:t xml:space="preserve">  </w:t>
      </w:r>
      <w:r>
        <w:rPr>
          <w:sz w:val="21"/>
          <w:b/>
        </w:rPr>
        <w:t>址：</w:t>
      </w:r>
      <w:r>
        <w:rPr>
          <w:sz w:val="21"/>
          <w:u w:val="single"/>
        </w:rPr>
        <w:t>佛山市南海区桂城街道环岛南路</w:t>
      </w:r>
      <w:r>
        <w:rPr>
          <w:sz w:val="21"/>
          <w:u w:val="single"/>
        </w:rPr>
        <w:t>111号</w:t>
      </w:r>
    </w:p>
    <w:p>
      <w:pPr>
        <w:pStyle w:val="null3"/>
        <w:jc w:val="both"/>
      </w:pPr>
      <w:r>
        <w:rPr>
          <w:sz w:val="21"/>
          <w:b/>
        </w:rPr>
        <w:t>乙</w:t>
      </w:r>
      <w:r>
        <w:rPr>
          <w:sz w:val="21"/>
          <w:b/>
        </w:rPr>
        <w:t xml:space="preserve">  </w:t>
      </w:r>
      <w:r>
        <w:rPr>
          <w:sz w:val="21"/>
          <w:b/>
        </w:rPr>
        <w:t>方：</w:t>
      </w:r>
      <w:r>
        <w:rPr>
          <w:sz w:val="21"/>
          <w:b/>
          <w:u w:val="single"/>
        </w:rPr>
        <w:t xml:space="preserve">                           </w:t>
      </w:r>
    </w:p>
    <w:p>
      <w:pPr>
        <w:pStyle w:val="null3"/>
        <w:jc w:val="both"/>
      </w:pPr>
      <w:r>
        <w:rPr>
          <w:sz w:val="21"/>
          <w:b/>
        </w:rPr>
        <w:t>电</w:t>
      </w:r>
      <w:r>
        <w:rPr>
          <w:sz w:val="21"/>
          <w:b/>
        </w:rPr>
        <w:t xml:space="preserve">  </w:t>
      </w:r>
      <w:r>
        <w:rPr>
          <w:sz w:val="21"/>
          <w:b/>
        </w:rPr>
        <w:t>话：</w:t>
      </w:r>
      <w:r>
        <w:rPr>
          <w:sz w:val="21"/>
          <w:b/>
          <w:u w:val="single"/>
        </w:rPr>
        <w:t xml:space="preserve">                           </w:t>
      </w:r>
    </w:p>
    <w:p>
      <w:pPr>
        <w:pStyle w:val="null3"/>
        <w:jc w:val="both"/>
      </w:pPr>
      <w:r>
        <w:rPr>
          <w:sz w:val="21"/>
          <w:b/>
        </w:rPr>
        <w:t>地</w:t>
      </w:r>
      <w:r>
        <w:rPr>
          <w:sz w:val="21"/>
          <w:b/>
        </w:rPr>
        <w:t xml:space="preserve">  </w:t>
      </w:r>
      <w:r>
        <w:rPr>
          <w:sz w:val="21"/>
          <w:b/>
        </w:rPr>
        <w:t>址：</w:t>
      </w:r>
      <w:r>
        <w:rPr>
          <w:sz w:val="21"/>
          <w:b/>
          <w:u w:val="single"/>
        </w:rPr>
        <w:t xml:space="preserve">                           </w:t>
      </w:r>
    </w:p>
    <w:p>
      <w:pPr>
        <w:pStyle w:val="null3"/>
        <w:jc w:val="both"/>
      </w:pPr>
      <w:r>
        <w:rPr>
          <w:sz w:val="21"/>
        </w:rPr>
        <w:t>根据</w:t>
      </w:r>
      <w:r>
        <w:rPr>
          <w:sz w:val="21"/>
          <w:u w:val="single"/>
        </w:rPr>
        <w:t xml:space="preserve">                   </w:t>
      </w:r>
      <w:r>
        <w:rPr>
          <w:sz w:val="21"/>
        </w:rPr>
        <w:t>项目（项目编号：</w:t>
      </w:r>
      <w:r>
        <w:rPr>
          <w:sz w:val="21"/>
          <w:u w:val="single"/>
        </w:rPr>
        <w:t xml:space="preserve">               </w:t>
      </w:r>
      <w:r>
        <w:rPr>
          <w:sz w:val="21"/>
        </w:rPr>
        <w:t>）的采购结果，按照《中华人民共和国政府采购法》的规定，经双方协商，本着平等互利和诚实信用的原则，一致同意签订本合同如下。</w:t>
      </w:r>
    </w:p>
    <w:p>
      <w:pPr>
        <w:pStyle w:val="null3"/>
        <w:jc w:val="both"/>
      </w:pPr>
      <w:r>
        <w:rPr>
          <w:sz w:val="21"/>
          <w:b/>
        </w:rPr>
        <w:t>一、</w:t>
      </w:r>
      <w:r>
        <w:rPr>
          <w:sz w:val="21"/>
          <w:b/>
        </w:rPr>
        <w:t>合同标的、数量</w:t>
      </w:r>
    </w:p>
    <w:tbl>
      <w:tblPr>
        <w:tblW w:w="0" w:type="auto"/>
        <w:tblBorders>
          <w:top w:val="none" w:color="000000" w:sz="4"/>
          <w:left w:val="none" w:color="000000" w:sz="4"/>
          <w:bottom w:val="none" w:color="000000" w:sz="4"/>
          <w:right w:val="none" w:color="000000" w:sz="4"/>
          <w:insideH w:val="none"/>
          <w:insideV w:val="none"/>
        </w:tblBorders>
      </w:tblPr>
      <w:tblGrid>
        <w:gridCol w:w="766"/>
        <w:gridCol w:w="6481"/>
        <w:gridCol w:w="712"/>
      </w:tblGrid>
      <w:tr>
        <w:tc>
          <w:tcPr>
            <w:tcW w:type="dxa" w:w="7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64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合同标的</w:t>
            </w:r>
          </w:p>
        </w:tc>
        <w:tc>
          <w:tcPr>
            <w:tcW w:type="dxa" w:w="7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二、</w:t>
      </w:r>
      <w:r>
        <w:rPr>
          <w:sz w:val="21"/>
          <w:b/>
        </w:rPr>
        <w:t>服务期限及服务地点</w:t>
      </w:r>
    </w:p>
    <w:p>
      <w:pPr>
        <w:pStyle w:val="null3"/>
        <w:ind w:firstLine="420"/>
        <w:jc w:val="both"/>
      </w:pPr>
      <w:r>
        <w:rPr>
          <w:sz w:val="21"/>
        </w:rPr>
        <w:t>1.服务期限：</w:t>
      </w:r>
    </w:p>
    <w:p>
      <w:pPr>
        <w:pStyle w:val="null3"/>
        <w:ind w:firstLine="420"/>
        <w:jc w:val="both"/>
      </w:pPr>
      <w:r>
        <w:rPr>
          <w:sz w:val="21"/>
        </w:rPr>
        <w:t>2.服务地点：甲方指定地点。</w:t>
      </w:r>
    </w:p>
    <w:p>
      <w:pPr>
        <w:pStyle w:val="null3"/>
        <w:jc w:val="both"/>
      </w:pPr>
      <w:r>
        <w:rPr>
          <w:sz w:val="21"/>
          <w:b/>
        </w:rPr>
        <w:t>三、</w:t>
      </w:r>
      <w:r>
        <w:rPr>
          <w:sz w:val="21"/>
          <w:b/>
        </w:rPr>
        <w:t>合同金额</w:t>
      </w:r>
    </w:p>
    <w:p>
      <w:pPr>
        <w:pStyle w:val="null3"/>
        <w:ind w:firstLine="480"/>
        <w:jc w:val="both"/>
      </w:pPr>
      <w:r>
        <w:rPr>
          <w:sz w:val="21"/>
        </w:rPr>
        <w:t>合同金额为（大写）：</w:t>
      </w:r>
      <w:r>
        <w:rPr>
          <w:sz w:val="21"/>
          <w:u w:val="single"/>
        </w:rPr>
        <w:t xml:space="preserve">           </w:t>
      </w:r>
      <w:r>
        <w:rPr>
          <w:sz w:val="21"/>
        </w:rPr>
        <w:t>元（￥</w:t>
      </w:r>
      <w:r>
        <w:rPr>
          <w:sz w:val="21"/>
          <w:u w:val="single"/>
        </w:rPr>
        <w:t xml:space="preserve">             </w:t>
      </w:r>
      <w:r>
        <w:rPr>
          <w:sz w:val="21"/>
        </w:rPr>
        <w:t>元）人民币。</w:t>
      </w:r>
    </w:p>
    <w:p>
      <w:pPr>
        <w:pStyle w:val="null3"/>
        <w:ind w:firstLine="480"/>
        <w:jc w:val="both"/>
      </w:pPr>
      <w:r>
        <w:rPr>
          <w:sz w:val="21"/>
        </w:rPr>
        <w:t>注：合同总价包括安装调试、培训、各项税费及合同实施过程中不可预见费用等相关服务的全部费用。乙方应自行核算项目正常、合法运作及使用所必需的费用，如出现任何遗漏内容需产生额外费用，均由乙方自行承担，甲方将不再另行支付任何费用。</w:t>
      </w:r>
    </w:p>
    <w:p>
      <w:pPr>
        <w:pStyle w:val="null3"/>
        <w:jc w:val="both"/>
      </w:pPr>
      <w:r>
        <w:rPr>
          <w:sz w:val="21"/>
          <w:b/>
        </w:rPr>
        <w:t>四、</w:t>
      </w:r>
      <w:r>
        <w:rPr>
          <w:sz w:val="21"/>
          <w:b/>
        </w:rPr>
        <w:t>服务内容</w:t>
      </w:r>
    </w:p>
    <w:p>
      <w:pPr>
        <w:pStyle w:val="null3"/>
        <w:ind w:firstLine="420"/>
        <w:jc w:val="both"/>
      </w:pPr>
      <w:r>
        <w:rPr>
          <w:sz w:val="21"/>
        </w:rPr>
        <w:t>详见附件《</w:t>
      </w:r>
      <w:r>
        <w:rPr>
          <w:sz w:val="21"/>
        </w:rPr>
        <w:t xml:space="preserve">        </w:t>
      </w:r>
      <w:r>
        <w:rPr>
          <w:sz w:val="21"/>
        </w:rPr>
        <w:t>技术协议》。</w:t>
      </w:r>
    </w:p>
    <w:p>
      <w:pPr>
        <w:pStyle w:val="null3"/>
        <w:jc w:val="both"/>
      </w:pPr>
      <w:r>
        <w:rPr>
          <w:sz w:val="21"/>
          <w:b/>
        </w:rPr>
        <w:t>五、</w:t>
      </w:r>
      <w:r>
        <w:rPr>
          <w:sz w:val="21"/>
          <w:b/>
        </w:rPr>
        <w:t>双方的权利和义务</w:t>
      </w:r>
    </w:p>
    <w:p>
      <w:pPr>
        <w:pStyle w:val="null3"/>
        <w:ind w:firstLine="420"/>
        <w:jc w:val="both"/>
      </w:pPr>
      <w:r>
        <w:rPr>
          <w:sz w:val="21"/>
        </w:rPr>
        <w:t>（一）甲方的权利和义务</w:t>
      </w:r>
    </w:p>
    <w:p>
      <w:pPr>
        <w:pStyle w:val="null3"/>
        <w:ind w:firstLine="420"/>
        <w:jc w:val="both"/>
      </w:pPr>
      <w:r>
        <w:rPr>
          <w:sz w:val="21"/>
        </w:rPr>
        <w:t>1.甲方派出业务人员配合乙方完成本系统的业务需求分析，按期按质向乙方提供与系统实施相关的业务和技术资料，及时组织人员对项目开展验收工作。如因甲方原因导致实施工作延迟或停顿的，由甲方承担责任。</w:t>
      </w:r>
    </w:p>
    <w:p>
      <w:pPr>
        <w:pStyle w:val="null3"/>
        <w:ind w:firstLine="420"/>
        <w:jc w:val="both"/>
      </w:pPr>
      <w:r>
        <w:rPr>
          <w:sz w:val="21"/>
        </w:rPr>
        <w:t>2.甲方统筹项目开展，有权在系统实施过程中对乙方的开发工作进行督导。在系统实施和试运行期间，甲方需定期进行审计和阶段评估。</w:t>
      </w:r>
    </w:p>
    <w:p>
      <w:pPr>
        <w:pStyle w:val="null3"/>
        <w:ind w:firstLine="420"/>
        <w:jc w:val="both"/>
      </w:pPr>
      <w:r>
        <w:rPr>
          <w:sz w:val="21"/>
        </w:rPr>
        <w:t>3.未经乙方书面许可，甲方不得将涉及本项目的任何技术资料，包括系统设计说明书、系统详细设计说明书、数据库结构说明书、技术方案等透露或以其他方式提供给合同以外的其他方。</w:t>
      </w:r>
    </w:p>
    <w:p>
      <w:pPr>
        <w:pStyle w:val="null3"/>
        <w:ind w:firstLine="420"/>
        <w:jc w:val="both"/>
      </w:pPr>
      <w:r>
        <w:rPr>
          <w:sz w:val="21"/>
        </w:rPr>
        <w:t>（二）乙方的权利和义务</w:t>
      </w:r>
    </w:p>
    <w:p>
      <w:pPr>
        <w:pStyle w:val="null3"/>
        <w:ind w:firstLine="420"/>
        <w:jc w:val="both"/>
      </w:pPr>
      <w:r>
        <w:rPr>
          <w:sz w:val="21"/>
        </w:rPr>
        <w:t>1.乙方按本合同“服务内容”的要求，按时、按质、按量完成所有服务内容，如因乙方原因导致开发和实施工作延迟或停顿的，由乙方承担责任。</w:t>
      </w:r>
    </w:p>
    <w:p>
      <w:pPr>
        <w:pStyle w:val="null3"/>
        <w:ind w:firstLine="420"/>
        <w:jc w:val="both"/>
      </w:pPr>
      <w:r>
        <w:rPr>
          <w:sz w:val="21"/>
        </w:rPr>
        <w:t>2.乙方须成立项目组，向甲方提供参与本项目的人员名单、资历及在项目中所承担的职责，与甲方就项目细节等方面进行及时沟通。乙方需做好项目实施管理和项目人员管理，根据项目管理需要定期召开项目例会并向甲方通报项目进度，及时调整项目计划以保证项目按期按质完成。</w:t>
      </w:r>
    </w:p>
    <w:p>
      <w:pPr>
        <w:pStyle w:val="null3"/>
        <w:ind w:firstLine="420"/>
        <w:jc w:val="both"/>
      </w:pPr>
      <w:r>
        <w:rPr>
          <w:sz w:val="21"/>
        </w:rPr>
        <w:t>3.乙方向甲方公开本次项目系统改造有关技术细节，提供必要的技术资料，并向甲方相关人员提供培训和技术支持，确保甲方受训人员理解并掌握操作、管理和维护系统相关技术。</w:t>
      </w:r>
    </w:p>
    <w:p>
      <w:pPr>
        <w:pStyle w:val="null3"/>
        <w:ind w:firstLine="420"/>
        <w:jc w:val="both"/>
      </w:pPr>
      <w:r>
        <w:rPr>
          <w:sz w:val="21"/>
        </w:rPr>
        <w:t>4.乙方保证所提供的服务不侵犯任何第三方的专利、商标或版权，否则，乙方须承担对第三方的专利或版权的侵权责任并承担因此给甲方造成的一切损失。</w:t>
      </w:r>
    </w:p>
    <w:p>
      <w:pPr>
        <w:pStyle w:val="null3"/>
        <w:ind w:firstLine="420"/>
        <w:jc w:val="both"/>
      </w:pPr>
      <w:r>
        <w:rPr>
          <w:sz w:val="21"/>
        </w:rPr>
        <w:t>5.乙方应协助甲方完成相关项目验收工作，包括收集、整理验收所需文档资料，检查验收所需文档资料是否齐全、内容是否完备。</w:t>
      </w:r>
    </w:p>
    <w:p>
      <w:pPr>
        <w:pStyle w:val="null3"/>
        <w:ind w:firstLine="420"/>
        <w:jc w:val="both"/>
      </w:pPr>
      <w:r>
        <w:rPr>
          <w:sz w:val="21"/>
        </w:rPr>
        <w:t>6.未经甲方书面同意，乙方不得将合同的全部或部分项目转包分包给其他公司和个人。</w:t>
      </w:r>
    </w:p>
    <w:p>
      <w:pPr>
        <w:pStyle w:val="null3"/>
        <w:jc w:val="both"/>
      </w:pPr>
      <w:r>
        <w:rPr>
          <w:sz w:val="21"/>
          <w:b/>
        </w:rPr>
        <w:t>六、</w:t>
      </w:r>
      <w:r>
        <w:rPr>
          <w:sz w:val="21"/>
          <w:b/>
        </w:rPr>
        <w:t>付款方式</w:t>
      </w:r>
    </w:p>
    <w:p>
      <w:pPr>
        <w:pStyle w:val="null3"/>
        <w:ind w:firstLine="420"/>
        <w:jc w:val="both"/>
      </w:pPr>
      <w:r>
        <w:rPr>
          <w:sz w:val="21"/>
        </w:rPr>
        <w:t>1.付款</w:t>
      </w:r>
    </w:p>
    <w:p>
      <w:pPr>
        <w:pStyle w:val="null3"/>
        <w:ind w:firstLine="420"/>
        <w:jc w:val="both"/>
      </w:pPr>
      <w:r>
        <w:rPr>
          <w:sz w:val="21"/>
        </w:rPr>
        <w:t>付款方式按照以下第</w:t>
      </w:r>
      <w:r>
        <w:rPr>
          <w:sz w:val="21"/>
          <w:u w:val="single"/>
        </w:rPr>
        <w:t xml:space="preserve">     </w:t>
      </w:r>
      <w:r>
        <w:rPr>
          <w:sz w:val="21"/>
        </w:rPr>
        <w:t>种方式进行：</w:t>
      </w:r>
    </w:p>
    <w:p>
      <w:pPr>
        <w:pStyle w:val="null3"/>
        <w:jc w:val="both"/>
      </w:pPr>
      <w:r>
        <w:rPr>
          <w:sz w:val="21"/>
        </w:rPr>
        <w:t>（一）</w:t>
      </w:r>
    </w:p>
    <w:p>
      <w:pPr>
        <w:pStyle w:val="null3"/>
        <w:ind w:firstLine="420"/>
        <w:jc w:val="both"/>
      </w:pPr>
      <w:r>
        <w:rPr>
          <w:sz w:val="21"/>
        </w:rPr>
        <w:t>（</w:t>
      </w:r>
      <w:r>
        <w:rPr>
          <w:sz w:val="21"/>
        </w:rPr>
        <w:t>1）本项目合同签署生效后</w:t>
      </w:r>
      <w:r>
        <w:rPr>
          <w:sz w:val="21"/>
          <w:u w:val="single"/>
        </w:rPr>
        <w:t xml:space="preserve">    </w:t>
      </w:r>
      <w:r>
        <w:rPr>
          <w:sz w:val="21"/>
        </w:rPr>
        <w:t>日内，乙方向甲方支付合同总价</w:t>
      </w:r>
      <w:r>
        <w:rPr>
          <w:sz w:val="21"/>
          <w:u w:val="single"/>
        </w:rPr>
        <w:t xml:space="preserve">    </w:t>
      </w:r>
      <w:r>
        <w:rPr>
          <w:sz w:val="21"/>
        </w:rPr>
        <w:t>的履约保证金，甲方收到乙方提供的合同总价的</w:t>
      </w:r>
      <w:r>
        <w:rPr>
          <w:sz w:val="21"/>
          <w:u w:val="single"/>
        </w:rPr>
        <w:t xml:space="preserve">    </w:t>
      </w:r>
      <w:r>
        <w:rPr>
          <w:sz w:val="21"/>
          <w:u w:val="single"/>
        </w:rPr>
        <w:t>（</w:t>
      </w:r>
      <w:r>
        <w:rPr>
          <w:sz w:val="21"/>
        </w:rPr>
        <w:t>增值税专用</w:t>
      </w:r>
      <w:r>
        <w:rPr>
          <w:sz w:val="21"/>
        </w:rPr>
        <w:t>/普通二选一）发票后，</w:t>
      </w:r>
      <w:r>
        <w:rPr>
          <w:sz w:val="21"/>
          <w:u w:val="single"/>
        </w:rPr>
        <w:t xml:space="preserve">    </w:t>
      </w:r>
      <w:r>
        <w:rPr>
          <w:sz w:val="21"/>
        </w:rPr>
        <w:t>日内向乙方支付合同总价的</w:t>
      </w:r>
      <w:r>
        <w:rPr>
          <w:sz w:val="21"/>
          <w:u w:val="single"/>
        </w:rPr>
        <w:t xml:space="preserve">    </w:t>
      </w:r>
      <w:r>
        <w:rPr>
          <w:sz w:val="21"/>
        </w:rPr>
        <w:t>作为本项目预付款；</w:t>
      </w:r>
    </w:p>
    <w:p>
      <w:pPr>
        <w:pStyle w:val="null3"/>
        <w:ind w:firstLine="420"/>
        <w:jc w:val="both"/>
      </w:pPr>
      <w:r>
        <w:rPr>
          <w:sz w:val="21"/>
        </w:rPr>
        <w:t>（</w:t>
      </w:r>
      <w:r>
        <w:rPr>
          <w:sz w:val="21"/>
        </w:rPr>
        <w:t>2）项目建设完成后上线试运行</w:t>
      </w:r>
      <w:r>
        <w:rPr>
          <w:sz w:val="21"/>
          <w:u w:val="single"/>
        </w:rPr>
        <w:t xml:space="preserve">   </w:t>
      </w:r>
      <w:r>
        <w:rPr>
          <w:sz w:val="21"/>
          <w:u w:val="single"/>
        </w:rPr>
        <w:t>个</w:t>
      </w:r>
      <w:r>
        <w:rPr>
          <w:sz w:val="21"/>
        </w:rPr>
        <w:t>月，甲方收到乙方开具的合同总价的</w:t>
      </w:r>
      <w:r>
        <w:rPr>
          <w:sz w:val="21"/>
          <w:u w:val="single"/>
        </w:rPr>
        <w:t xml:space="preserve">   </w:t>
      </w:r>
      <w:r>
        <w:rPr>
          <w:sz w:val="21"/>
          <w:u w:val="single"/>
        </w:rPr>
        <w:t>（</w:t>
      </w:r>
      <w:r>
        <w:rPr>
          <w:sz w:val="21"/>
        </w:rPr>
        <w:t>增值税专用</w:t>
      </w:r>
      <w:r>
        <w:rPr>
          <w:sz w:val="21"/>
        </w:rPr>
        <w:t>/普通二选一）发票后，</w:t>
      </w:r>
      <w:r>
        <w:rPr>
          <w:sz w:val="21"/>
          <w:u w:val="single"/>
        </w:rPr>
        <w:t xml:space="preserve">  </w:t>
      </w:r>
      <w:r>
        <w:rPr>
          <w:sz w:val="21"/>
        </w:rPr>
        <w:t>日内向乙方支付合同总价的</w:t>
      </w:r>
      <w:r>
        <w:rPr>
          <w:sz w:val="21"/>
          <w:u w:val="single"/>
        </w:rPr>
        <w:t xml:space="preserve">    </w:t>
      </w:r>
      <w:r>
        <w:rPr>
          <w:sz w:val="21"/>
        </w:rPr>
        <w:t>。</w:t>
      </w:r>
    </w:p>
    <w:p>
      <w:pPr>
        <w:pStyle w:val="null3"/>
        <w:ind w:firstLine="420"/>
        <w:jc w:val="both"/>
      </w:pPr>
      <w:r>
        <w:rPr>
          <w:sz w:val="21"/>
        </w:rPr>
        <w:t>（</w:t>
      </w:r>
      <w:r>
        <w:rPr>
          <w:sz w:val="21"/>
        </w:rPr>
        <w:t>3）项目通过甲方组织的验收合格后，甲方收到乙方开具的合同总价的</w:t>
      </w:r>
      <w:r>
        <w:rPr>
          <w:sz w:val="21"/>
          <w:u w:val="single"/>
        </w:rPr>
        <w:t xml:space="preserve">   </w:t>
      </w:r>
      <w:r>
        <w:rPr>
          <w:sz w:val="21"/>
          <w:u w:val="single"/>
        </w:rPr>
        <w:t>（</w:t>
      </w:r>
      <w:r>
        <w:rPr>
          <w:sz w:val="21"/>
        </w:rPr>
        <w:t>增值税专用</w:t>
      </w:r>
      <w:r>
        <w:rPr>
          <w:sz w:val="21"/>
        </w:rPr>
        <w:t>/普通二选一）发票后，</w:t>
      </w:r>
      <w:r>
        <w:rPr>
          <w:sz w:val="21"/>
          <w:u w:val="single"/>
        </w:rPr>
        <w:t xml:space="preserve">   </w:t>
      </w:r>
      <w:r>
        <w:rPr>
          <w:sz w:val="21"/>
        </w:rPr>
        <w:t>日内由甲方向乙方支付合同总价的</w:t>
      </w:r>
      <w:r>
        <w:rPr>
          <w:sz w:val="21"/>
          <w:u w:val="single"/>
        </w:rPr>
        <w:t xml:space="preserve">    </w:t>
      </w:r>
      <w:r>
        <w:rPr>
          <w:sz w:val="21"/>
        </w:rPr>
        <w:t>。</w:t>
      </w:r>
    </w:p>
    <w:p>
      <w:pPr>
        <w:pStyle w:val="null3"/>
        <w:jc w:val="both"/>
      </w:pPr>
      <w:r>
        <w:rPr>
          <w:sz w:val="21"/>
        </w:rPr>
        <w:t>（二）</w:t>
      </w:r>
    </w:p>
    <w:p>
      <w:pPr>
        <w:pStyle w:val="null3"/>
        <w:ind w:firstLine="420"/>
        <w:jc w:val="both"/>
      </w:pPr>
      <w:r>
        <w:rPr>
          <w:sz w:val="21"/>
        </w:rPr>
        <w:t>（</w:t>
      </w:r>
      <w:r>
        <w:rPr>
          <w:sz w:val="21"/>
        </w:rPr>
        <w:t>1）本项目合同签署生效后</w:t>
      </w:r>
      <w:r>
        <w:rPr>
          <w:sz w:val="21"/>
          <w:u w:val="single"/>
        </w:rPr>
        <w:t xml:space="preserve">    </w:t>
      </w:r>
      <w:r>
        <w:rPr>
          <w:sz w:val="21"/>
        </w:rPr>
        <w:t>日内，乙方向甲方支付合同总价</w:t>
      </w:r>
      <w:r>
        <w:rPr>
          <w:sz w:val="21"/>
          <w:u w:val="single"/>
        </w:rPr>
        <w:t xml:space="preserve">    </w:t>
      </w:r>
      <w:r>
        <w:rPr>
          <w:sz w:val="21"/>
        </w:rPr>
        <w:t>的履约保证金，甲方收到乙方提供的合同总价的</w:t>
      </w:r>
      <w:r>
        <w:rPr>
          <w:sz w:val="21"/>
          <w:u w:val="single"/>
        </w:rPr>
        <w:t xml:space="preserve">    </w:t>
      </w:r>
      <w:r>
        <w:rPr>
          <w:sz w:val="21"/>
          <w:u w:val="single"/>
        </w:rPr>
        <w:t>（</w:t>
      </w:r>
      <w:r>
        <w:rPr>
          <w:sz w:val="21"/>
        </w:rPr>
        <w:t>增值税专用</w:t>
      </w:r>
      <w:r>
        <w:rPr>
          <w:sz w:val="21"/>
        </w:rPr>
        <w:t>/普通二选一）发票后，</w:t>
      </w:r>
      <w:r>
        <w:rPr>
          <w:sz w:val="21"/>
          <w:u w:val="single"/>
        </w:rPr>
        <w:t xml:space="preserve">    </w:t>
      </w:r>
      <w:r>
        <w:rPr>
          <w:sz w:val="21"/>
        </w:rPr>
        <w:t>日内向乙方支付合同总价的</w:t>
      </w:r>
      <w:r>
        <w:rPr>
          <w:sz w:val="21"/>
          <w:u w:val="single"/>
        </w:rPr>
        <w:t xml:space="preserve">    </w:t>
      </w:r>
      <w:r>
        <w:rPr>
          <w:sz w:val="21"/>
        </w:rPr>
        <w:t>作为本项目预付款；</w:t>
      </w:r>
    </w:p>
    <w:p>
      <w:pPr>
        <w:pStyle w:val="null3"/>
        <w:ind w:firstLine="420"/>
        <w:jc w:val="both"/>
      </w:pPr>
      <w:r>
        <w:rPr>
          <w:sz w:val="21"/>
        </w:rPr>
        <w:t>（</w:t>
      </w:r>
      <w:r>
        <w:rPr>
          <w:sz w:val="21"/>
        </w:rPr>
        <w:t>2）项目通过甲方组织的验收合格后，甲方收到乙方开具的合同总价的</w:t>
      </w:r>
      <w:r>
        <w:rPr>
          <w:sz w:val="21"/>
          <w:u w:val="single"/>
        </w:rPr>
        <w:t xml:space="preserve">   </w:t>
      </w:r>
      <w:r>
        <w:rPr>
          <w:sz w:val="21"/>
          <w:u w:val="single"/>
        </w:rPr>
        <w:t>（</w:t>
      </w:r>
      <w:r>
        <w:rPr>
          <w:sz w:val="21"/>
        </w:rPr>
        <w:t>增值税专用</w:t>
      </w:r>
      <w:r>
        <w:rPr>
          <w:sz w:val="21"/>
        </w:rPr>
        <w:t>/普通二选一）发票后，</w:t>
      </w:r>
      <w:r>
        <w:rPr>
          <w:sz w:val="21"/>
          <w:u w:val="single"/>
        </w:rPr>
        <w:t xml:space="preserve">   </w:t>
      </w:r>
      <w:r>
        <w:rPr>
          <w:sz w:val="21"/>
        </w:rPr>
        <w:t>日内由甲方向乙方支付合同总价的</w:t>
      </w:r>
      <w:r>
        <w:rPr>
          <w:sz w:val="21"/>
          <w:u w:val="single"/>
        </w:rPr>
        <w:t xml:space="preserve">    </w:t>
      </w:r>
      <w:r>
        <w:rPr>
          <w:sz w:val="21"/>
        </w:rPr>
        <w:t>。</w:t>
      </w:r>
    </w:p>
    <w:p>
      <w:pPr>
        <w:pStyle w:val="null3"/>
        <w:jc w:val="both"/>
      </w:pPr>
      <w:r>
        <w:rPr>
          <w:sz w:val="21"/>
        </w:rPr>
        <w:t>（三）</w:t>
      </w:r>
    </w:p>
    <w:p>
      <w:pPr>
        <w:pStyle w:val="null3"/>
        <w:ind w:firstLine="420"/>
        <w:jc w:val="both"/>
      </w:pPr>
      <w:r>
        <w:rPr>
          <w:sz w:val="21"/>
        </w:rPr>
        <w:t>（</w:t>
      </w:r>
      <w:r>
        <w:rPr>
          <w:sz w:val="21"/>
        </w:rPr>
        <w:t>1）本项目合同签署生效后</w:t>
      </w:r>
      <w:r>
        <w:rPr>
          <w:sz w:val="21"/>
          <w:u w:val="single"/>
        </w:rPr>
        <w:t xml:space="preserve">    </w:t>
      </w:r>
      <w:r>
        <w:rPr>
          <w:sz w:val="21"/>
        </w:rPr>
        <w:t>日内，乙方向甲方支付合同总价</w:t>
      </w:r>
      <w:r>
        <w:rPr>
          <w:sz w:val="21"/>
          <w:u w:val="single"/>
        </w:rPr>
        <w:t xml:space="preserve">    </w:t>
      </w:r>
      <w:r>
        <w:rPr>
          <w:sz w:val="21"/>
        </w:rPr>
        <w:t>的履约保证金，甲方收到乙方提供的合同总价的</w:t>
      </w:r>
      <w:r>
        <w:rPr>
          <w:sz w:val="21"/>
          <w:u w:val="single"/>
        </w:rPr>
        <w:t xml:space="preserve">    </w:t>
      </w:r>
      <w:r>
        <w:rPr>
          <w:sz w:val="21"/>
          <w:u w:val="single"/>
        </w:rPr>
        <w:t>（</w:t>
      </w:r>
      <w:r>
        <w:rPr>
          <w:sz w:val="21"/>
        </w:rPr>
        <w:t>增值税专用</w:t>
      </w:r>
      <w:r>
        <w:rPr>
          <w:sz w:val="21"/>
        </w:rPr>
        <w:t>/普通二选一）发票后，</w:t>
      </w:r>
      <w:r>
        <w:rPr>
          <w:sz w:val="21"/>
          <w:u w:val="single"/>
        </w:rPr>
        <w:t xml:space="preserve">    </w:t>
      </w:r>
      <w:r>
        <w:rPr>
          <w:sz w:val="21"/>
        </w:rPr>
        <w:t>日内向乙方支付合同总价的</w:t>
      </w:r>
      <w:r>
        <w:rPr>
          <w:sz w:val="21"/>
          <w:u w:val="single"/>
        </w:rPr>
        <w:t xml:space="preserve">    </w:t>
      </w:r>
      <w:r>
        <w:rPr>
          <w:sz w:val="21"/>
        </w:rPr>
        <w:t>作为本项目预付款；</w:t>
      </w:r>
    </w:p>
    <w:p>
      <w:pPr>
        <w:pStyle w:val="null3"/>
        <w:ind w:firstLine="420"/>
        <w:jc w:val="both"/>
      </w:pPr>
      <w:r>
        <w:rPr>
          <w:sz w:val="21"/>
        </w:rPr>
        <w:t>（</w:t>
      </w:r>
      <w:r>
        <w:rPr>
          <w:sz w:val="21"/>
        </w:rPr>
        <w:t>2）项目建设完成后上线试运行</w:t>
      </w:r>
      <w:r>
        <w:rPr>
          <w:sz w:val="21"/>
          <w:u w:val="single"/>
        </w:rPr>
        <w:t xml:space="preserve">   </w:t>
      </w:r>
      <w:r>
        <w:rPr>
          <w:sz w:val="21"/>
        </w:rPr>
        <w:t>个月，且通过甲方组织的验收合格后，甲方在收到乙方开具的合同总价的</w:t>
      </w:r>
      <w:r>
        <w:rPr>
          <w:sz w:val="21"/>
          <w:u w:val="single"/>
        </w:rPr>
        <w:t xml:space="preserve">   </w:t>
      </w:r>
      <w:r>
        <w:rPr>
          <w:sz w:val="21"/>
          <w:u w:val="single"/>
        </w:rPr>
        <w:t>（</w:t>
      </w:r>
      <w:r>
        <w:rPr>
          <w:sz w:val="21"/>
        </w:rPr>
        <w:t>增值税专用</w:t>
      </w:r>
      <w:r>
        <w:rPr>
          <w:sz w:val="21"/>
        </w:rPr>
        <w:t>/普通二选一）发票后，</w:t>
      </w:r>
      <w:r>
        <w:rPr>
          <w:sz w:val="21"/>
          <w:u w:val="single"/>
        </w:rPr>
        <w:t xml:space="preserve">   </w:t>
      </w:r>
      <w:r>
        <w:rPr>
          <w:sz w:val="21"/>
        </w:rPr>
        <w:t>日内由甲方向乙方支付合同总价的</w:t>
      </w:r>
      <w:r>
        <w:rPr>
          <w:sz w:val="21"/>
          <w:u w:val="single"/>
        </w:rPr>
        <w:t xml:space="preserve">    </w:t>
      </w:r>
      <w:r>
        <w:rPr>
          <w:sz w:val="21"/>
        </w:rPr>
        <w:t>。</w:t>
      </w:r>
    </w:p>
    <w:p>
      <w:pPr>
        <w:pStyle w:val="null3"/>
        <w:ind w:firstLine="420"/>
        <w:jc w:val="both"/>
      </w:pPr>
      <w:r>
        <w:rPr>
          <w:sz w:val="21"/>
        </w:rPr>
        <w:t>2.甲方开票信息</w:t>
      </w:r>
    </w:p>
    <w:p>
      <w:pPr>
        <w:pStyle w:val="null3"/>
        <w:ind w:firstLine="420"/>
        <w:jc w:val="both"/>
      </w:pPr>
      <w:r>
        <w:rPr>
          <w:sz w:val="21"/>
        </w:rPr>
        <w:t>（</w:t>
      </w:r>
      <w:r>
        <w:rPr>
          <w:sz w:val="21"/>
        </w:rPr>
        <w:t>1）开户名称：广东省特种设备检测研究院</w:t>
      </w:r>
    </w:p>
    <w:p>
      <w:pPr>
        <w:pStyle w:val="null3"/>
        <w:ind w:firstLine="420"/>
        <w:jc w:val="both"/>
      </w:pPr>
      <w:r>
        <w:rPr>
          <w:sz w:val="21"/>
        </w:rPr>
        <w:t>（</w:t>
      </w:r>
      <w:r>
        <w:rPr>
          <w:sz w:val="21"/>
        </w:rPr>
        <w:t>2）纳税人识别号：12440000455857625C</w:t>
      </w:r>
    </w:p>
    <w:p>
      <w:pPr>
        <w:pStyle w:val="null3"/>
        <w:ind w:firstLine="420"/>
        <w:jc w:val="both"/>
      </w:pPr>
      <w:r>
        <w:rPr>
          <w:sz w:val="21"/>
        </w:rPr>
        <w:t>（</w:t>
      </w:r>
      <w:r>
        <w:rPr>
          <w:sz w:val="21"/>
        </w:rPr>
        <w:t>3）地 址、电 话：广州市天河区黄埔大道中路146-150号6B房 13926230835</w:t>
      </w:r>
    </w:p>
    <w:p>
      <w:pPr>
        <w:pStyle w:val="null3"/>
        <w:ind w:firstLine="420"/>
        <w:jc w:val="both"/>
      </w:pPr>
      <w:r>
        <w:rPr>
          <w:sz w:val="21"/>
        </w:rPr>
        <w:t>（</w:t>
      </w:r>
      <w:r>
        <w:rPr>
          <w:sz w:val="21"/>
        </w:rPr>
        <w:t>4）开户行及账号：建行广东省分行营业室 44001863201053004070</w:t>
      </w:r>
    </w:p>
    <w:p>
      <w:pPr>
        <w:pStyle w:val="null3"/>
        <w:ind w:firstLine="420"/>
        <w:jc w:val="both"/>
      </w:pPr>
      <w:r>
        <w:rPr>
          <w:sz w:val="21"/>
        </w:rPr>
        <w:t>（</w:t>
      </w:r>
      <w:r>
        <w:rPr>
          <w:sz w:val="21"/>
        </w:rPr>
        <w:t>5）银行行号：105581000042</w:t>
      </w:r>
    </w:p>
    <w:p>
      <w:pPr>
        <w:pStyle w:val="null3"/>
        <w:ind w:firstLine="420"/>
        <w:jc w:val="both"/>
      </w:pPr>
      <w:r>
        <w:rPr>
          <w:sz w:val="21"/>
        </w:rPr>
        <w:t>3.乙方银行账号信息</w:t>
      </w:r>
    </w:p>
    <w:p>
      <w:pPr>
        <w:pStyle w:val="null3"/>
        <w:ind w:firstLine="420"/>
        <w:jc w:val="both"/>
      </w:pPr>
      <w:r>
        <w:rPr>
          <w:sz w:val="21"/>
        </w:rPr>
        <w:t>（</w:t>
      </w:r>
      <w:r>
        <w:rPr>
          <w:sz w:val="21"/>
        </w:rPr>
        <w:t>1）开户名称：</w:t>
      </w:r>
    </w:p>
    <w:p>
      <w:pPr>
        <w:pStyle w:val="null3"/>
        <w:ind w:firstLine="420"/>
        <w:jc w:val="both"/>
      </w:pPr>
      <w:r>
        <w:rPr>
          <w:sz w:val="21"/>
        </w:rPr>
        <w:t>（</w:t>
      </w:r>
      <w:r>
        <w:rPr>
          <w:sz w:val="21"/>
        </w:rPr>
        <w:t>2）开 户 行：</w:t>
      </w:r>
    </w:p>
    <w:p>
      <w:pPr>
        <w:pStyle w:val="null3"/>
        <w:ind w:firstLine="420"/>
        <w:jc w:val="both"/>
      </w:pPr>
      <w:r>
        <w:rPr>
          <w:sz w:val="21"/>
        </w:rPr>
        <w:t>（</w:t>
      </w:r>
      <w:r>
        <w:rPr>
          <w:sz w:val="21"/>
        </w:rPr>
        <w:t>3）银行账号：</w:t>
      </w:r>
    </w:p>
    <w:p>
      <w:pPr>
        <w:pStyle w:val="null3"/>
        <w:ind w:firstLine="420"/>
        <w:jc w:val="both"/>
      </w:pPr>
      <w:r>
        <w:rPr>
          <w:sz w:val="21"/>
        </w:rPr>
        <w:t>（</w:t>
      </w:r>
      <w:r>
        <w:rPr>
          <w:sz w:val="21"/>
        </w:rPr>
        <w:t>4）银行行号：</w:t>
      </w:r>
    </w:p>
    <w:p>
      <w:pPr>
        <w:pStyle w:val="null3"/>
        <w:jc w:val="both"/>
      </w:pPr>
      <w:r>
        <w:rPr>
          <w:sz w:val="21"/>
          <w:b/>
        </w:rPr>
        <w:t>七、</w:t>
      </w:r>
      <w:r>
        <w:rPr>
          <w:sz w:val="21"/>
          <w:b/>
        </w:rPr>
        <w:t>验收要求</w:t>
      </w:r>
    </w:p>
    <w:p>
      <w:pPr>
        <w:pStyle w:val="null3"/>
        <w:ind w:firstLine="420"/>
        <w:jc w:val="both"/>
      </w:pPr>
      <w:r>
        <w:rPr>
          <w:sz w:val="21"/>
        </w:rPr>
        <w:t>1.交付验收标准依次序对照适用标准为：</w:t>
      </w:r>
    </w:p>
    <w:p>
      <w:pPr>
        <w:pStyle w:val="null3"/>
        <w:ind w:firstLine="420"/>
        <w:jc w:val="both"/>
      </w:pPr>
      <w:r>
        <w:rPr>
          <w:sz w:val="21"/>
        </w:rPr>
        <w:t>（</w:t>
      </w:r>
      <w:r>
        <w:rPr>
          <w:sz w:val="21"/>
        </w:rPr>
        <w:t>1）符合中华人民共和国国家安全质量标准、环保标准或行业标准；</w:t>
      </w:r>
    </w:p>
    <w:p>
      <w:pPr>
        <w:pStyle w:val="null3"/>
        <w:ind w:firstLine="420"/>
        <w:jc w:val="both"/>
      </w:pPr>
      <w:r>
        <w:rPr>
          <w:sz w:val="21"/>
        </w:rPr>
        <w:t>（</w:t>
      </w:r>
      <w:r>
        <w:rPr>
          <w:sz w:val="21"/>
        </w:rPr>
        <w:t>2）符合采购文件和响应承诺中甲方认可的合理最佳配置、参数及各项要求；</w:t>
      </w:r>
    </w:p>
    <w:p>
      <w:pPr>
        <w:pStyle w:val="null3"/>
        <w:ind w:firstLine="420"/>
        <w:jc w:val="both"/>
      </w:pPr>
      <w:r>
        <w:rPr>
          <w:sz w:val="21"/>
        </w:rPr>
        <w:t>2.甲方组成验收小组按国家有关规定、规范，对照合同约定进行验收，必要时邀请相关的专业人员或机构参与验收。</w:t>
      </w:r>
    </w:p>
    <w:p>
      <w:pPr>
        <w:pStyle w:val="null3"/>
        <w:ind w:firstLine="420"/>
        <w:jc w:val="both"/>
      </w:pPr>
      <w:r>
        <w:rPr>
          <w:sz w:val="21"/>
        </w:rPr>
        <w:t>3.验收时如发现所提供的服务不符合用户要求规定之情形者，甲方应作出详尽的现场记录，或由甲方、乙方双方签署备忘录。</w:t>
      </w:r>
    </w:p>
    <w:p>
      <w:pPr>
        <w:pStyle w:val="null3"/>
        <w:ind w:firstLine="420"/>
        <w:jc w:val="both"/>
      </w:pPr>
      <w:r>
        <w:rPr>
          <w:sz w:val="21"/>
        </w:rPr>
        <w:t>4.验收材料包括以下内容：</w:t>
      </w:r>
    </w:p>
    <w:p>
      <w:pPr>
        <w:pStyle w:val="null3"/>
        <w:ind w:firstLine="420"/>
        <w:jc w:val="both"/>
      </w:pPr>
      <w:r>
        <w:rPr>
          <w:sz w:val="21"/>
        </w:rPr>
        <w:t>（</w:t>
      </w:r>
      <w:r>
        <w:rPr>
          <w:sz w:val="21"/>
        </w:rPr>
        <w:t>1）按照本合同及技术协议等附件约定的所有文件和文档。</w:t>
      </w:r>
    </w:p>
    <w:p>
      <w:pPr>
        <w:pStyle w:val="null3"/>
        <w:ind w:firstLine="420"/>
        <w:jc w:val="both"/>
      </w:pPr>
      <w:r>
        <w:rPr>
          <w:sz w:val="21"/>
        </w:rPr>
        <w:t>（</w:t>
      </w:r>
      <w:r>
        <w:rPr>
          <w:sz w:val="21"/>
        </w:rPr>
        <w:t>2）根据招标文件所编写的投标文件中所标明的软件模块，及相关的技术维护文档、培训教材、使用说明书及双方协商认为必要的材料。</w:t>
      </w:r>
    </w:p>
    <w:p>
      <w:pPr>
        <w:pStyle w:val="null3"/>
        <w:ind w:firstLine="420"/>
        <w:jc w:val="both"/>
      </w:pPr>
      <w:r>
        <w:rPr>
          <w:sz w:val="21"/>
        </w:rPr>
        <w:t>5.甲方组织验收，对乙方提供的项目成果和验收资料进行核实，并做好验收记录，验收记录与验收材料共同组成验收报告作为本项目支付的条件。</w:t>
      </w:r>
    </w:p>
    <w:p>
      <w:pPr>
        <w:pStyle w:val="null3"/>
        <w:ind w:firstLine="420"/>
        <w:jc w:val="both"/>
      </w:pPr>
      <w:r>
        <w:rPr>
          <w:sz w:val="21"/>
        </w:rPr>
        <w:t>6.项目终验，本项目成果符合验收标准，且系统在试运行期间稳定运行，试运行结束后，乙方应以书面形式向甲方提出项目终验申请,甲方应在收到该申请的7日内组织终验。</w:t>
      </w:r>
    </w:p>
    <w:p>
      <w:pPr>
        <w:pStyle w:val="null3"/>
        <w:ind w:firstLine="420"/>
        <w:jc w:val="both"/>
      </w:pPr>
      <w:r>
        <w:rPr>
          <w:sz w:val="21"/>
        </w:rPr>
        <w:t>7.如果验收不合格的，甲方有权作更换或退回处理，并由乙方承担全部费用。</w:t>
      </w:r>
    </w:p>
    <w:p>
      <w:pPr>
        <w:pStyle w:val="null3"/>
        <w:jc w:val="both"/>
      </w:pPr>
      <w:r>
        <w:rPr>
          <w:sz w:val="21"/>
          <w:b/>
        </w:rPr>
        <w:t>八、</w:t>
      </w:r>
      <w:r>
        <w:rPr>
          <w:sz w:val="21"/>
          <w:b/>
        </w:rPr>
        <w:t>保密要求</w:t>
      </w:r>
    </w:p>
    <w:p>
      <w:pPr>
        <w:pStyle w:val="null3"/>
        <w:ind w:firstLine="420"/>
        <w:jc w:val="both"/>
      </w:pPr>
      <w:r>
        <w:rPr>
          <w:sz w:val="21"/>
        </w:rPr>
        <w:t>乙方在签订合同时应签署附件</w:t>
      </w:r>
      <w:r>
        <w:rPr>
          <w:sz w:val="21"/>
        </w:rPr>
        <w:t>2《保密承诺书》。项目组成立后，乙方参与项目的人员应配合甲方签署个人保密承诺书。</w:t>
      </w:r>
    </w:p>
    <w:p>
      <w:pPr>
        <w:pStyle w:val="null3"/>
        <w:jc w:val="both"/>
      </w:pPr>
      <w:r>
        <w:rPr>
          <w:sz w:val="21"/>
          <w:b/>
        </w:rPr>
        <w:t>九、</w:t>
      </w:r>
      <w:r>
        <w:rPr>
          <w:sz w:val="21"/>
          <w:b/>
        </w:rPr>
        <w:t>知识产权要求</w:t>
      </w:r>
    </w:p>
    <w:p>
      <w:pPr>
        <w:pStyle w:val="null3"/>
        <w:ind w:firstLine="420"/>
        <w:jc w:val="both"/>
      </w:pPr>
      <w:r>
        <w:rPr>
          <w:sz w:val="21"/>
        </w:rPr>
        <w:t>1.本项目不会引起任何已申请、登记的知识产权所有权的转移。</w:t>
      </w:r>
    </w:p>
    <w:p>
      <w:pPr>
        <w:pStyle w:val="null3"/>
        <w:ind w:firstLine="420"/>
        <w:jc w:val="both"/>
      </w:pPr>
      <w:r>
        <w:rPr>
          <w:sz w:val="21"/>
        </w:rPr>
        <w:t>2.甲乙双方一致同意，乙方为履行本合同义务所形成的服务成果的知识产权归甲方所有。</w:t>
      </w:r>
    </w:p>
    <w:p>
      <w:pPr>
        <w:pStyle w:val="null3"/>
        <w:ind w:firstLine="420"/>
        <w:jc w:val="both"/>
      </w:pPr>
      <w:r>
        <w:rPr>
          <w:sz w:val="21"/>
        </w:rPr>
        <w:t>3.本合同所涉及的数据所有权归甲方所有，乙方只能用于履行本合同之义务。</w:t>
      </w:r>
    </w:p>
    <w:p>
      <w:pPr>
        <w:pStyle w:val="null3"/>
        <w:ind w:firstLine="420"/>
        <w:jc w:val="both"/>
      </w:pPr>
      <w:r>
        <w:rPr>
          <w:sz w:val="21"/>
        </w:rPr>
        <w:t>4.乙方提供的相关软件应是自行开发的产品或具备合法、合规授权，满足知识产权等方面的有关规定和要求。</w:t>
      </w:r>
    </w:p>
    <w:p>
      <w:pPr>
        <w:pStyle w:val="null3"/>
        <w:ind w:firstLine="420"/>
        <w:jc w:val="both"/>
      </w:pPr>
      <w:r>
        <w:rPr>
          <w:sz w:val="21"/>
        </w:rPr>
        <w:t>5.乙方保证向甲方提供的服务成果是其独立实施完成，不存在任何侵犯第三方专利权、商标权、著作权等合法权益。如因乙方提供的服务成果侵犯任何第三方的合法权益，导致该第三方追究甲方责任的，乙方应负责解决并赔偿因此给甲方造成的全部损失。</w:t>
      </w:r>
    </w:p>
    <w:p>
      <w:pPr>
        <w:pStyle w:val="null3"/>
        <w:jc w:val="both"/>
      </w:pPr>
      <w:r>
        <w:rPr>
          <w:sz w:val="21"/>
          <w:b/>
        </w:rPr>
        <w:t>十、</w:t>
      </w:r>
      <w:r>
        <w:rPr>
          <w:sz w:val="21"/>
          <w:b/>
        </w:rPr>
        <w:t>违约责任与赔偿损失</w:t>
      </w:r>
    </w:p>
    <w:p>
      <w:pPr>
        <w:pStyle w:val="null3"/>
        <w:ind w:firstLine="420"/>
        <w:jc w:val="both"/>
      </w:pPr>
      <w:r>
        <w:rPr>
          <w:sz w:val="21"/>
        </w:rPr>
        <w:t>1.乙方未按合同落实相关服务工作的，承担以下违约责任：</w:t>
      </w:r>
    </w:p>
    <w:p>
      <w:pPr>
        <w:pStyle w:val="null3"/>
        <w:ind w:firstLine="420"/>
        <w:jc w:val="both"/>
      </w:pPr>
      <w:r>
        <w:rPr>
          <w:sz w:val="21"/>
        </w:rPr>
        <w:t>（</w:t>
      </w:r>
      <w:r>
        <w:rPr>
          <w:sz w:val="21"/>
        </w:rPr>
        <w:t>1）乙方未能按甲方服务要求执行的，甲方有权视乎情节严重程度决定是否解除合同。</w:t>
      </w:r>
    </w:p>
    <w:p>
      <w:pPr>
        <w:pStyle w:val="null3"/>
        <w:ind w:firstLine="420"/>
        <w:jc w:val="both"/>
      </w:pPr>
      <w:r>
        <w:rPr>
          <w:sz w:val="21"/>
        </w:rPr>
        <w:t>（</w:t>
      </w:r>
      <w:r>
        <w:rPr>
          <w:sz w:val="21"/>
        </w:rPr>
        <w:t>2）若因乙方未履行本合同约定的义务造成甲方向第三人承担赔偿责任的，则该赔偿责任由乙方承担。乙方拒不承担的，甲方有权在应当支付给甲方的费用中抵扣。</w:t>
      </w:r>
    </w:p>
    <w:p>
      <w:pPr>
        <w:pStyle w:val="null3"/>
        <w:ind w:firstLine="420"/>
        <w:jc w:val="both"/>
      </w:pPr>
      <w:r>
        <w:rPr>
          <w:sz w:val="21"/>
        </w:rPr>
        <w:t>2.乙方提供的服务不符合采购文件、响应文件或本合同规定的，甲方有权拒收，并且乙方须向甲方支付本合同总价5%的违约金。</w:t>
      </w:r>
    </w:p>
    <w:p>
      <w:pPr>
        <w:pStyle w:val="null3"/>
        <w:ind w:firstLine="420"/>
        <w:jc w:val="both"/>
      </w:pPr>
      <w:r>
        <w:rPr>
          <w:sz w:val="21"/>
        </w:rPr>
        <w:t>3.乙方未能按本合同规定的时间提供服务，从逾期之日起每日按本合同总价3‰的数额向甲方支付违约金，违约金累计总额不超过合同总价的5%；逾期30天以上（含30天）的，甲方有权终止合同，要求乙方支付违约金，并且给甲方造成的经济损失由乙方承担赔偿责任。</w:t>
      </w:r>
    </w:p>
    <w:p>
      <w:pPr>
        <w:pStyle w:val="null3"/>
        <w:ind w:firstLine="420"/>
        <w:jc w:val="both"/>
      </w:pPr>
      <w:r>
        <w:rPr>
          <w:sz w:val="21"/>
        </w:rPr>
        <w:t>4.甲方无正当理由拒接受服务，到期拒付服务款项的，甲方向乙方偿付本合同总价5%的违约金。甲方逾期付款，则每日按本合同总价的0.3‰向乙方偿付违约金，违约金累计总额不超过合同总价的5%。</w:t>
      </w:r>
    </w:p>
    <w:p>
      <w:pPr>
        <w:pStyle w:val="null3"/>
        <w:ind w:firstLine="420"/>
        <w:jc w:val="both"/>
      </w:pPr>
      <w:r>
        <w:rPr>
          <w:sz w:val="21"/>
        </w:rPr>
        <w:t>5.其它违约责任按《中华人民共和国民法典》处理。</w:t>
      </w:r>
    </w:p>
    <w:p>
      <w:pPr>
        <w:pStyle w:val="null3"/>
        <w:jc w:val="both"/>
      </w:pPr>
      <w:r>
        <w:rPr>
          <w:sz w:val="21"/>
          <w:b/>
        </w:rPr>
        <w:t>十、</w:t>
      </w:r>
      <w:r>
        <w:rPr>
          <w:sz w:val="21"/>
          <w:b/>
        </w:rPr>
        <w:t>争议的解决</w:t>
      </w:r>
    </w:p>
    <w:p>
      <w:pPr>
        <w:pStyle w:val="null3"/>
        <w:ind w:firstLine="480"/>
        <w:jc w:val="both"/>
      </w:pPr>
      <w:r>
        <w:rPr>
          <w:sz w:val="21"/>
        </w:rPr>
        <w:t>合同执行过程中发生的任何争议，如双方不能通过友好协商解决，</w:t>
      </w:r>
      <w:r>
        <w:rPr>
          <w:sz w:val="21"/>
        </w:rPr>
        <w:t>甲乙双方一致同意向甲方所在地人民法院提起诉讼</w:t>
      </w:r>
      <w:r>
        <w:rPr>
          <w:sz w:val="21"/>
        </w:rPr>
        <w:t>。</w:t>
      </w:r>
    </w:p>
    <w:p>
      <w:pPr>
        <w:pStyle w:val="null3"/>
        <w:jc w:val="both"/>
      </w:pPr>
      <w:r>
        <w:rPr>
          <w:sz w:val="21"/>
          <w:b/>
        </w:rPr>
        <w:t>十一、</w:t>
      </w:r>
      <w:r>
        <w:rPr>
          <w:sz w:val="21"/>
          <w:b/>
        </w:rPr>
        <w:t>不可抗力</w:t>
      </w:r>
    </w:p>
    <w:p>
      <w:pPr>
        <w:pStyle w:val="null3"/>
        <w:ind w:firstLine="48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十二、</w:t>
      </w:r>
      <w:r>
        <w:rPr>
          <w:sz w:val="21"/>
          <w:b/>
        </w:rPr>
        <w:t>税费</w:t>
      </w:r>
    </w:p>
    <w:p>
      <w:pPr>
        <w:pStyle w:val="null3"/>
        <w:ind w:firstLine="480"/>
        <w:jc w:val="both"/>
      </w:pPr>
      <w:r>
        <w:rPr>
          <w:sz w:val="21"/>
        </w:rPr>
        <w:t>在中国境内、外发生的与本合同执行有关的一切税费均由乙方负担。</w:t>
      </w:r>
    </w:p>
    <w:p>
      <w:pPr>
        <w:pStyle w:val="null3"/>
        <w:jc w:val="both"/>
      </w:pPr>
      <w:r>
        <w:rPr>
          <w:sz w:val="21"/>
          <w:b/>
        </w:rPr>
        <w:t>十三、</w:t>
      </w:r>
      <w:r>
        <w:rPr>
          <w:sz w:val="21"/>
          <w:b/>
        </w:rPr>
        <w:t>其它</w:t>
      </w:r>
    </w:p>
    <w:p>
      <w:pPr>
        <w:pStyle w:val="null3"/>
        <w:ind w:firstLine="480"/>
        <w:jc w:val="both"/>
      </w:pPr>
      <w:r>
        <w:rPr>
          <w:sz w:val="21"/>
        </w:rPr>
        <w:t>1.</w:t>
      </w:r>
      <w:r>
        <w:rPr>
          <w:sz w:val="21"/>
        </w:rPr>
        <w:t>本合同所有附件、采购公告、采购文件、结果公告等均为合同的有效组成部分，与本合同具有同等法律效力，</w:t>
      </w:r>
      <w:r>
        <w:rPr>
          <w:sz w:val="21"/>
        </w:rPr>
        <w:t>解释的顺序以文件生成时间在后的为准</w:t>
      </w:r>
      <w:r>
        <w:rPr>
          <w:sz w:val="21"/>
        </w:rPr>
        <w:t>。</w:t>
      </w:r>
    </w:p>
    <w:p>
      <w:pPr>
        <w:pStyle w:val="null3"/>
        <w:ind w:firstLine="480"/>
        <w:jc w:val="both"/>
      </w:pPr>
      <w:r>
        <w:rPr>
          <w:sz w:val="21"/>
        </w:rPr>
        <w:t>2.</w:t>
      </w:r>
      <w:r>
        <w:rPr>
          <w:sz w:val="21"/>
        </w:rPr>
        <w:t>在执行本合同的过程中，所有经双方签署确认的文件（包括会议纪要、补充协议、往来信函等）即成为本合同的有效组成部分。</w:t>
      </w:r>
    </w:p>
    <w:p>
      <w:pPr>
        <w:pStyle w:val="null3"/>
        <w:ind w:firstLine="480"/>
        <w:jc w:val="both"/>
      </w:pPr>
      <w:r>
        <w:rPr>
          <w:sz w:val="21"/>
        </w:rPr>
        <w:t>3.</w:t>
      </w:r>
      <w:r>
        <w:rPr>
          <w:sz w:val="21"/>
        </w:rPr>
        <w:t>如一方地址、电话、传真号码有变更，应在变更当日内书面通知对方，否则，应承担相应责任。</w:t>
      </w:r>
    </w:p>
    <w:p>
      <w:pPr>
        <w:pStyle w:val="null3"/>
        <w:ind w:firstLine="480"/>
        <w:jc w:val="both"/>
      </w:pPr>
      <w:r>
        <w:rPr>
          <w:sz w:val="21"/>
        </w:rPr>
        <w:t>4.</w:t>
      </w:r>
      <w:r>
        <w:rPr>
          <w:sz w:val="21"/>
        </w:rPr>
        <w:t>除甲方事先以书面形式确认同意外，乙方不得部分或全部转让其应履行的合同项下的义务。</w:t>
      </w:r>
    </w:p>
    <w:p>
      <w:pPr>
        <w:pStyle w:val="null3"/>
        <w:jc w:val="both"/>
      </w:pPr>
      <w:r>
        <w:rPr>
          <w:sz w:val="21"/>
          <w:b/>
        </w:rPr>
        <w:t>十四、</w:t>
      </w:r>
      <w:r>
        <w:rPr>
          <w:sz w:val="21"/>
          <w:b/>
        </w:rPr>
        <w:t>合同生效</w:t>
      </w:r>
    </w:p>
    <w:p>
      <w:pPr>
        <w:pStyle w:val="null3"/>
        <w:ind w:firstLine="480"/>
        <w:jc w:val="both"/>
      </w:pPr>
      <w:r>
        <w:rPr>
          <w:sz w:val="21"/>
        </w:rPr>
        <w:t>1.</w:t>
      </w:r>
      <w:r>
        <w:rPr>
          <w:sz w:val="21"/>
        </w:rPr>
        <w:t>本合同在甲乙双方法人代表或其授权代表签字盖章之日起生效。</w:t>
      </w:r>
    </w:p>
    <w:p>
      <w:pPr>
        <w:pStyle w:val="null3"/>
        <w:ind w:firstLine="480"/>
        <w:jc w:val="both"/>
      </w:pPr>
      <w:r>
        <w:rPr>
          <w:sz w:val="21"/>
        </w:rPr>
        <w:t>2.</w:t>
      </w:r>
      <w:r>
        <w:rPr>
          <w:sz w:val="21"/>
        </w:rPr>
        <w:t>本合同一式</w:t>
      </w:r>
      <w:r>
        <w:rPr>
          <w:sz w:val="21"/>
          <w:u w:val="single"/>
        </w:rPr>
        <w:t xml:space="preserve"> </w:t>
      </w:r>
      <w:r>
        <w:rPr>
          <w:sz w:val="21"/>
          <w:u w:val="single"/>
        </w:rPr>
        <w:t>伍</w:t>
      </w:r>
      <w:r>
        <w:rPr>
          <w:sz w:val="21"/>
        </w:rPr>
        <w:t>份，</w:t>
      </w:r>
      <w:r>
        <w:rPr>
          <w:sz w:val="21"/>
        </w:rPr>
        <w:t>甲方执</w:t>
      </w:r>
      <w:r>
        <w:rPr>
          <w:sz w:val="21"/>
          <w:u w:val="single"/>
        </w:rPr>
        <w:t xml:space="preserve"> </w:t>
      </w:r>
      <w:r>
        <w:rPr>
          <w:sz w:val="21"/>
          <w:u w:val="single"/>
        </w:rPr>
        <w:t>叁</w:t>
      </w:r>
      <w:r>
        <w:rPr>
          <w:sz w:val="21"/>
        </w:rPr>
        <w:t>份，乙方执</w:t>
      </w:r>
      <w:r>
        <w:rPr>
          <w:sz w:val="21"/>
          <w:u w:val="single"/>
        </w:rPr>
        <w:t xml:space="preserve"> </w:t>
      </w:r>
      <w:r>
        <w:rPr>
          <w:sz w:val="21"/>
          <w:u w:val="single"/>
        </w:rPr>
        <w:t>贰</w:t>
      </w:r>
      <w:r>
        <w:rPr>
          <w:sz w:val="21"/>
        </w:rPr>
        <w:t>份，具有同等法律效力。</w:t>
      </w:r>
    </w:p>
    <w:p>
      <w:pPr>
        <w:pStyle w:val="null3"/>
        <w:jc w:val="both"/>
      </w:pPr>
      <w:r>
        <w:rPr>
          <w:sz w:val="21"/>
          <w:b/>
        </w:rPr>
        <w:t>十五、</w:t>
      </w:r>
      <w:r>
        <w:rPr>
          <w:sz w:val="21"/>
          <w:b/>
        </w:rPr>
        <w:t>合同附件</w:t>
      </w:r>
    </w:p>
    <w:p>
      <w:pPr>
        <w:pStyle w:val="null3"/>
        <w:jc w:val="both"/>
      </w:pPr>
      <w:r>
        <w:rPr>
          <w:sz w:val="21"/>
        </w:rPr>
        <w:t>1.</w:t>
      </w:r>
      <w:r>
        <w:rPr>
          <w:sz w:val="21"/>
        </w:rPr>
        <w:t>《</w:t>
      </w:r>
      <w:r>
        <w:rPr>
          <w:sz w:val="21"/>
          <w:u w:val="single"/>
        </w:rPr>
        <w:t xml:space="preserve">       </w:t>
      </w:r>
      <w:r>
        <w:rPr>
          <w:sz w:val="21"/>
        </w:rPr>
        <w:t>技术协议》</w:t>
      </w:r>
    </w:p>
    <w:p>
      <w:pPr>
        <w:pStyle w:val="null3"/>
        <w:ind w:firstLine="480"/>
        <w:jc w:val="both"/>
      </w:pPr>
      <w:r>
        <w:rPr>
          <w:sz w:val="21"/>
        </w:rPr>
        <w:t>2.</w:t>
      </w:r>
      <w:r>
        <w:rPr>
          <w:sz w:val="21"/>
        </w:rPr>
        <w:t>《保密承诺书》</w:t>
      </w:r>
    </w:p>
    <w:p>
      <w:pPr>
        <w:pStyle w:val="null3"/>
        <w:jc w:val="both"/>
      </w:pPr>
      <w:r>
        <w:rPr>
          <w:sz w:val="21"/>
        </w:rPr>
        <w:t>(以下为签署页)</w:t>
      </w:r>
    </w:p>
    <w:tbl>
      <w:tblPr>
        <w:tblW w:w="0" w:type="auto"/>
        <w:tblBorders>
          <w:top w:val="none" w:color="000000" w:sz="4"/>
          <w:left w:val="none" w:color="000000" w:sz="4"/>
          <w:bottom w:val="none" w:color="000000" w:sz="4"/>
          <w:right w:val="none" w:color="000000" w:sz="4"/>
          <w:insideH w:val="none"/>
          <w:insideV w:val="none"/>
        </w:tblBorders>
      </w:tblPr>
      <w:tblGrid>
        <w:gridCol w:w="4356"/>
        <w:gridCol w:w="3937"/>
      </w:tblGrid>
      <w:tr>
        <w:tc>
          <w:tcPr>
            <w:tcW w:type="dxa" w:w="435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470"/>
              <w:jc w:val="left"/>
            </w:pPr>
            <w:r>
              <w:rPr>
                <w:sz w:val="21"/>
              </w:rPr>
              <w:t>甲方（盖章）：广东省特种设备检测研究院</w:t>
            </w:r>
          </w:p>
        </w:tc>
        <w:tc>
          <w:tcPr>
            <w:tcW w:type="dxa" w:w="39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470"/>
              <w:jc w:val="left"/>
            </w:pPr>
            <w:r>
              <w:rPr>
                <w:sz w:val="21"/>
              </w:rPr>
              <w:t>乙方（盖章）：</w:t>
            </w:r>
          </w:p>
        </w:tc>
      </w:tr>
      <w:tr>
        <w:tc>
          <w:tcPr>
            <w:tcW w:type="dxa" w:w="435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470"/>
              <w:jc w:val="left"/>
            </w:pPr>
            <w:r>
              <w:rPr>
                <w:sz w:val="21"/>
              </w:rPr>
              <w:t>代表：</w:t>
            </w:r>
          </w:p>
        </w:tc>
        <w:tc>
          <w:tcPr>
            <w:tcW w:type="dxa" w:w="39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470"/>
              <w:jc w:val="left"/>
            </w:pPr>
            <w:r>
              <w:rPr>
                <w:sz w:val="21"/>
              </w:rPr>
              <w:t>代表：</w:t>
            </w:r>
          </w:p>
        </w:tc>
      </w:tr>
      <w:tr>
        <w:tc>
          <w:tcPr>
            <w:tcW w:type="dxa" w:w="435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470"/>
              <w:jc w:val="left"/>
            </w:pPr>
            <w:r>
              <w:rPr>
                <w:sz w:val="21"/>
              </w:rPr>
              <w:t>签订日期：</w:t>
            </w:r>
            <w:r>
              <w:rPr>
                <w:sz w:val="21"/>
              </w:rPr>
              <w:t xml:space="preserve">     </w:t>
            </w:r>
            <w:r>
              <w:rPr>
                <w:sz w:val="21"/>
              </w:rPr>
              <w:t>年　</w:t>
            </w:r>
            <w:r>
              <w:rPr>
                <w:sz w:val="21"/>
              </w:rPr>
              <w:t>　月　　日</w:t>
            </w:r>
          </w:p>
        </w:tc>
        <w:tc>
          <w:tcPr>
            <w:tcW w:type="dxa" w:w="39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470"/>
              <w:jc w:val="left"/>
            </w:pPr>
            <w:r>
              <w:rPr>
                <w:sz w:val="21"/>
              </w:rPr>
              <w:t>签订日期：</w:t>
            </w:r>
            <w:r>
              <w:rPr>
                <w:sz w:val="21"/>
              </w:rPr>
              <w:t xml:space="preserve">     </w:t>
            </w:r>
            <w:r>
              <w:rPr>
                <w:sz w:val="21"/>
              </w:rPr>
              <w:t>年　</w:t>
            </w:r>
            <w:r>
              <w:rPr>
                <w:sz w:val="21"/>
              </w:rPr>
              <w:t>　月　</w:t>
            </w:r>
            <w:r>
              <w:rPr>
                <w:sz w:val="21"/>
              </w:rPr>
              <w:t>　日</w:t>
            </w:r>
          </w:p>
        </w:tc>
      </w:tr>
      <w:tr>
        <w:tc>
          <w:tcPr>
            <w:tcW w:type="dxa" w:w="8293"/>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470"/>
              <w:jc w:val="left"/>
            </w:pPr>
            <w:r>
              <w:rPr>
                <w:sz w:val="21"/>
              </w:rPr>
              <w:t>签订地点：广东省佛山市南海区</w:t>
            </w:r>
          </w:p>
        </w:tc>
      </w:tr>
      <w:tr>
        <w:tc>
          <w:tcPr>
            <w:tcW w:type="dxa" w:w="435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470"/>
              <w:jc w:val="left"/>
            </w:pPr>
          </w:p>
        </w:tc>
        <w:tc>
          <w:tcPr>
            <w:tcW w:type="dxa" w:w="39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开户名：</w:t>
            </w:r>
          </w:p>
        </w:tc>
      </w:tr>
      <w:tr>
        <w:tc>
          <w:tcPr>
            <w:tcW w:type="dxa" w:w="435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470"/>
              <w:jc w:val="left"/>
            </w:pPr>
          </w:p>
        </w:tc>
        <w:tc>
          <w:tcPr>
            <w:tcW w:type="dxa" w:w="39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开户行：</w:t>
            </w:r>
          </w:p>
        </w:tc>
      </w:tr>
      <w:tr>
        <w:tc>
          <w:tcPr>
            <w:tcW w:type="dxa" w:w="435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470"/>
              <w:jc w:val="left"/>
            </w:pPr>
          </w:p>
        </w:tc>
        <w:tc>
          <w:tcPr>
            <w:tcW w:type="dxa" w:w="39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银行账号：</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440001-2024-28290</w:t>
      </w:r>
    </w:p>
    <w:p>
      <w:pPr>
        <w:pStyle w:val="null3"/>
        <w:jc w:val="center"/>
        <w:outlineLvl w:val="3"/>
      </w:pPr>
      <w:r>
        <w:rPr>
          <w:sz w:val="24"/>
          <w:b/>
        </w:rPr>
        <w:t>采购项目编号：</w:t>
      </w:r>
      <w:r>
        <w:rPr>
          <w:sz w:val="24"/>
          <w:b/>
        </w:rPr>
        <w:t>0809-24411GDG302008601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广东省特检院信息化构建采购项目</w:t>
      </w:r>
      <w:r>
        <w:rPr>
          <w:u w:val="single"/>
        </w:rPr>
        <w:t>”</w:t>
      </w:r>
      <w:r>
        <w:rPr/>
        <w:t>项目的招标[采购项目编号为：</w:t>
      </w:r>
      <w:r>
        <w:rPr>
          <w:u w:val="single"/>
        </w:rPr>
        <w:t>0809-24411GDG302008601</w:t>
      </w:r>
      <w:r>
        <w:rPr/>
        <w:t>]，我方愿参与投标。</w:t>
      </w:r>
    </w:p>
    <w:p>
      <w:pPr>
        <w:pStyle w:val="null3"/>
        <w:ind w:firstLine="480"/>
      </w:pPr>
      <w:r>
        <w:rPr/>
        <w:t>我方确认收到贵方提供的</w:t>
      </w:r>
      <w:r>
        <w:rPr>
          <w:u w:val="single"/>
        </w:rPr>
        <w:t>“</w:t>
      </w:r>
      <w:r>
        <w:rPr>
          <w:u w:val="single"/>
        </w:rPr>
        <w:t>广东省特检院信息化构建采购项目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广东省特检院信息化构建采购项目</w:t>
      </w:r>
      <w:r>
        <w:rPr/>
        <w:t>”项目采购[采购项目编号为</w:t>
      </w:r>
      <w:r>
        <w:rPr/>
        <w:t>0809-24411GDG302008601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广东省特种设备检测研究院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广东省特检院信息化构建采购项目</w:t>
      </w:r>
      <w:r>
        <w:rPr/>
        <w:t>招标中获中标（采购项目编号：</w:t>
      </w:r>
      <w:r>
        <w:rPr/>
        <w:t>0809-24411GDG302008601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广东省特检院信息化构建采购项目</w:t>
      </w:r>
      <w:r>
        <w:rPr/>
        <w:t>”项目（采购项目编号：</w:t>
      </w:r>
      <w:r>
        <w:rPr/>
        <w:t>0809-24411GDG302008601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