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E6924F">
      <w:pPr>
        <w:pStyle w:val="5"/>
        <w:jc w:val="center"/>
        <w:outlineLvl w:val="1"/>
      </w:pPr>
      <w:r>
        <w:rPr>
          <w:b/>
          <w:sz w:val="36"/>
        </w:rPr>
        <w:t>采购需求</w:t>
      </w:r>
    </w:p>
    <w:p w14:paraId="37350ABF">
      <w:pPr>
        <w:pStyle w:val="5"/>
        <w:outlineLvl w:val="2"/>
      </w:pPr>
      <w:r>
        <w:rPr>
          <w:b/>
          <w:sz w:val="28"/>
        </w:rPr>
        <w:t>一、项目概况：</w:t>
      </w:r>
    </w:p>
    <w:p w14:paraId="7A59EDC8">
      <w:pPr>
        <w:pStyle w:val="5"/>
        <w:ind w:firstLine="420" w:firstLineChars="200"/>
      </w:pPr>
      <w:r>
        <w:rPr>
          <w:sz w:val="21"/>
        </w:rPr>
        <w:t>根据佛山市城市交通拥堵治理的新要求和新态势，结合佛山市交通运输局智能交通信息化和数据化建设管理应用现状，主要建设内容为：1）采购佛山交通路况运行数据；2）</w:t>
      </w:r>
      <w:r>
        <w:rPr>
          <w:rFonts w:hint="eastAsia" w:asciiTheme="minorEastAsia" w:hAnsiTheme="minorEastAsia" w:eastAsiaTheme="minorEastAsia" w:cstheme="minorEastAsia"/>
        </w:rPr>
        <w:t>采购</w:t>
      </w:r>
      <w:r>
        <w:rPr>
          <w:rFonts w:hint="eastAsia" w:asciiTheme="minorEastAsia" w:hAnsiTheme="minorEastAsia" w:eastAsiaTheme="minorEastAsia" w:cstheme="minorEastAsia"/>
          <w:lang w:eastAsia="zh-CN"/>
        </w:rPr>
        <w:t>城市交通路况运行分析平台数据处理服务</w:t>
      </w:r>
      <w:r>
        <w:rPr>
          <w:sz w:val="21"/>
        </w:rPr>
        <w:t>；3）</w:t>
      </w:r>
      <w:r>
        <w:rPr>
          <w:rFonts w:hint="eastAsia"/>
          <w:sz w:val="21"/>
        </w:rPr>
        <w:t>采购</w:t>
      </w:r>
      <w:r>
        <w:rPr>
          <w:rFonts w:hint="eastAsia"/>
          <w:sz w:val="21"/>
          <w:lang w:eastAsia="zh-CN"/>
        </w:rPr>
        <w:t>地图接口分析处理轨迹数据服务</w:t>
      </w:r>
      <w:r>
        <w:rPr>
          <w:sz w:val="21"/>
        </w:rPr>
        <w:t>。</w:t>
      </w:r>
    </w:p>
    <w:p w14:paraId="4418DCDB">
      <w:pPr>
        <w:pStyle w:val="5"/>
      </w:pPr>
      <w:r>
        <w:t>采购包1（</w:t>
      </w:r>
      <w:r>
        <w:rPr>
          <w:rFonts w:hint="eastAsia"/>
          <w:lang w:eastAsia="zh-CN"/>
        </w:rPr>
        <w:t>佛山市城市交通拥堵数据分析处理服务（2025-2026年）项目</w:t>
      </w:r>
      <w:r>
        <w:t>）</w:t>
      </w:r>
    </w:p>
    <w:p w14:paraId="3E3A52D8">
      <w:pPr>
        <w:pStyle w:val="5"/>
      </w:pPr>
      <w:r>
        <w:rPr>
          <w:b/>
        </w:rPr>
        <w:t>1.主要商务要求</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65"/>
        <w:gridCol w:w="6041"/>
      </w:tblGrid>
      <w:tr w14:paraId="16B175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265" w:type="dxa"/>
          </w:tcPr>
          <w:p w14:paraId="560DB41D">
            <w:pPr>
              <w:pStyle w:val="5"/>
              <w:rPr>
                <w:color w:val="auto"/>
              </w:rPr>
            </w:pPr>
            <w:r>
              <w:rPr>
                <w:color w:val="auto"/>
              </w:rPr>
              <w:t>标的提供的时间</w:t>
            </w:r>
          </w:p>
        </w:tc>
        <w:tc>
          <w:tcPr>
            <w:tcW w:w="6041" w:type="dxa"/>
          </w:tcPr>
          <w:p w14:paraId="08E36B9D">
            <w:pPr>
              <w:pStyle w:val="5"/>
              <w:rPr>
                <w:color w:val="auto"/>
              </w:rPr>
            </w:pPr>
            <w:r>
              <w:rPr>
                <w:rFonts w:hint="eastAsia"/>
                <w:color w:val="auto"/>
                <w:lang w:eastAsia="zh-CN"/>
              </w:rPr>
              <w:t>自合同签订生效后1年</w:t>
            </w:r>
            <w:r>
              <w:rPr>
                <w:color w:val="auto"/>
              </w:rPr>
              <w:t>。</w:t>
            </w:r>
          </w:p>
        </w:tc>
      </w:tr>
      <w:tr w14:paraId="596A35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65" w:type="dxa"/>
          </w:tcPr>
          <w:p w14:paraId="145BA990">
            <w:pPr>
              <w:pStyle w:val="5"/>
              <w:rPr>
                <w:color w:val="auto"/>
              </w:rPr>
            </w:pPr>
            <w:r>
              <w:rPr>
                <w:color w:val="auto"/>
              </w:rPr>
              <w:t>标的提供的地点</w:t>
            </w:r>
          </w:p>
        </w:tc>
        <w:tc>
          <w:tcPr>
            <w:tcW w:w="6041" w:type="dxa"/>
          </w:tcPr>
          <w:p w14:paraId="4801AE05">
            <w:pPr>
              <w:pStyle w:val="5"/>
              <w:rPr>
                <w:color w:val="auto"/>
              </w:rPr>
            </w:pPr>
            <w:r>
              <w:rPr>
                <w:color w:val="auto"/>
              </w:rPr>
              <w:t>采购人指定地点</w:t>
            </w:r>
          </w:p>
        </w:tc>
      </w:tr>
      <w:tr w14:paraId="66C276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65" w:type="dxa"/>
          </w:tcPr>
          <w:p w14:paraId="38BA9FA1">
            <w:pPr>
              <w:pStyle w:val="5"/>
              <w:rPr>
                <w:color w:val="auto"/>
              </w:rPr>
            </w:pPr>
            <w:r>
              <w:rPr>
                <w:color w:val="auto"/>
              </w:rPr>
              <w:t>付款方式</w:t>
            </w:r>
          </w:p>
        </w:tc>
        <w:tc>
          <w:tcPr>
            <w:tcW w:w="6041" w:type="dxa"/>
          </w:tcPr>
          <w:p w14:paraId="4F42802C">
            <w:pPr>
              <w:pStyle w:val="5"/>
              <w:rPr>
                <w:color w:val="auto"/>
              </w:rPr>
            </w:pPr>
            <w:r>
              <w:rPr>
                <w:color w:val="auto"/>
              </w:rPr>
              <w:t>1期：支付比例30%,合同签订生效后，采购人向成交供应商支付合同总额的30%。</w:t>
            </w:r>
          </w:p>
          <w:p w14:paraId="305A8C8E">
            <w:pPr>
              <w:pStyle w:val="5"/>
              <w:rPr>
                <w:color w:val="auto"/>
              </w:rPr>
            </w:pPr>
            <w:r>
              <w:rPr>
                <w:color w:val="auto"/>
              </w:rPr>
              <w:t>2期：支付比例20%,202</w:t>
            </w:r>
            <w:r>
              <w:rPr>
                <w:rFonts w:hint="eastAsia"/>
                <w:color w:val="auto"/>
                <w:lang w:val="en-US" w:eastAsia="zh-CN"/>
              </w:rPr>
              <w:t>5</w:t>
            </w:r>
            <w:r>
              <w:rPr>
                <w:color w:val="auto"/>
              </w:rPr>
              <w:t>年12月</w:t>
            </w:r>
            <w:r>
              <w:rPr>
                <w:rFonts w:hint="eastAsia"/>
                <w:color w:val="auto"/>
                <w:lang w:val="en-US" w:eastAsia="zh-CN"/>
              </w:rPr>
              <w:t>20日</w:t>
            </w:r>
            <w:r>
              <w:rPr>
                <w:color w:val="auto"/>
              </w:rPr>
              <w:t>前，成交供应商向采购人提交项目阶段实施报告，采购人确认后10个工作日内向成交供应商支付合同总价的20%。</w:t>
            </w:r>
          </w:p>
          <w:p w14:paraId="213AD134">
            <w:pPr>
              <w:pStyle w:val="5"/>
              <w:rPr>
                <w:color w:val="auto"/>
              </w:rPr>
            </w:pPr>
            <w:r>
              <w:rPr>
                <w:color w:val="auto"/>
              </w:rPr>
              <w:t>3期：支付比例50%,成交供应商提供数据已满1年，且项目通过验收后，采购人向成交供应商支付合同总额的50%。</w:t>
            </w:r>
          </w:p>
          <w:p w14:paraId="3E40C796">
            <w:pPr>
              <w:pStyle w:val="5"/>
              <w:rPr>
                <w:color w:val="auto"/>
              </w:rPr>
            </w:pPr>
            <w:r>
              <w:rPr>
                <w:color w:val="auto"/>
              </w:rPr>
              <w:t>如项目发生合同融资，采购人应当将合同款项支付到合同约定收款账户。</w:t>
            </w:r>
          </w:p>
        </w:tc>
      </w:tr>
      <w:tr w14:paraId="5797F1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65" w:type="dxa"/>
          </w:tcPr>
          <w:p w14:paraId="1C620184">
            <w:pPr>
              <w:pStyle w:val="5"/>
              <w:rPr>
                <w:color w:val="auto"/>
              </w:rPr>
            </w:pPr>
            <w:r>
              <w:rPr>
                <w:color w:val="auto"/>
              </w:rPr>
              <w:t>验收要求</w:t>
            </w:r>
          </w:p>
        </w:tc>
        <w:tc>
          <w:tcPr>
            <w:tcW w:w="6041" w:type="dxa"/>
          </w:tcPr>
          <w:p w14:paraId="400E354F">
            <w:pPr>
              <w:pStyle w:val="5"/>
              <w:rPr>
                <w:color w:val="auto"/>
              </w:rPr>
            </w:pPr>
            <w:r>
              <w:rPr>
                <w:color w:val="auto"/>
              </w:rPr>
              <w:t>1期：</w:t>
            </w:r>
          </w:p>
          <w:p w14:paraId="4A76CD22">
            <w:pPr>
              <w:pStyle w:val="5"/>
              <w:rPr>
                <w:color w:val="auto"/>
              </w:rPr>
            </w:pPr>
            <w:r>
              <w:rPr>
                <w:color w:val="auto"/>
              </w:rPr>
              <w:t xml:space="preserve">1）合同期满，收到成交供应商项目验收申请之日起7个工作日内按照合同的约定对履约情况进行验收，成交供应商需为验收提供必需的一切条件及相关费用，并提供本项目的相关文档和验收所需资料，积极配合采购人完成验收工作。 </w:t>
            </w:r>
          </w:p>
          <w:p w14:paraId="072E6607">
            <w:pPr>
              <w:pStyle w:val="5"/>
              <w:numPr>
                <w:ilvl w:val="0"/>
                <w:numId w:val="0"/>
              </w:numPr>
              <w:rPr>
                <w:color w:val="auto"/>
              </w:rPr>
            </w:pPr>
            <w:r>
              <w:rPr>
                <w:rFonts w:hint="eastAsia"/>
                <w:color w:val="auto"/>
                <w:lang w:val="en-US" w:eastAsia="zh-CN"/>
              </w:rPr>
              <w:t>2）</w:t>
            </w:r>
            <w:r>
              <w:rPr>
                <w:color w:val="auto"/>
              </w:rPr>
              <w:t xml:space="preserve">由采购人组织相关专家进行评审验收(验收地点:佛山市)(费用由成交供应商支付)。 </w:t>
            </w:r>
          </w:p>
          <w:p w14:paraId="3948CAC9">
            <w:pPr>
              <w:pStyle w:val="5"/>
              <w:numPr>
                <w:ilvl w:val="0"/>
                <w:numId w:val="0"/>
              </w:numPr>
              <w:rPr>
                <w:color w:val="auto"/>
              </w:rPr>
            </w:pPr>
            <w:r>
              <w:rPr>
                <w:color w:val="auto"/>
              </w:rPr>
              <w:t xml:space="preserve">3）成交供应商应配合采购人完成用户验收和佛山市政务服务和数据管理局所要求的符合性验收。 </w:t>
            </w:r>
          </w:p>
          <w:p w14:paraId="265384C8">
            <w:pPr>
              <w:pStyle w:val="5"/>
              <w:numPr>
                <w:ilvl w:val="0"/>
                <w:numId w:val="0"/>
              </w:numPr>
              <w:rPr>
                <w:color w:val="auto"/>
              </w:rPr>
            </w:pPr>
            <w:r>
              <w:rPr>
                <w:color w:val="auto"/>
              </w:rPr>
              <w:t xml:space="preserve">4）验收标准：磋商文件中约定的所有内容。 </w:t>
            </w:r>
          </w:p>
          <w:p w14:paraId="4973052E">
            <w:pPr>
              <w:pStyle w:val="5"/>
              <w:numPr>
                <w:ilvl w:val="0"/>
                <w:numId w:val="0"/>
              </w:numPr>
              <w:rPr>
                <w:color w:val="auto"/>
              </w:rPr>
            </w:pPr>
            <w:r>
              <w:rPr>
                <w:color w:val="auto"/>
              </w:rPr>
              <w:t>5）成交供应商应于验收后向采购人提供验收报告、技术文档的归纳、整理、提交，并提供完整的技术资料。</w:t>
            </w:r>
          </w:p>
        </w:tc>
      </w:tr>
      <w:tr w14:paraId="4460A1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65" w:type="dxa"/>
          </w:tcPr>
          <w:p w14:paraId="09218F5B">
            <w:pPr>
              <w:pStyle w:val="5"/>
              <w:rPr>
                <w:color w:val="auto"/>
              </w:rPr>
            </w:pPr>
            <w:r>
              <w:rPr>
                <w:color w:val="auto"/>
              </w:rPr>
              <w:t>履约保证金</w:t>
            </w:r>
          </w:p>
        </w:tc>
        <w:tc>
          <w:tcPr>
            <w:tcW w:w="6041" w:type="dxa"/>
          </w:tcPr>
          <w:p w14:paraId="1B22AAD2">
            <w:pPr>
              <w:pStyle w:val="5"/>
              <w:rPr>
                <w:color w:val="auto"/>
              </w:rPr>
            </w:pPr>
            <w:r>
              <w:rPr>
                <w:color w:val="auto"/>
              </w:rPr>
              <w:t>不收取</w:t>
            </w:r>
          </w:p>
        </w:tc>
      </w:tr>
      <w:tr w14:paraId="6200D0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65" w:type="dxa"/>
          </w:tcPr>
          <w:p w14:paraId="49B11E75">
            <w:pPr>
              <w:pStyle w:val="5"/>
              <w:rPr>
                <w:color w:val="auto"/>
              </w:rPr>
            </w:pPr>
            <w:r>
              <w:rPr>
                <w:color w:val="auto"/>
              </w:rPr>
              <w:t>其他</w:t>
            </w:r>
          </w:p>
        </w:tc>
        <w:tc>
          <w:tcPr>
            <w:tcW w:w="6041" w:type="dxa"/>
          </w:tcPr>
          <w:p w14:paraId="3CEE884D">
            <w:pPr>
              <w:pStyle w:val="5"/>
              <w:rPr>
                <w:color w:val="auto"/>
              </w:rPr>
            </w:pPr>
          </w:p>
        </w:tc>
      </w:tr>
    </w:tbl>
    <w:p w14:paraId="77635FA2">
      <w:pPr>
        <w:pStyle w:val="5"/>
      </w:pPr>
      <w:r>
        <w:t>其他商务需求</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65"/>
        <w:gridCol w:w="641"/>
        <w:gridCol w:w="1063"/>
        <w:gridCol w:w="5535"/>
        <w:gridCol w:w="3"/>
      </w:tblGrid>
      <w:tr w14:paraId="49ED17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 w:type="dxa"/>
          <w:trHeight w:val="362" w:hRule="atLeast"/>
        </w:trPr>
        <w:tc>
          <w:tcPr>
            <w:tcW w:w="1065" w:type="dxa"/>
          </w:tcPr>
          <w:p w14:paraId="209C44CC">
            <w:pPr>
              <w:pStyle w:val="5"/>
              <w:jc w:val="center"/>
              <w:rPr>
                <w:color w:val="auto"/>
              </w:rPr>
            </w:pPr>
            <w:r>
              <w:rPr>
                <w:color w:val="auto"/>
              </w:rPr>
              <w:t>参数性质</w:t>
            </w:r>
          </w:p>
        </w:tc>
        <w:tc>
          <w:tcPr>
            <w:tcW w:w="641" w:type="dxa"/>
          </w:tcPr>
          <w:p w14:paraId="2E060FBE">
            <w:pPr>
              <w:pStyle w:val="5"/>
              <w:jc w:val="center"/>
              <w:rPr>
                <w:color w:val="auto"/>
              </w:rPr>
            </w:pPr>
            <w:r>
              <w:rPr>
                <w:color w:val="auto"/>
              </w:rPr>
              <w:t>编号</w:t>
            </w:r>
          </w:p>
        </w:tc>
        <w:tc>
          <w:tcPr>
            <w:tcW w:w="1063" w:type="dxa"/>
          </w:tcPr>
          <w:p w14:paraId="60B9D29C">
            <w:pPr>
              <w:pStyle w:val="5"/>
              <w:jc w:val="center"/>
              <w:rPr>
                <w:color w:val="auto"/>
              </w:rPr>
            </w:pPr>
            <w:r>
              <w:rPr>
                <w:color w:val="auto"/>
              </w:rPr>
              <w:t>内容明细</w:t>
            </w:r>
          </w:p>
        </w:tc>
        <w:tc>
          <w:tcPr>
            <w:tcW w:w="5535" w:type="dxa"/>
          </w:tcPr>
          <w:p w14:paraId="2F0CF50A">
            <w:pPr>
              <w:pStyle w:val="5"/>
              <w:jc w:val="center"/>
              <w:rPr>
                <w:color w:val="auto"/>
              </w:rPr>
            </w:pPr>
            <w:r>
              <w:rPr>
                <w:color w:val="auto"/>
              </w:rPr>
              <w:t>内容说明</w:t>
            </w:r>
          </w:p>
        </w:tc>
      </w:tr>
      <w:tr w14:paraId="669E74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 w:type="dxa"/>
        </w:trPr>
        <w:tc>
          <w:tcPr>
            <w:tcW w:w="1065" w:type="dxa"/>
          </w:tcPr>
          <w:p w14:paraId="6DD5CE97">
            <w:pPr>
              <w:rPr>
                <w:color w:val="auto"/>
              </w:rPr>
            </w:pPr>
          </w:p>
        </w:tc>
        <w:tc>
          <w:tcPr>
            <w:tcW w:w="641" w:type="dxa"/>
          </w:tcPr>
          <w:p w14:paraId="541A66E5">
            <w:pPr>
              <w:pStyle w:val="5"/>
              <w:jc w:val="center"/>
              <w:rPr>
                <w:color w:val="auto"/>
              </w:rPr>
            </w:pPr>
            <w:r>
              <w:rPr>
                <w:color w:val="auto"/>
              </w:rPr>
              <w:t>1</w:t>
            </w:r>
          </w:p>
        </w:tc>
        <w:tc>
          <w:tcPr>
            <w:tcW w:w="1063" w:type="dxa"/>
          </w:tcPr>
          <w:p w14:paraId="25D732CB">
            <w:pPr>
              <w:pStyle w:val="5"/>
              <w:jc w:val="left"/>
              <w:rPr>
                <w:color w:val="auto"/>
              </w:rPr>
            </w:pPr>
            <w:r>
              <w:rPr>
                <w:color w:val="auto"/>
              </w:rPr>
              <w:t>报价要求</w:t>
            </w:r>
          </w:p>
        </w:tc>
        <w:tc>
          <w:tcPr>
            <w:tcW w:w="5535" w:type="dxa"/>
          </w:tcPr>
          <w:p w14:paraId="1E1E8232">
            <w:pPr>
              <w:pStyle w:val="5"/>
              <w:numPr>
                <w:ilvl w:val="0"/>
                <w:numId w:val="0"/>
              </w:numPr>
              <w:jc w:val="left"/>
              <w:rPr>
                <w:color w:val="auto"/>
              </w:rPr>
            </w:pPr>
            <w:r>
              <w:rPr>
                <w:rFonts w:hint="eastAsia"/>
                <w:color w:val="auto"/>
                <w:lang w:val="en-US" w:eastAsia="zh-CN"/>
              </w:rPr>
              <w:t>1）</w:t>
            </w:r>
            <w:r>
              <w:rPr>
                <w:color w:val="auto"/>
              </w:rPr>
              <w:t>本项目报价为广东省佛山市目的地交付价。 2）投标报价指投标供应商为完成本项目所收取的全部费用，包含但不限于以下费用： 【本项目内容深化、相关数据的购置、专业技术人员的投入、培训、验收（含专家验收所涉及的相关费用）、质保期服务、售后服务、各种税费、规费及合同实施过程中的不可预见费用等全部费用，如涉及软件许可使用或技术指导、人员培训的，还应包括软件许可费以及一切技术服务费、人员培训费，并应包含本次采购的采购代理费（成交服务费）】 。</w:t>
            </w:r>
          </w:p>
          <w:p w14:paraId="15D626BF">
            <w:pPr>
              <w:pStyle w:val="5"/>
              <w:numPr>
                <w:ilvl w:val="0"/>
                <w:numId w:val="0"/>
              </w:numPr>
              <w:jc w:val="left"/>
              <w:rPr>
                <w:color w:val="auto"/>
              </w:rPr>
            </w:pPr>
            <w:r>
              <w:rPr>
                <w:color w:val="auto"/>
              </w:rPr>
              <w:t>3）投标供应商须考虑本项目在实施期间的一切可能产生的费用。</w:t>
            </w:r>
          </w:p>
          <w:p w14:paraId="4252EEFA">
            <w:pPr>
              <w:pStyle w:val="5"/>
              <w:numPr>
                <w:ilvl w:val="0"/>
                <w:numId w:val="0"/>
              </w:numPr>
              <w:jc w:val="left"/>
              <w:rPr>
                <w:color w:val="auto"/>
              </w:rPr>
            </w:pPr>
            <w:r>
              <w:rPr>
                <w:color w:val="auto"/>
              </w:rPr>
              <w:t>4）报价不得高于本项目的采购项目预算金额，否则视为无效报价，作无效投标处理。</w:t>
            </w:r>
          </w:p>
          <w:p w14:paraId="1E7701D3">
            <w:pPr>
              <w:pStyle w:val="5"/>
              <w:numPr>
                <w:ilvl w:val="0"/>
                <w:numId w:val="0"/>
              </w:numPr>
              <w:jc w:val="left"/>
              <w:rPr>
                <w:color w:val="auto"/>
              </w:rPr>
            </w:pPr>
            <w:r>
              <w:rPr>
                <w:color w:val="auto"/>
              </w:rPr>
              <w:t>5）报价合理性：根据《政府采购货物和服务招标投标管理办法》第六十条的规定：评标委员会认为投标供应商的报价明显低于其他通过符合性审查投标供应商的报价，有可 能影响产品质量或者不能诚信履约的，应当要求其在评标现场合理的时间内提供书面说明，必要时提交相关证明材料；投标供应商不能证明其报价合理性的，评标委员会应当将其作为无效投标处理。</w:t>
            </w:r>
          </w:p>
        </w:tc>
      </w:tr>
      <w:tr w14:paraId="054EE7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 w:type="dxa"/>
        </w:trPr>
        <w:tc>
          <w:tcPr>
            <w:tcW w:w="1065" w:type="dxa"/>
          </w:tcPr>
          <w:p w14:paraId="2B5CF09C">
            <w:pPr>
              <w:rPr>
                <w:color w:val="auto"/>
              </w:rPr>
            </w:pPr>
          </w:p>
        </w:tc>
        <w:tc>
          <w:tcPr>
            <w:tcW w:w="641" w:type="dxa"/>
          </w:tcPr>
          <w:p w14:paraId="124A0431">
            <w:pPr>
              <w:pStyle w:val="5"/>
              <w:jc w:val="center"/>
              <w:rPr>
                <w:color w:val="auto"/>
              </w:rPr>
            </w:pPr>
            <w:r>
              <w:rPr>
                <w:color w:val="auto"/>
              </w:rPr>
              <w:t>2</w:t>
            </w:r>
          </w:p>
        </w:tc>
        <w:tc>
          <w:tcPr>
            <w:tcW w:w="1063" w:type="dxa"/>
          </w:tcPr>
          <w:p w14:paraId="0FC287A8">
            <w:pPr>
              <w:pStyle w:val="5"/>
              <w:jc w:val="left"/>
              <w:rPr>
                <w:rFonts w:hint="eastAsia" w:eastAsiaTheme="minorEastAsia"/>
                <w:color w:val="auto"/>
                <w:lang w:val="en-US" w:eastAsia="zh-CN"/>
              </w:rPr>
            </w:pPr>
            <w:r>
              <w:rPr>
                <w:color w:val="auto"/>
              </w:rPr>
              <w:t>付款要求</w:t>
            </w:r>
            <w:r>
              <w:rPr>
                <w:rFonts w:hint="eastAsia"/>
                <w:color w:val="auto"/>
                <w:lang w:val="en-US" w:eastAsia="zh-CN"/>
              </w:rPr>
              <w:t>补充</w:t>
            </w:r>
          </w:p>
        </w:tc>
        <w:tc>
          <w:tcPr>
            <w:tcW w:w="5535" w:type="dxa"/>
          </w:tcPr>
          <w:p w14:paraId="324A7FE8">
            <w:pPr>
              <w:pStyle w:val="5"/>
              <w:numPr>
                <w:ilvl w:val="0"/>
                <w:numId w:val="0"/>
              </w:numPr>
              <w:jc w:val="left"/>
              <w:rPr>
                <w:color w:val="auto"/>
              </w:rPr>
            </w:pPr>
            <w:r>
              <w:rPr>
                <w:rFonts w:hint="eastAsia"/>
                <w:color w:val="auto"/>
                <w:lang w:val="en-US" w:eastAsia="zh-CN"/>
              </w:rPr>
              <w:t>1）</w:t>
            </w:r>
            <w:r>
              <w:rPr>
                <w:color w:val="auto"/>
              </w:rPr>
              <w:t xml:space="preserve">合同款项的支付方式：转账结算（银行转账）。 </w:t>
            </w:r>
          </w:p>
          <w:p w14:paraId="3537CCC6">
            <w:pPr>
              <w:pStyle w:val="5"/>
              <w:numPr>
                <w:ilvl w:val="0"/>
                <w:numId w:val="0"/>
              </w:numPr>
              <w:jc w:val="left"/>
              <w:rPr>
                <w:color w:val="auto"/>
              </w:rPr>
            </w:pPr>
            <w:r>
              <w:rPr>
                <w:color w:val="auto"/>
              </w:rPr>
              <w:t xml:space="preserve">2）付款方：采购人；收款方：成交供应商。 </w:t>
            </w:r>
          </w:p>
          <w:p w14:paraId="2EA2D98F">
            <w:pPr>
              <w:pStyle w:val="5"/>
              <w:numPr>
                <w:ilvl w:val="0"/>
                <w:numId w:val="0"/>
              </w:numPr>
              <w:jc w:val="left"/>
              <w:rPr>
                <w:color w:val="auto"/>
              </w:rPr>
            </w:pPr>
            <w:r>
              <w:rPr>
                <w:color w:val="auto"/>
              </w:rPr>
              <w:t xml:space="preserve">3）开具发票：成交供应商收款时必须持有效发票。收款方、出具发票方、合同乙方均必须与成交供应商名称一致。 </w:t>
            </w:r>
          </w:p>
          <w:p w14:paraId="29209EBC">
            <w:pPr>
              <w:pStyle w:val="5"/>
              <w:numPr>
                <w:ilvl w:val="0"/>
                <w:numId w:val="0"/>
              </w:numPr>
              <w:jc w:val="left"/>
              <w:rPr>
                <w:color w:val="auto"/>
              </w:rPr>
            </w:pPr>
            <w:r>
              <w:rPr>
                <w:color w:val="auto"/>
              </w:rPr>
              <w:t xml:space="preserve">4）对于满足合同支付条件的，采购人原则上在收到发票后10个工作日内按照采购合同约定办理支付手续。 </w:t>
            </w:r>
          </w:p>
          <w:p w14:paraId="2614C310">
            <w:pPr>
              <w:pStyle w:val="5"/>
              <w:numPr>
                <w:ilvl w:val="0"/>
                <w:numId w:val="0"/>
              </w:numPr>
              <w:jc w:val="left"/>
              <w:rPr>
                <w:color w:val="auto"/>
              </w:rPr>
            </w:pPr>
            <w:r>
              <w:rPr>
                <w:color w:val="auto"/>
              </w:rPr>
              <w:t>5）付款期间如因特殊情况需调整，由双方协商处理。</w:t>
            </w:r>
          </w:p>
        </w:tc>
      </w:tr>
      <w:tr w14:paraId="5098F0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 w:type="dxa"/>
        </w:trPr>
        <w:tc>
          <w:tcPr>
            <w:tcW w:w="1065" w:type="dxa"/>
          </w:tcPr>
          <w:p w14:paraId="18F91F40">
            <w:pPr>
              <w:rPr>
                <w:color w:val="auto"/>
              </w:rPr>
            </w:pPr>
          </w:p>
        </w:tc>
        <w:tc>
          <w:tcPr>
            <w:tcW w:w="641" w:type="dxa"/>
          </w:tcPr>
          <w:p w14:paraId="5CD85E69">
            <w:pPr>
              <w:pStyle w:val="5"/>
              <w:jc w:val="center"/>
              <w:rPr>
                <w:color w:val="auto"/>
              </w:rPr>
            </w:pPr>
            <w:r>
              <w:rPr>
                <w:color w:val="auto"/>
              </w:rPr>
              <w:t>3</w:t>
            </w:r>
          </w:p>
        </w:tc>
        <w:tc>
          <w:tcPr>
            <w:tcW w:w="1063" w:type="dxa"/>
          </w:tcPr>
          <w:p w14:paraId="1D59CE9A">
            <w:pPr>
              <w:pStyle w:val="5"/>
              <w:jc w:val="left"/>
              <w:rPr>
                <w:color w:val="auto"/>
              </w:rPr>
            </w:pPr>
            <w:r>
              <w:rPr>
                <w:color w:val="auto"/>
              </w:rPr>
              <w:t>人员管理</w:t>
            </w:r>
          </w:p>
        </w:tc>
        <w:tc>
          <w:tcPr>
            <w:tcW w:w="5535" w:type="dxa"/>
          </w:tcPr>
          <w:p w14:paraId="7E2FC145">
            <w:pPr>
              <w:pStyle w:val="5"/>
              <w:numPr>
                <w:ilvl w:val="0"/>
                <w:numId w:val="0"/>
              </w:numPr>
              <w:jc w:val="left"/>
              <w:rPr>
                <w:color w:val="auto"/>
              </w:rPr>
            </w:pPr>
            <w:r>
              <w:rPr>
                <w:rFonts w:hint="eastAsia"/>
                <w:color w:val="auto"/>
                <w:lang w:val="en-US" w:eastAsia="zh-CN"/>
              </w:rPr>
              <w:t>1）</w:t>
            </w:r>
            <w:r>
              <w:rPr>
                <w:color w:val="auto"/>
              </w:rPr>
              <w:t xml:space="preserve">成交供应商须按其投标文件中承诺提供的项目组人员必须按要求投入到本项目中，在合同期内不得擅自更换。成交供应商如因工作安排或其它原因，需要更换项目组人员时，应事前向采购人书面提出书面申请，未经采购人同意，不得更换人员。 </w:t>
            </w:r>
          </w:p>
          <w:p w14:paraId="06E380DB">
            <w:pPr>
              <w:pStyle w:val="5"/>
              <w:numPr>
                <w:ilvl w:val="0"/>
                <w:numId w:val="0"/>
              </w:numPr>
              <w:jc w:val="left"/>
              <w:rPr>
                <w:color w:val="auto"/>
              </w:rPr>
            </w:pPr>
            <w:r>
              <w:rPr>
                <w:color w:val="auto"/>
              </w:rPr>
              <w:t>2）除须按采购人的要求对人员作出调整外，如成交供应商未经采购人书面同意擅自更换项目组人员，采购人有权终止合同，由此引致的经济损失，成交供应商须全额赔偿，采购人保留追究成交供应商相关责任的权利。</w:t>
            </w:r>
          </w:p>
          <w:p w14:paraId="76E3419C">
            <w:pPr>
              <w:pStyle w:val="5"/>
              <w:numPr>
                <w:ilvl w:val="0"/>
                <w:numId w:val="0"/>
              </w:numPr>
              <w:jc w:val="left"/>
              <w:rPr>
                <w:color w:val="auto"/>
              </w:rPr>
            </w:pPr>
            <w:r>
              <w:rPr>
                <w:color w:val="auto"/>
              </w:rPr>
              <w:t xml:space="preserve">3）采购人有权以书面形式要求成交供应商更换不能按规定履行合同的人员。 </w:t>
            </w:r>
          </w:p>
          <w:p w14:paraId="3146E94A">
            <w:pPr>
              <w:pStyle w:val="5"/>
              <w:numPr>
                <w:ilvl w:val="0"/>
                <w:numId w:val="0"/>
              </w:numPr>
              <w:jc w:val="left"/>
              <w:rPr>
                <w:color w:val="auto"/>
              </w:rPr>
            </w:pPr>
            <w:r>
              <w:rPr>
                <w:color w:val="auto"/>
              </w:rPr>
              <w:t xml:space="preserve">4）即使是采购人要求或同意更换的人员，其代替人员的资质仍应得到采购人的认可，且其资历和经验均不低于被更换人员。由此而产生的费用由成交供应商承担。 </w:t>
            </w:r>
          </w:p>
          <w:p w14:paraId="47B86453">
            <w:pPr>
              <w:pStyle w:val="5"/>
              <w:numPr>
                <w:ilvl w:val="0"/>
                <w:numId w:val="0"/>
              </w:numPr>
              <w:jc w:val="left"/>
              <w:rPr>
                <w:color w:val="auto"/>
              </w:rPr>
            </w:pPr>
            <w:r>
              <w:rPr>
                <w:color w:val="auto"/>
              </w:rPr>
              <w:t>5）成交供应商对其雇员的人身安全负全部责任。</w:t>
            </w:r>
          </w:p>
        </w:tc>
      </w:tr>
      <w:tr w14:paraId="0F6923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 w:type="dxa"/>
        </w:trPr>
        <w:tc>
          <w:tcPr>
            <w:tcW w:w="1065" w:type="dxa"/>
          </w:tcPr>
          <w:p w14:paraId="3CAD3262">
            <w:pPr>
              <w:rPr>
                <w:color w:val="auto"/>
              </w:rPr>
            </w:pPr>
          </w:p>
        </w:tc>
        <w:tc>
          <w:tcPr>
            <w:tcW w:w="641" w:type="dxa"/>
          </w:tcPr>
          <w:p w14:paraId="21BBDD2A">
            <w:pPr>
              <w:pStyle w:val="5"/>
              <w:jc w:val="center"/>
              <w:rPr>
                <w:color w:val="auto"/>
              </w:rPr>
            </w:pPr>
            <w:r>
              <w:rPr>
                <w:color w:val="auto"/>
              </w:rPr>
              <w:t>4</w:t>
            </w:r>
          </w:p>
        </w:tc>
        <w:tc>
          <w:tcPr>
            <w:tcW w:w="1063" w:type="dxa"/>
          </w:tcPr>
          <w:p w14:paraId="39A8DD0A">
            <w:pPr>
              <w:pStyle w:val="5"/>
              <w:jc w:val="left"/>
              <w:rPr>
                <w:color w:val="auto"/>
              </w:rPr>
            </w:pPr>
            <w:r>
              <w:rPr>
                <w:color w:val="auto"/>
              </w:rPr>
              <w:t>培训要求</w:t>
            </w:r>
          </w:p>
        </w:tc>
        <w:tc>
          <w:tcPr>
            <w:tcW w:w="5535" w:type="dxa"/>
          </w:tcPr>
          <w:p w14:paraId="28AD4438">
            <w:pPr>
              <w:pStyle w:val="5"/>
              <w:numPr>
                <w:ilvl w:val="0"/>
                <w:numId w:val="0"/>
              </w:numPr>
              <w:jc w:val="left"/>
              <w:rPr>
                <w:color w:val="auto"/>
                <w:highlight w:val="none"/>
              </w:rPr>
            </w:pPr>
            <w:r>
              <w:rPr>
                <w:rFonts w:hint="eastAsia"/>
                <w:color w:val="auto"/>
                <w:highlight w:val="none"/>
                <w:lang w:val="en-US" w:eastAsia="zh-CN"/>
              </w:rPr>
              <w:t>1）</w:t>
            </w:r>
            <w:r>
              <w:rPr>
                <w:color w:val="auto"/>
                <w:highlight w:val="none"/>
              </w:rPr>
              <w:t>基本要求：成交供应商须根据采购人的要求，安排熟悉本项目的专业技术人员在采购人指定的地点（佛山市内）向采购人提供</w:t>
            </w:r>
            <w:r>
              <w:rPr>
                <w:rFonts w:hint="eastAsia"/>
                <w:color w:val="auto"/>
                <w:highlight w:val="none"/>
                <w:lang w:val="en-US" w:eastAsia="zh-CN"/>
              </w:rPr>
              <w:t>完善</w:t>
            </w:r>
            <w:r>
              <w:rPr>
                <w:color w:val="auto"/>
                <w:highlight w:val="none"/>
              </w:rPr>
              <w:t xml:space="preserve">、全面的使用培训。 </w:t>
            </w:r>
          </w:p>
          <w:p w14:paraId="1A27D860">
            <w:pPr>
              <w:pStyle w:val="5"/>
              <w:numPr>
                <w:ilvl w:val="0"/>
                <w:numId w:val="0"/>
              </w:numPr>
              <w:jc w:val="left"/>
              <w:rPr>
                <w:color w:val="auto"/>
                <w:highlight w:val="none"/>
              </w:rPr>
            </w:pPr>
            <w:r>
              <w:rPr>
                <w:color w:val="auto"/>
                <w:highlight w:val="none"/>
              </w:rPr>
              <w:t xml:space="preserve">2）目的：确保采购人能够对系统有足够的了解，能够独立进行日常操作、管理和维护。 </w:t>
            </w:r>
          </w:p>
          <w:p w14:paraId="04EE895D">
            <w:pPr>
              <w:pStyle w:val="5"/>
              <w:numPr>
                <w:ilvl w:val="0"/>
                <w:numId w:val="0"/>
              </w:numPr>
              <w:jc w:val="left"/>
              <w:rPr>
                <w:color w:val="auto"/>
                <w:highlight w:val="none"/>
              </w:rPr>
            </w:pPr>
            <w:r>
              <w:rPr>
                <w:color w:val="auto"/>
                <w:highlight w:val="none"/>
              </w:rPr>
              <w:t xml:space="preserve">3）培训资料：成交供应商必须为所有被培训人员提供培训用文字资料和讲义等相关用品。所有的资料必须是中文书写。 </w:t>
            </w:r>
          </w:p>
          <w:p w14:paraId="6E9FDB14">
            <w:pPr>
              <w:pStyle w:val="5"/>
              <w:numPr>
                <w:ilvl w:val="0"/>
                <w:numId w:val="0"/>
              </w:numPr>
              <w:jc w:val="left"/>
              <w:rPr>
                <w:color w:val="auto"/>
                <w:highlight w:val="none"/>
              </w:rPr>
            </w:pPr>
            <w:r>
              <w:rPr>
                <w:color w:val="auto"/>
                <w:highlight w:val="none"/>
              </w:rPr>
              <w:t>4）培训费用：所有与本项目有关的培训费用包括差旅、食宿、教材、资料等由成交供应商负责，均计入磋商报价中。</w:t>
            </w:r>
          </w:p>
        </w:tc>
      </w:tr>
      <w:tr w14:paraId="6F3619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 w:type="dxa"/>
        </w:trPr>
        <w:tc>
          <w:tcPr>
            <w:tcW w:w="1065" w:type="dxa"/>
          </w:tcPr>
          <w:p w14:paraId="3ABA86DD">
            <w:pPr>
              <w:rPr>
                <w:color w:val="auto"/>
              </w:rPr>
            </w:pPr>
          </w:p>
        </w:tc>
        <w:tc>
          <w:tcPr>
            <w:tcW w:w="641" w:type="dxa"/>
          </w:tcPr>
          <w:p w14:paraId="2464C50B">
            <w:pPr>
              <w:pStyle w:val="5"/>
              <w:jc w:val="center"/>
              <w:rPr>
                <w:color w:val="auto"/>
              </w:rPr>
            </w:pPr>
            <w:r>
              <w:rPr>
                <w:color w:val="auto"/>
              </w:rPr>
              <w:t>5</w:t>
            </w:r>
          </w:p>
        </w:tc>
        <w:tc>
          <w:tcPr>
            <w:tcW w:w="1063" w:type="dxa"/>
          </w:tcPr>
          <w:p w14:paraId="74D83FBC">
            <w:pPr>
              <w:pStyle w:val="5"/>
              <w:jc w:val="left"/>
              <w:rPr>
                <w:color w:val="auto"/>
              </w:rPr>
            </w:pPr>
            <w:r>
              <w:rPr>
                <w:color w:val="auto"/>
              </w:rPr>
              <w:t>售后服务</w:t>
            </w:r>
          </w:p>
        </w:tc>
        <w:tc>
          <w:tcPr>
            <w:tcW w:w="5535" w:type="dxa"/>
          </w:tcPr>
          <w:p w14:paraId="3E1FAF62">
            <w:pPr>
              <w:pStyle w:val="5"/>
              <w:numPr>
                <w:ilvl w:val="0"/>
                <w:numId w:val="0"/>
              </w:numPr>
              <w:jc w:val="left"/>
              <w:rPr>
                <w:color w:val="auto"/>
                <w:highlight w:val="none"/>
              </w:rPr>
            </w:pPr>
            <w:r>
              <w:rPr>
                <w:rFonts w:hint="eastAsia"/>
                <w:color w:val="auto"/>
                <w:highlight w:val="none"/>
                <w:lang w:val="en-US" w:eastAsia="zh-CN"/>
              </w:rPr>
              <w:t>1）</w:t>
            </w:r>
            <w:r>
              <w:rPr>
                <w:color w:val="auto"/>
                <w:highlight w:val="none"/>
              </w:rPr>
              <w:t xml:space="preserve">成交供应商须提供常设7天×24小时热线服务和长期的免费技术支持，对采购人的服务通知，成交供应商在接报后1小时内响应，2小时内到达现场，12小时内处理完毕。如系统因自身故障致停用时间累计超过20天时，则服务期相应延长。 </w:t>
            </w:r>
          </w:p>
          <w:p w14:paraId="3D1AFB1A">
            <w:pPr>
              <w:pStyle w:val="5"/>
              <w:numPr>
                <w:ilvl w:val="0"/>
                <w:numId w:val="0"/>
              </w:numPr>
              <w:jc w:val="left"/>
              <w:rPr>
                <w:color w:val="auto"/>
                <w:highlight w:val="none"/>
              </w:rPr>
            </w:pPr>
            <w:r>
              <w:rPr>
                <w:color w:val="auto"/>
                <w:highlight w:val="none"/>
              </w:rPr>
              <w:t>2）成交供应商应负责系统运行的稳定性。负责修改出错的软件系统。若成交供应商承担的设备在功能上、性能上达不到设计要求，采购人有权要求成交供应商进行及时完善的修改。 3）成交供应商必须承诺提供长期的咨询和技术支持服务。</w:t>
            </w:r>
          </w:p>
        </w:tc>
      </w:tr>
      <w:tr w14:paraId="108B77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 w:type="dxa"/>
        </w:trPr>
        <w:tc>
          <w:tcPr>
            <w:tcW w:w="1065" w:type="dxa"/>
          </w:tcPr>
          <w:p w14:paraId="22ECEFF9">
            <w:pPr>
              <w:rPr>
                <w:color w:val="auto"/>
              </w:rPr>
            </w:pPr>
          </w:p>
        </w:tc>
        <w:tc>
          <w:tcPr>
            <w:tcW w:w="641" w:type="dxa"/>
          </w:tcPr>
          <w:p w14:paraId="55FE7B51">
            <w:pPr>
              <w:pStyle w:val="5"/>
              <w:jc w:val="center"/>
              <w:rPr>
                <w:color w:val="auto"/>
              </w:rPr>
            </w:pPr>
            <w:r>
              <w:rPr>
                <w:color w:val="auto"/>
              </w:rPr>
              <w:t>6</w:t>
            </w:r>
          </w:p>
        </w:tc>
        <w:tc>
          <w:tcPr>
            <w:tcW w:w="1063" w:type="dxa"/>
          </w:tcPr>
          <w:p w14:paraId="6F7B6E7D">
            <w:pPr>
              <w:pStyle w:val="5"/>
              <w:jc w:val="left"/>
              <w:rPr>
                <w:color w:val="auto"/>
              </w:rPr>
            </w:pPr>
            <w:r>
              <w:rPr>
                <w:color w:val="auto"/>
              </w:rPr>
              <w:t>其他要求</w:t>
            </w:r>
          </w:p>
        </w:tc>
        <w:tc>
          <w:tcPr>
            <w:tcW w:w="5535" w:type="dxa"/>
          </w:tcPr>
          <w:p w14:paraId="7A11902D">
            <w:pPr>
              <w:pStyle w:val="5"/>
              <w:numPr>
                <w:ilvl w:val="0"/>
                <w:numId w:val="0"/>
              </w:numPr>
              <w:jc w:val="left"/>
              <w:rPr>
                <w:color w:val="auto"/>
              </w:rPr>
            </w:pPr>
            <w:r>
              <w:rPr>
                <w:rFonts w:hint="eastAsia"/>
                <w:color w:val="auto"/>
                <w:lang w:val="en-US" w:eastAsia="zh-CN"/>
              </w:rPr>
              <w:t>1）</w:t>
            </w:r>
            <w:r>
              <w:rPr>
                <w:color w:val="auto"/>
              </w:rPr>
              <w:t xml:space="preserve">成交供应商在项目过程中须接受采购人（包括采购人聘请的专家）的管理和监督，采购人有权对项目的进度及工作内容等进行合理规划和分配。 </w:t>
            </w:r>
          </w:p>
          <w:p w14:paraId="746DFDC4">
            <w:pPr>
              <w:pStyle w:val="5"/>
              <w:numPr>
                <w:ilvl w:val="0"/>
                <w:numId w:val="0"/>
              </w:numPr>
              <w:jc w:val="left"/>
              <w:rPr>
                <w:color w:val="auto"/>
              </w:rPr>
            </w:pPr>
            <w:r>
              <w:rPr>
                <w:color w:val="auto"/>
              </w:rPr>
              <w:t>2）项目实施过程中，如因版权问题导致实施计划延误，或受到来自第三方关于侵犯专利权、“应用软件”设计权及其他知识产权的法律指控时，成交供应商须承担由此而引起的一切责任和费用。若需要购买第三方版权、专利权、商标权或其他知识产权，其所需费用应在此次报价中包含 3）成交供应商在项目实施过程中，对采购人所提供的所有相关资料、数据，未经采购人书面同意不得向任何第三人泄露，且保密责任不因合同的终止或解除而失效。 4）本项目不允许分包。</w:t>
            </w:r>
          </w:p>
        </w:tc>
      </w:tr>
      <w:tr w14:paraId="2C4199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gridSpan w:val="3"/>
          </w:tcPr>
          <w:p w14:paraId="144C9713">
            <w:pPr>
              <w:pStyle w:val="5"/>
              <w:rPr>
                <w:color w:val="auto"/>
              </w:rPr>
            </w:pPr>
            <w:r>
              <w:rPr>
                <w:color w:val="auto"/>
              </w:rPr>
              <w:t>说明</w:t>
            </w:r>
          </w:p>
        </w:tc>
        <w:tc>
          <w:tcPr>
            <w:tcW w:w="5538" w:type="dxa"/>
            <w:gridSpan w:val="2"/>
          </w:tcPr>
          <w:p w14:paraId="5D8BCC68">
            <w:pPr>
              <w:pStyle w:val="5"/>
              <w:jc w:val="left"/>
              <w:rPr>
                <w:color w:val="auto"/>
              </w:rPr>
            </w:pPr>
            <w:r>
              <w:rPr>
                <w:color w:val="auto"/>
              </w:rPr>
              <w:t xml:space="preserve">打“★”号条款为实质性条款，若有任何一条负偏离或不满足则导致投标（响应）无效。 </w:t>
            </w:r>
            <w:r>
              <w:rPr>
                <w:color w:val="auto"/>
              </w:rPr>
              <w:br w:type="textWrapping"/>
            </w:r>
            <w:r>
              <w:rPr>
                <w:color w:val="auto"/>
              </w:rPr>
              <w:t>打“▲”号条款为重要参数（如有），若有部分“▲”条款未响应或不满足，将根据评审要求影响其得分，但不作为无效投标（响应）条款。</w:t>
            </w:r>
          </w:p>
        </w:tc>
      </w:tr>
    </w:tbl>
    <w:p w14:paraId="4E6D3ED9">
      <w:pPr>
        <w:pStyle w:val="5"/>
      </w:pPr>
      <w:r>
        <w:rPr>
          <w:b/>
        </w:rPr>
        <w:t>2.技术标准与要求</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60"/>
        <w:gridCol w:w="860"/>
        <w:gridCol w:w="860"/>
        <w:gridCol w:w="860"/>
        <w:gridCol w:w="882"/>
        <w:gridCol w:w="1279"/>
        <w:gridCol w:w="1279"/>
        <w:gridCol w:w="781"/>
        <w:gridCol w:w="861"/>
      </w:tblGrid>
      <w:tr w14:paraId="575B7F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3" w:type="dxa"/>
          </w:tcPr>
          <w:p w14:paraId="40ED3AC5">
            <w:pPr>
              <w:pStyle w:val="5"/>
              <w:jc w:val="center"/>
            </w:pPr>
            <w:r>
              <w:t>序号</w:t>
            </w:r>
          </w:p>
        </w:tc>
        <w:tc>
          <w:tcPr>
            <w:tcW w:w="933" w:type="dxa"/>
          </w:tcPr>
          <w:p w14:paraId="16E18B6E">
            <w:pPr>
              <w:pStyle w:val="5"/>
              <w:jc w:val="center"/>
            </w:pPr>
            <w:r>
              <w:t>品目名称</w:t>
            </w:r>
          </w:p>
        </w:tc>
        <w:tc>
          <w:tcPr>
            <w:tcW w:w="933" w:type="dxa"/>
          </w:tcPr>
          <w:p w14:paraId="2ACD1BD0">
            <w:pPr>
              <w:pStyle w:val="5"/>
              <w:jc w:val="center"/>
            </w:pPr>
            <w:r>
              <w:t>标的名称</w:t>
            </w:r>
          </w:p>
        </w:tc>
        <w:tc>
          <w:tcPr>
            <w:tcW w:w="933" w:type="dxa"/>
          </w:tcPr>
          <w:p w14:paraId="7AD11102">
            <w:pPr>
              <w:pStyle w:val="5"/>
              <w:jc w:val="center"/>
            </w:pPr>
            <w:r>
              <w:t>单位</w:t>
            </w:r>
          </w:p>
        </w:tc>
        <w:tc>
          <w:tcPr>
            <w:tcW w:w="933" w:type="dxa"/>
          </w:tcPr>
          <w:p w14:paraId="7DF9B010">
            <w:pPr>
              <w:pStyle w:val="5"/>
              <w:jc w:val="center"/>
            </w:pPr>
            <w:r>
              <w:t>数量</w:t>
            </w:r>
          </w:p>
        </w:tc>
        <w:tc>
          <w:tcPr>
            <w:tcW w:w="933" w:type="dxa"/>
          </w:tcPr>
          <w:p w14:paraId="1710B136">
            <w:pPr>
              <w:pStyle w:val="5"/>
              <w:jc w:val="center"/>
            </w:pPr>
            <w:r>
              <w:t>分项预算单价（元）</w:t>
            </w:r>
          </w:p>
        </w:tc>
        <w:tc>
          <w:tcPr>
            <w:tcW w:w="933" w:type="dxa"/>
          </w:tcPr>
          <w:p w14:paraId="53F459BC">
            <w:pPr>
              <w:pStyle w:val="5"/>
              <w:jc w:val="center"/>
            </w:pPr>
            <w:r>
              <w:t>分项预算总价（元）</w:t>
            </w:r>
          </w:p>
        </w:tc>
        <w:tc>
          <w:tcPr>
            <w:tcW w:w="840" w:type="dxa"/>
          </w:tcPr>
          <w:p w14:paraId="4FFEF682">
            <w:pPr>
              <w:pStyle w:val="5"/>
            </w:pPr>
            <w:r>
              <w:t>所属行业</w:t>
            </w:r>
          </w:p>
        </w:tc>
        <w:tc>
          <w:tcPr>
            <w:tcW w:w="933" w:type="dxa"/>
          </w:tcPr>
          <w:p w14:paraId="5599BE84">
            <w:pPr>
              <w:pStyle w:val="5"/>
              <w:jc w:val="center"/>
            </w:pPr>
            <w:r>
              <w:t>技术要求</w:t>
            </w:r>
          </w:p>
        </w:tc>
      </w:tr>
      <w:tr w14:paraId="564181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3" w:type="dxa"/>
          </w:tcPr>
          <w:p w14:paraId="61290402">
            <w:pPr>
              <w:pStyle w:val="5"/>
              <w:jc w:val="center"/>
            </w:pPr>
            <w:r>
              <w:t>1</w:t>
            </w:r>
          </w:p>
        </w:tc>
        <w:tc>
          <w:tcPr>
            <w:tcW w:w="933" w:type="dxa"/>
          </w:tcPr>
          <w:p w14:paraId="1F61B39B">
            <w:pPr>
              <w:pStyle w:val="5"/>
              <w:jc w:val="left"/>
            </w:pPr>
            <w:r>
              <w:t>其他服务</w:t>
            </w:r>
          </w:p>
        </w:tc>
        <w:tc>
          <w:tcPr>
            <w:tcW w:w="933" w:type="dxa"/>
          </w:tcPr>
          <w:p w14:paraId="62A2939B">
            <w:pPr>
              <w:pStyle w:val="5"/>
              <w:jc w:val="left"/>
              <w:rPr>
                <w:rFonts w:hint="eastAsia" w:eastAsiaTheme="minorEastAsia"/>
                <w:lang w:eastAsia="zh-CN"/>
              </w:rPr>
            </w:pPr>
            <w:r>
              <w:rPr>
                <w:rFonts w:hint="eastAsia"/>
                <w:lang w:eastAsia="zh-CN"/>
              </w:rPr>
              <w:t>城市交通拥堵数据分析处理服务</w:t>
            </w:r>
          </w:p>
        </w:tc>
        <w:tc>
          <w:tcPr>
            <w:tcW w:w="933" w:type="dxa"/>
          </w:tcPr>
          <w:p w14:paraId="7D9A99AE">
            <w:pPr>
              <w:pStyle w:val="5"/>
              <w:jc w:val="left"/>
            </w:pPr>
            <w:r>
              <w:t>项</w:t>
            </w:r>
          </w:p>
        </w:tc>
        <w:tc>
          <w:tcPr>
            <w:tcW w:w="933" w:type="dxa"/>
          </w:tcPr>
          <w:p w14:paraId="6D0EEFAF">
            <w:pPr>
              <w:pStyle w:val="5"/>
              <w:jc w:val="right"/>
            </w:pPr>
            <w:r>
              <w:t>1.00</w:t>
            </w:r>
          </w:p>
        </w:tc>
        <w:tc>
          <w:tcPr>
            <w:tcW w:w="933" w:type="dxa"/>
          </w:tcPr>
          <w:p w14:paraId="7D8B0200">
            <w:pPr>
              <w:pStyle w:val="5"/>
              <w:jc w:val="right"/>
              <w:rPr>
                <w:rFonts w:hint="eastAsia" w:eastAsiaTheme="minorEastAsia"/>
                <w:lang w:eastAsia="zh-CN"/>
              </w:rPr>
            </w:pPr>
            <w:r>
              <w:rPr>
                <w:rFonts w:hint="eastAsia"/>
                <w:lang w:eastAsia="zh-CN"/>
              </w:rPr>
              <w:t>1,501,592.00</w:t>
            </w:r>
          </w:p>
        </w:tc>
        <w:tc>
          <w:tcPr>
            <w:tcW w:w="933" w:type="dxa"/>
          </w:tcPr>
          <w:p w14:paraId="5A8C0964">
            <w:pPr>
              <w:pStyle w:val="5"/>
              <w:jc w:val="right"/>
              <w:rPr>
                <w:rFonts w:hint="eastAsia" w:eastAsiaTheme="minorEastAsia"/>
                <w:lang w:eastAsia="zh-CN"/>
              </w:rPr>
            </w:pPr>
            <w:r>
              <w:rPr>
                <w:rFonts w:hint="eastAsia"/>
                <w:lang w:eastAsia="zh-CN"/>
              </w:rPr>
              <w:t>1,501,592.00</w:t>
            </w:r>
          </w:p>
        </w:tc>
        <w:tc>
          <w:tcPr>
            <w:tcW w:w="840" w:type="dxa"/>
          </w:tcPr>
          <w:p w14:paraId="772E0163">
            <w:pPr>
              <w:pStyle w:val="5"/>
            </w:pPr>
            <w:r>
              <w:t>软件和信息技术服务业</w:t>
            </w:r>
          </w:p>
        </w:tc>
        <w:tc>
          <w:tcPr>
            <w:tcW w:w="933" w:type="dxa"/>
          </w:tcPr>
          <w:p w14:paraId="0BB99637">
            <w:pPr>
              <w:pStyle w:val="5"/>
            </w:pPr>
            <w:r>
              <w:t>详见附表一</w:t>
            </w:r>
          </w:p>
        </w:tc>
      </w:tr>
    </w:tbl>
    <w:p w14:paraId="6F277596">
      <w:pPr>
        <w:pStyle w:val="5"/>
        <w:rPr>
          <w:rFonts w:hint="eastAsia" w:eastAsiaTheme="minorEastAsia"/>
          <w:lang w:eastAsia="zh-CN"/>
        </w:rPr>
      </w:pPr>
      <w:r>
        <w:rPr>
          <w:b/>
        </w:rPr>
        <w:t>附表一：</w:t>
      </w:r>
      <w:r>
        <w:rPr>
          <w:rFonts w:hint="eastAsia"/>
          <w:b/>
          <w:lang w:eastAsia="zh-CN"/>
        </w:rPr>
        <w:t>城市交通拥堵数据分析处理服务</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4"/>
        <w:gridCol w:w="640"/>
        <w:gridCol w:w="6532"/>
      </w:tblGrid>
      <w:tr w14:paraId="448EE7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4" w:type="dxa"/>
          </w:tcPr>
          <w:p w14:paraId="6DA141BC">
            <w:pPr>
              <w:pStyle w:val="5"/>
            </w:pPr>
            <w:r>
              <w:t>参数性质</w:t>
            </w:r>
          </w:p>
        </w:tc>
        <w:tc>
          <w:tcPr>
            <w:tcW w:w="640" w:type="dxa"/>
          </w:tcPr>
          <w:p w14:paraId="6BA79C7F">
            <w:pPr>
              <w:pStyle w:val="5"/>
            </w:pPr>
            <w:r>
              <w:t>序号</w:t>
            </w:r>
          </w:p>
        </w:tc>
        <w:tc>
          <w:tcPr>
            <w:tcW w:w="6532" w:type="dxa"/>
          </w:tcPr>
          <w:p w14:paraId="541F496A">
            <w:pPr>
              <w:pStyle w:val="5"/>
            </w:pPr>
            <w:r>
              <w:t>具体技术(参数)要求</w:t>
            </w:r>
          </w:p>
        </w:tc>
      </w:tr>
      <w:tr w14:paraId="03947C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4" w:type="dxa"/>
          </w:tcPr>
          <w:p w14:paraId="54B92150"/>
        </w:tc>
        <w:tc>
          <w:tcPr>
            <w:tcW w:w="640" w:type="dxa"/>
          </w:tcPr>
          <w:p w14:paraId="2F4704E5">
            <w:pPr>
              <w:pStyle w:val="5"/>
            </w:pPr>
            <w:r>
              <w:t>1</w:t>
            </w:r>
          </w:p>
        </w:tc>
        <w:tc>
          <w:tcPr>
            <w:tcW w:w="6532" w:type="dxa"/>
          </w:tcPr>
          <w:p w14:paraId="43C6F747">
            <w:pPr>
              <w:pStyle w:val="5"/>
              <w:numPr>
                <w:ilvl w:val="0"/>
                <w:numId w:val="0"/>
              </w:numPr>
              <w:jc w:val="left"/>
              <w:rPr>
                <w:rFonts w:hint="eastAsia"/>
                <w:b/>
                <w:bCs/>
                <w:sz w:val="21"/>
                <w:szCs w:val="21"/>
                <w:lang w:val="en-US" w:eastAsia="zh-CN"/>
              </w:rPr>
            </w:pPr>
            <w:r>
              <w:rPr>
                <w:rFonts w:hint="eastAsia"/>
                <w:b/>
                <w:bCs/>
                <w:sz w:val="21"/>
                <w:szCs w:val="21"/>
                <w:lang w:val="en-US" w:eastAsia="zh-CN"/>
              </w:rPr>
              <w:t>一、项目背景</w:t>
            </w:r>
          </w:p>
          <w:p w14:paraId="0F8B0FF4">
            <w:pPr>
              <w:pStyle w:val="5"/>
              <w:numPr>
                <w:ilvl w:val="0"/>
                <w:numId w:val="0"/>
              </w:numPr>
              <w:spacing w:line="360" w:lineRule="auto"/>
              <w:ind w:firstLine="400" w:firstLineChars="200"/>
              <w:jc w:val="left"/>
              <w:rPr>
                <w:rFonts w:hint="eastAsia"/>
                <w:lang w:val="en-US" w:eastAsia="zh-CN"/>
              </w:rPr>
            </w:pPr>
            <w:r>
              <w:rPr>
                <w:rFonts w:hint="eastAsia"/>
                <w:lang w:val="en-US" w:eastAsia="zh-CN"/>
              </w:rPr>
              <w:t>本项目为佛山市交通运输政务信息化提供丰富数据治理工具及分析处理服务，满足交通数据感知采集、交通数据治理与共享服务、算力和数据分析等基础支撑服务和城市交通数据算法构建的需求，通过公开招标的方式，提供道路运行态势、健康程度、优化建议的相关数据分析处理服务和工具，打造佛山市交通拥堵的评价、诊断一体的研判功能，并支撑线上建议与线下治理相结合的拥堵治理机制落地。</w:t>
            </w:r>
          </w:p>
          <w:p w14:paraId="70F70309">
            <w:pPr>
              <w:pStyle w:val="5"/>
              <w:numPr>
                <w:ilvl w:val="0"/>
                <w:numId w:val="0"/>
              </w:numPr>
              <w:jc w:val="left"/>
              <w:rPr>
                <w:rFonts w:hint="eastAsia"/>
                <w:b/>
                <w:bCs/>
                <w:sz w:val="21"/>
                <w:szCs w:val="21"/>
                <w:lang w:val="en-US" w:eastAsia="zh-CN"/>
              </w:rPr>
            </w:pPr>
            <w:r>
              <w:rPr>
                <w:rFonts w:hint="eastAsia"/>
                <w:b/>
                <w:bCs/>
                <w:sz w:val="21"/>
                <w:szCs w:val="21"/>
                <w:lang w:val="en-US" w:eastAsia="zh-CN"/>
              </w:rPr>
              <w:t>二、项目目标</w:t>
            </w:r>
          </w:p>
          <w:p w14:paraId="5CECE98A">
            <w:pPr>
              <w:pStyle w:val="5"/>
              <w:numPr>
                <w:ilvl w:val="0"/>
                <w:numId w:val="0"/>
              </w:numPr>
              <w:spacing w:line="360" w:lineRule="auto"/>
              <w:ind w:firstLine="400" w:firstLineChars="200"/>
              <w:jc w:val="left"/>
              <w:rPr>
                <w:rFonts w:hint="eastAsia"/>
                <w:lang w:val="en-US" w:eastAsia="zh-Hans"/>
              </w:rPr>
            </w:pPr>
            <w:r>
              <w:rPr>
                <w:rFonts w:hint="eastAsia"/>
                <w:lang w:val="en-US" w:eastAsia="zh-Hans"/>
              </w:rPr>
              <w:t>本项目的总体目标是通过</w:t>
            </w:r>
            <w:bookmarkStart w:id="0" w:name="_Toc18345"/>
            <w:r>
              <w:rPr>
                <w:rFonts w:hint="eastAsia"/>
                <w:lang w:val="en-US" w:eastAsia="zh-Hans"/>
              </w:rPr>
              <w:t>采购佛山</w:t>
            </w:r>
            <w:r>
              <w:rPr>
                <w:rFonts w:hint="eastAsia"/>
                <w:lang w:val="en-US" w:eastAsia="zh-CN"/>
              </w:rPr>
              <w:t>市</w:t>
            </w:r>
            <w:r>
              <w:rPr>
                <w:rFonts w:hint="eastAsia"/>
                <w:lang w:val="en-US" w:eastAsia="zh-Hans"/>
              </w:rPr>
              <w:t>交通路况运行数据</w:t>
            </w:r>
            <w:bookmarkEnd w:id="0"/>
            <w:bookmarkStart w:id="1" w:name="_Toc16745"/>
            <w:r>
              <w:rPr>
                <w:rFonts w:hint="eastAsia"/>
                <w:lang w:val="en-US" w:eastAsia="zh-Hans"/>
              </w:rPr>
              <w:t>、</w:t>
            </w:r>
            <w:bookmarkEnd w:id="1"/>
            <w:r>
              <w:rPr>
                <w:rFonts w:hint="eastAsia"/>
                <w:lang w:val="en-US" w:eastAsia="zh-Hans"/>
              </w:rPr>
              <w:t>城市交通路况运行分析平台数据处理服务和地图接口分析处理轨迹数据服务，在</w:t>
            </w:r>
            <w:r>
              <w:rPr>
                <w:rFonts w:hint="eastAsia"/>
                <w:lang w:val="en-US" w:eastAsia="zh-CN"/>
              </w:rPr>
              <w:t>佛山市</w:t>
            </w:r>
            <w:r>
              <w:rPr>
                <w:rFonts w:hint="eastAsia"/>
                <w:lang w:val="en-US" w:eastAsia="zh-Hans"/>
              </w:rPr>
              <w:t>交通运输局数据中心汇聚海量互联网交通大数据，打造佛山市交通拥堵的评价、诊断一体的研判功能，并支撑线上建议与线下治理相结合的拥堵治理机制落地，进一步提高佛山市城市交通拥堵综合治理水平，降低佛山市交通拥堵状况，提升佛山市城市交通健康指数。</w:t>
            </w:r>
          </w:p>
          <w:p w14:paraId="43BBC895">
            <w:pPr>
              <w:pStyle w:val="5"/>
              <w:numPr>
                <w:ilvl w:val="0"/>
                <w:numId w:val="0"/>
              </w:numPr>
              <w:spacing w:line="360" w:lineRule="auto"/>
              <w:ind w:firstLine="400" w:firstLineChars="200"/>
              <w:jc w:val="left"/>
              <w:rPr>
                <w:rFonts w:hint="eastAsia"/>
                <w:lang w:val="en-US" w:eastAsia="zh-CN"/>
              </w:rPr>
            </w:pPr>
            <w:r>
              <w:rPr>
                <w:rFonts w:hint="eastAsia"/>
                <w:lang w:val="en-US" w:eastAsia="zh-Hans"/>
              </w:rPr>
              <w:t>项目内容主要是使用互联网公司海量的数据分析处理能力、互联网地图轨迹管理接口等工具，对海量的互联网交通出行数据进行分析处理后，输出多维度的佛山交通路况运行数据。</w:t>
            </w:r>
          </w:p>
          <w:p w14:paraId="1523E460">
            <w:pPr>
              <w:pStyle w:val="5"/>
              <w:numPr>
                <w:ilvl w:val="0"/>
                <w:numId w:val="0"/>
              </w:numPr>
              <w:jc w:val="left"/>
              <w:rPr>
                <w:rFonts w:hint="eastAsia"/>
                <w:b/>
                <w:bCs/>
                <w:sz w:val="21"/>
                <w:szCs w:val="21"/>
                <w:lang w:val="en-US" w:eastAsia="zh-CN"/>
              </w:rPr>
            </w:pPr>
            <w:r>
              <w:rPr>
                <w:rFonts w:hint="eastAsia"/>
                <w:b/>
                <w:bCs/>
                <w:sz w:val="21"/>
                <w:szCs w:val="21"/>
                <w:lang w:val="en-US" w:eastAsia="zh-CN"/>
              </w:rPr>
              <w:t>三、项目内容汇总</w:t>
            </w:r>
          </w:p>
          <w:tbl>
            <w:tblPr>
              <w:tblStyle w:val="3"/>
              <w:tblW w:w="0" w:type="auto"/>
              <w:tblInd w:w="-3"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13"/>
              <w:gridCol w:w="1574"/>
              <w:gridCol w:w="4031"/>
            </w:tblGrid>
            <w:tr w14:paraId="08BEE74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3"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Mar>
                    <w:top w:w="0" w:type="dxa"/>
                    <w:left w:w="105" w:type="dxa"/>
                    <w:bottom w:w="0" w:type="dxa"/>
                    <w:right w:w="105" w:type="dxa"/>
                  </w:tcMar>
                  <w:vAlign w:val="top"/>
                </w:tcPr>
                <w:p w14:paraId="6A5D7729">
                  <w:pPr>
                    <w:pStyle w:val="5"/>
                    <w:jc w:val="center"/>
                  </w:pPr>
                  <w:r>
                    <w:rPr>
                      <w:b/>
                      <w:sz w:val="19"/>
                    </w:rPr>
                    <w:t>序号</w:t>
                  </w:r>
                </w:p>
              </w:tc>
              <w:tc>
                <w:tcPr>
                  <w:tcW w:w="1574" w:type="dxa"/>
                  <w:tcBorders>
                    <w:top w:val="single" w:color="000000" w:sz="4" w:space="0"/>
                    <w:left w:val="nil"/>
                    <w:bottom w:val="single" w:color="000000" w:sz="4" w:space="0"/>
                    <w:right w:val="single" w:color="000000" w:sz="4" w:space="0"/>
                  </w:tcBorders>
                  <w:shd w:val="clear" w:color="auto" w:fill="F1F1F1" w:themeFill="background1" w:themeFillShade="F2"/>
                  <w:tcMar>
                    <w:top w:w="0" w:type="dxa"/>
                    <w:left w:w="105" w:type="dxa"/>
                    <w:bottom w:w="0" w:type="dxa"/>
                    <w:right w:w="105" w:type="dxa"/>
                  </w:tcMar>
                  <w:vAlign w:val="top"/>
                </w:tcPr>
                <w:p w14:paraId="0FD98267">
                  <w:pPr>
                    <w:pStyle w:val="5"/>
                    <w:jc w:val="center"/>
                  </w:pPr>
                  <w:r>
                    <w:rPr>
                      <w:b/>
                      <w:sz w:val="19"/>
                    </w:rPr>
                    <w:t>服务项目</w:t>
                  </w:r>
                </w:p>
              </w:tc>
              <w:tc>
                <w:tcPr>
                  <w:tcW w:w="4031" w:type="dxa"/>
                  <w:tcBorders>
                    <w:top w:val="single" w:color="000000" w:sz="4" w:space="0"/>
                    <w:left w:val="nil"/>
                    <w:bottom w:val="single" w:color="000000" w:sz="4" w:space="0"/>
                    <w:right w:val="single" w:color="000000" w:sz="4" w:space="0"/>
                  </w:tcBorders>
                  <w:shd w:val="clear" w:color="auto" w:fill="F1F1F1" w:themeFill="background1" w:themeFillShade="F2"/>
                  <w:tcMar>
                    <w:top w:w="0" w:type="dxa"/>
                    <w:left w:w="105" w:type="dxa"/>
                    <w:bottom w:w="0" w:type="dxa"/>
                    <w:right w:w="105" w:type="dxa"/>
                  </w:tcMar>
                  <w:vAlign w:val="top"/>
                </w:tcPr>
                <w:p w14:paraId="4AD06AFB">
                  <w:pPr>
                    <w:pStyle w:val="5"/>
                    <w:jc w:val="center"/>
                  </w:pPr>
                  <w:r>
                    <w:rPr>
                      <w:b/>
                      <w:sz w:val="19"/>
                    </w:rPr>
                    <w:t>服务内容</w:t>
                  </w:r>
                </w:p>
              </w:tc>
            </w:tr>
            <w:tr w14:paraId="37236BF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568E69">
                  <w:pPr>
                    <w:pStyle w:val="5"/>
                    <w:jc w:val="center"/>
                  </w:pPr>
                  <w:r>
                    <w:rPr>
                      <w:sz w:val="21"/>
                    </w:rPr>
                    <w:t>1</w:t>
                  </w:r>
                </w:p>
              </w:tc>
              <w:tc>
                <w:tcPr>
                  <w:tcW w:w="15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732BE2">
                  <w:pPr>
                    <w:pStyle w:val="5"/>
                    <w:jc w:val="center"/>
                  </w:pPr>
                  <w:r>
                    <w:rPr>
                      <w:sz w:val="21"/>
                    </w:rPr>
                    <w:t>采购佛山交通路况运行数据</w:t>
                  </w:r>
                </w:p>
              </w:tc>
              <w:tc>
                <w:tcPr>
                  <w:tcW w:w="403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E05840">
                  <w:pPr>
                    <w:pStyle w:val="5"/>
                  </w:pPr>
                  <w:r>
                    <w:rPr>
                      <w:rFonts w:hint="eastAsia"/>
                      <w:sz w:val="21"/>
                    </w:rPr>
                    <w:t>实时交通路况数据、</w:t>
                  </w:r>
                  <w:r>
                    <w:rPr>
                      <w:rFonts w:hint="eastAsia"/>
                      <w:sz w:val="21"/>
                      <w:lang w:eastAsia="zh-Hans"/>
                    </w:rPr>
                    <w:t>实时交通事件服务</w:t>
                  </w:r>
                  <w:r>
                    <w:rPr>
                      <w:rFonts w:hint="eastAsia"/>
                      <w:sz w:val="21"/>
                    </w:rPr>
                    <w:t>数据、</w:t>
                  </w:r>
                  <w:r>
                    <w:rPr>
                      <w:rFonts w:hint="eastAsia"/>
                      <w:sz w:val="21"/>
                      <w:lang w:eastAsia="zh-Hans"/>
                    </w:rPr>
                    <w:t>交通指数服务</w:t>
                  </w:r>
                  <w:r>
                    <w:rPr>
                      <w:rFonts w:hint="eastAsia"/>
                      <w:sz w:val="21"/>
                    </w:rPr>
                    <w:t>数据、</w:t>
                  </w:r>
                  <w:r>
                    <w:rPr>
                      <w:rFonts w:hint="eastAsia"/>
                      <w:sz w:val="21"/>
                      <w:lang w:eastAsia="zh-Hans"/>
                    </w:rPr>
                    <w:t>拥堵预警服务</w:t>
                  </w:r>
                  <w:r>
                    <w:rPr>
                      <w:rFonts w:hint="eastAsia"/>
                      <w:sz w:val="21"/>
                    </w:rPr>
                    <w:t>数据、</w:t>
                  </w:r>
                  <w:r>
                    <w:rPr>
                      <w:rFonts w:hint="eastAsia"/>
                      <w:sz w:val="21"/>
                      <w:lang w:eastAsia="zh-Hans"/>
                    </w:rPr>
                    <w:t>异常速度预警服务</w:t>
                  </w:r>
                  <w:r>
                    <w:rPr>
                      <w:rFonts w:hint="eastAsia"/>
                      <w:sz w:val="21"/>
                    </w:rPr>
                    <w:t>数据、</w:t>
                  </w:r>
                  <w:r>
                    <w:rPr>
                      <w:rFonts w:hint="eastAsia"/>
                      <w:sz w:val="21"/>
                      <w:lang w:eastAsia="zh-Hans"/>
                    </w:rPr>
                    <w:t>三急一速数据服务</w:t>
                  </w:r>
                  <w:r>
                    <w:rPr>
                      <w:rFonts w:hint="eastAsia"/>
                      <w:sz w:val="21"/>
                    </w:rPr>
                    <w:t>数据、</w:t>
                  </w:r>
                  <w:r>
                    <w:rPr>
                      <w:rFonts w:hint="eastAsia"/>
                      <w:sz w:val="21"/>
                      <w:lang w:eastAsia="zh-Hans"/>
                    </w:rPr>
                    <w:t>收费站拥堵服务</w:t>
                  </w:r>
                  <w:r>
                    <w:rPr>
                      <w:rFonts w:hint="eastAsia"/>
                      <w:sz w:val="21"/>
                    </w:rPr>
                    <w:t>数据及</w:t>
                  </w:r>
                  <w:r>
                    <w:rPr>
                      <w:rFonts w:hint="eastAsia"/>
                      <w:sz w:val="21"/>
                      <w:lang w:eastAsia="zh-Hans"/>
                    </w:rPr>
                    <w:t>里程桩查询服务</w:t>
                  </w:r>
                  <w:r>
                    <w:rPr>
                      <w:rFonts w:hint="eastAsia"/>
                      <w:sz w:val="21"/>
                    </w:rPr>
                    <w:t>数据等</w:t>
                  </w:r>
                  <w:r>
                    <w:rPr>
                      <w:sz w:val="21"/>
                    </w:rPr>
                    <w:t>。</w:t>
                  </w:r>
                </w:p>
              </w:tc>
            </w:tr>
            <w:tr w14:paraId="3CB04D6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7C1D2F">
                  <w:pPr>
                    <w:pStyle w:val="5"/>
                    <w:jc w:val="center"/>
                  </w:pPr>
                  <w:r>
                    <w:rPr>
                      <w:sz w:val="21"/>
                    </w:rPr>
                    <w:t>2</w:t>
                  </w:r>
                </w:p>
              </w:tc>
              <w:tc>
                <w:tcPr>
                  <w:tcW w:w="15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DAC1FC">
                  <w:pPr>
                    <w:pStyle w:val="5"/>
                    <w:jc w:val="center"/>
                    <w:rPr>
                      <w:highlight w:val="none"/>
                    </w:rPr>
                  </w:pPr>
                  <w:r>
                    <w:rPr>
                      <w:rFonts w:hint="eastAsia"/>
                      <w:highlight w:val="none"/>
                    </w:rPr>
                    <w:t>采购</w:t>
                  </w:r>
                  <w:r>
                    <w:rPr>
                      <w:rFonts w:hint="eastAsia"/>
                      <w:highlight w:val="none"/>
                      <w:lang w:eastAsia="zh-CN"/>
                    </w:rPr>
                    <w:t>城市交通路况运行分析平台数据处理服务</w:t>
                  </w:r>
                </w:p>
              </w:tc>
              <w:tc>
                <w:tcPr>
                  <w:tcW w:w="403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91E52A">
                  <w:pPr>
                    <w:pStyle w:val="5"/>
                    <w:rPr>
                      <w:rFonts w:hint="eastAsia"/>
                      <w:sz w:val="21"/>
                    </w:rPr>
                  </w:pPr>
                  <w:r>
                    <w:rPr>
                      <w:rFonts w:hint="eastAsia"/>
                      <w:sz w:val="21"/>
                    </w:rPr>
                    <w:t>城市交通路况运行分析平台数据处理服务，</w:t>
                  </w:r>
                  <w:r>
                    <w:rPr>
                      <w:rFonts w:hint="eastAsia"/>
                      <w:sz w:val="21"/>
                      <w:lang w:eastAsia="zh-Hans"/>
                    </w:rPr>
                    <w:t>融合基础地图、LBS、云计算、GIS、可视化、AI等综合技术能力的串联，提供可落地具有智慧决策能力的互联网版SaaS服务</w:t>
                  </w:r>
                  <w:r>
                    <w:rPr>
                      <w:rFonts w:hint="eastAsia"/>
                      <w:sz w:val="21"/>
                    </w:rPr>
                    <w:t>和</w:t>
                  </w:r>
                  <w:r>
                    <w:rPr>
                      <w:rFonts w:hint="eastAsia"/>
                      <w:sz w:val="21"/>
                      <w:lang w:eastAsia="zh-Hans"/>
                    </w:rPr>
                    <w:t>大数据智能分析工具</w:t>
                  </w:r>
                  <w:r>
                    <w:rPr>
                      <w:rFonts w:hint="eastAsia"/>
                      <w:sz w:val="21"/>
                    </w:rPr>
                    <w:t>和服务</w:t>
                  </w:r>
                  <w:r>
                    <w:rPr>
                      <w:rFonts w:hint="eastAsia"/>
                      <w:sz w:val="21"/>
                      <w:lang w:eastAsia="zh-Hans"/>
                    </w:rPr>
                    <w:t>。基于AI全方位分析拥堵区域的道路基础设施、交通运行健康状况和高峰时段拥堵规律后，“一键生成”具体治理建议并应用到各类城市交通拥堵场景。如在分析高架道路匝道出入口、常发拥堵路段和红绿灯路口等拥堵场景时，可以针对不同场景给出具体的成因分析、优化方案和效果评价，为城市各类交通拥堵场景提供精细、科学的</w:t>
                  </w:r>
                  <w:r>
                    <w:rPr>
                      <w:rFonts w:hint="eastAsia"/>
                      <w:sz w:val="21"/>
                    </w:rPr>
                    <w:t>路况运行分析</w:t>
                  </w:r>
                  <w:r>
                    <w:rPr>
                      <w:rFonts w:hint="eastAsia"/>
                      <w:sz w:val="21"/>
                      <w:lang w:eastAsia="zh-Hans"/>
                    </w:rPr>
                    <w:t>一体化解决方案</w:t>
                  </w:r>
                  <w:r>
                    <w:rPr>
                      <w:rFonts w:hint="eastAsia"/>
                      <w:sz w:val="21"/>
                    </w:rPr>
                    <w:t>。</w:t>
                  </w:r>
                </w:p>
              </w:tc>
            </w:tr>
            <w:tr w14:paraId="6CCF6C9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9B4F85">
                  <w:pPr>
                    <w:pStyle w:val="5"/>
                    <w:jc w:val="center"/>
                  </w:pPr>
                  <w:r>
                    <w:rPr>
                      <w:sz w:val="21"/>
                    </w:rPr>
                    <w:t>3</w:t>
                  </w:r>
                </w:p>
              </w:tc>
              <w:tc>
                <w:tcPr>
                  <w:tcW w:w="15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88448D">
                  <w:pPr>
                    <w:pStyle w:val="5"/>
                    <w:jc w:val="center"/>
                  </w:pPr>
                  <w:r>
                    <w:rPr>
                      <w:rFonts w:hint="eastAsia" w:asciiTheme="minorEastAsia" w:hAnsiTheme="minorEastAsia" w:eastAsiaTheme="minorEastAsia" w:cstheme="minorEastAsia"/>
                    </w:rPr>
                    <w:t>采购</w:t>
                  </w:r>
                  <w:r>
                    <w:rPr>
                      <w:rFonts w:hint="eastAsia" w:asciiTheme="minorEastAsia" w:hAnsiTheme="minorEastAsia" w:eastAsiaTheme="minorEastAsia" w:cstheme="minorEastAsia"/>
                      <w:lang w:eastAsia="zh-CN"/>
                    </w:rPr>
                    <w:t>地图接口分析处理轨迹数据服务</w:t>
                  </w:r>
                </w:p>
              </w:tc>
              <w:tc>
                <w:tcPr>
                  <w:tcW w:w="403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17473F">
                  <w:pPr>
                    <w:pStyle w:val="5"/>
                    <w:rPr>
                      <w:rFonts w:hint="eastAsia"/>
                      <w:sz w:val="21"/>
                    </w:rPr>
                  </w:pPr>
                  <w:r>
                    <w:rPr>
                      <w:rFonts w:hint="eastAsia"/>
                      <w:sz w:val="21"/>
                    </w:rPr>
                    <w:t>主要用于公众出行信息服务及交通行车运输车辆</w:t>
                  </w:r>
                  <w:r>
                    <w:rPr>
                      <w:rFonts w:hint="eastAsia"/>
                      <w:sz w:val="21"/>
                      <w:lang w:eastAsia="zh-Hans"/>
                    </w:rPr>
                    <w:t>轨迹管理服务</w:t>
                  </w:r>
                  <w:r>
                    <w:rPr>
                      <w:rFonts w:hint="eastAsia"/>
                      <w:sz w:val="21"/>
                    </w:rPr>
                    <w:t>，主要接口功能包括：</w:t>
                  </w:r>
                  <w:r>
                    <w:rPr>
                      <w:rFonts w:hint="eastAsia"/>
                      <w:sz w:val="21"/>
                      <w:lang w:eastAsia="zh-Hans"/>
                    </w:rPr>
                    <w:t>轨迹管理服务，移动端 SDK 和服务端 API 接入服务，轨迹纠偏绑路、里程计算、行为分析、地理围栏等</w:t>
                  </w:r>
                  <w:r>
                    <w:rPr>
                      <w:rFonts w:hint="eastAsia"/>
                      <w:sz w:val="21"/>
                    </w:rPr>
                    <w:t>。</w:t>
                  </w:r>
                </w:p>
              </w:tc>
            </w:tr>
          </w:tbl>
          <w:p w14:paraId="5FAECAFE">
            <w:pPr>
              <w:pStyle w:val="5"/>
              <w:numPr>
                <w:ilvl w:val="0"/>
                <w:numId w:val="0"/>
              </w:numPr>
              <w:jc w:val="left"/>
              <w:rPr>
                <w:rFonts w:hint="eastAsia"/>
                <w:b/>
                <w:bCs/>
                <w:sz w:val="21"/>
                <w:szCs w:val="21"/>
                <w:lang w:val="en-US" w:eastAsia="zh-CN"/>
              </w:rPr>
            </w:pPr>
            <w:r>
              <w:rPr>
                <w:rFonts w:hint="eastAsia"/>
                <w:b/>
                <w:bCs/>
                <w:sz w:val="21"/>
                <w:szCs w:val="21"/>
                <w:lang w:val="en-US" w:eastAsia="zh-CN"/>
              </w:rPr>
              <w:t>四、详细技术要求</w:t>
            </w:r>
          </w:p>
          <w:p w14:paraId="6047A31D">
            <w:pPr>
              <w:pStyle w:val="5"/>
              <w:numPr>
                <w:ilvl w:val="0"/>
                <w:numId w:val="0"/>
              </w:numPr>
              <w:jc w:val="left"/>
              <w:rPr>
                <w:rFonts w:hint="eastAsia"/>
                <w:b/>
                <w:bCs/>
                <w:sz w:val="21"/>
                <w:szCs w:val="21"/>
                <w:lang w:val="en-US" w:eastAsia="zh-CN"/>
              </w:rPr>
            </w:pPr>
            <w:r>
              <w:rPr>
                <w:rFonts w:hint="eastAsia"/>
                <w:b/>
                <w:bCs/>
                <w:sz w:val="21"/>
                <w:szCs w:val="21"/>
                <w:lang w:val="en-US" w:eastAsia="zh-CN"/>
              </w:rPr>
              <w:t>1.采购佛山交通路况运行数据</w:t>
            </w:r>
          </w:p>
          <w:tbl>
            <w:tblPr>
              <w:tblStyle w:val="3"/>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10"/>
              <w:gridCol w:w="1094"/>
              <w:gridCol w:w="4525"/>
            </w:tblGrid>
            <w:tr w14:paraId="02702A2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0"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Mar>
                    <w:top w:w="0" w:type="dxa"/>
                    <w:left w:w="105" w:type="dxa"/>
                    <w:bottom w:w="0" w:type="dxa"/>
                    <w:right w:w="105" w:type="dxa"/>
                  </w:tcMar>
                  <w:vAlign w:val="center"/>
                </w:tcPr>
                <w:p w14:paraId="0EC7A0E0">
                  <w:pPr>
                    <w:pStyle w:val="5"/>
                    <w:jc w:val="center"/>
                  </w:pPr>
                  <w:r>
                    <w:rPr>
                      <w:b/>
                      <w:sz w:val="19"/>
                    </w:rPr>
                    <w:t>序号</w:t>
                  </w:r>
                </w:p>
              </w:tc>
              <w:tc>
                <w:tcPr>
                  <w:tcW w:w="1094"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Mar>
                    <w:top w:w="0" w:type="dxa"/>
                    <w:left w:w="105" w:type="dxa"/>
                    <w:bottom w:w="0" w:type="dxa"/>
                    <w:right w:w="105" w:type="dxa"/>
                  </w:tcMar>
                  <w:vAlign w:val="center"/>
                </w:tcPr>
                <w:p w14:paraId="15E77B85">
                  <w:pPr>
                    <w:pStyle w:val="5"/>
                    <w:jc w:val="center"/>
                  </w:pPr>
                  <w:r>
                    <w:rPr>
                      <w:b/>
                      <w:sz w:val="19"/>
                    </w:rPr>
                    <w:t>名称</w:t>
                  </w:r>
                </w:p>
              </w:tc>
              <w:tc>
                <w:tcPr>
                  <w:tcW w:w="4525"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Mar>
                    <w:top w:w="0" w:type="dxa"/>
                    <w:left w:w="105" w:type="dxa"/>
                    <w:bottom w:w="0" w:type="dxa"/>
                    <w:right w:w="105" w:type="dxa"/>
                  </w:tcMar>
                  <w:vAlign w:val="center"/>
                </w:tcPr>
                <w:p w14:paraId="688815A8">
                  <w:pPr>
                    <w:pStyle w:val="5"/>
                    <w:jc w:val="center"/>
                    <w:rPr>
                      <w:rFonts w:hint="default" w:eastAsiaTheme="minorEastAsia"/>
                      <w:lang w:val="en-US" w:eastAsia="zh-CN"/>
                    </w:rPr>
                  </w:pPr>
                  <w:r>
                    <w:rPr>
                      <w:rFonts w:hint="eastAsia"/>
                      <w:b/>
                      <w:sz w:val="19"/>
                      <w:lang w:val="en-US" w:eastAsia="zh-CN"/>
                    </w:rPr>
                    <w:t>内容</w:t>
                  </w:r>
                </w:p>
              </w:tc>
            </w:tr>
            <w:tr w14:paraId="3201832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02FA5B6">
                  <w:pPr>
                    <w:pStyle w:val="5"/>
                    <w:jc w:val="center"/>
                  </w:pPr>
                  <w:r>
                    <w:rPr>
                      <w:sz w:val="21"/>
                    </w:rPr>
                    <w:t>1</w:t>
                  </w:r>
                </w:p>
              </w:tc>
              <w:tc>
                <w:tcPr>
                  <w:tcW w:w="10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5819B9F3">
                  <w:pPr>
                    <w:pStyle w:val="5"/>
                    <w:jc w:val="center"/>
                  </w:pPr>
                  <w:r>
                    <w:rPr>
                      <w:sz w:val="21"/>
                    </w:rPr>
                    <w:t>实时</w:t>
                  </w:r>
                  <w:r>
                    <w:rPr>
                      <w:rFonts w:hint="eastAsia"/>
                      <w:sz w:val="21"/>
                      <w:lang w:val="en-US" w:eastAsia="zh-CN"/>
                    </w:rPr>
                    <w:t>交通</w:t>
                  </w:r>
                  <w:r>
                    <w:rPr>
                      <w:sz w:val="21"/>
                    </w:rPr>
                    <w:t>路况数据</w:t>
                  </w:r>
                </w:p>
              </w:tc>
              <w:tc>
                <w:tcPr>
                  <w:tcW w:w="4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A00FCF">
                  <w:pPr>
                    <w:pStyle w:val="5"/>
                    <w:jc w:val="both"/>
                    <w:rPr>
                      <w:rFonts w:hint="eastAsia"/>
                      <w:sz w:val="21"/>
                      <w:highlight w:val="none"/>
                    </w:rPr>
                  </w:pPr>
                  <w:r>
                    <w:rPr>
                      <w:rFonts w:hint="eastAsia"/>
                      <w:sz w:val="21"/>
                      <w:highlight w:val="none"/>
                      <w:lang w:val="en-US" w:eastAsia="zh-CN"/>
                    </w:rPr>
                    <w:t>（1）</w:t>
                  </w:r>
                  <w:r>
                    <w:rPr>
                      <w:rFonts w:hint="eastAsia"/>
                      <w:sz w:val="21"/>
                      <w:highlight w:val="none"/>
                    </w:rPr>
                    <w:t>基于海量个人/行业浮动车交通大数据，结合路况算法，提供精准动态交通路况数据。</w:t>
                  </w:r>
                </w:p>
                <w:p w14:paraId="0249F535">
                  <w:pPr>
                    <w:pStyle w:val="5"/>
                    <w:jc w:val="both"/>
                    <w:rPr>
                      <w:rFonts w:hint="eastAsia"/>
                      <w:sz w:val="21"/>
                      <w:highlight w:val="none"/>
                    </w:rPr>
                  </w:pPr>
                  <w:r>
                    <w:rPr>
                      <w:rFonts w:hint="eastAsia"/>
                      <w:sz w:val="21"/>
                      <w:highlight w:val="none"/>
                      <w:lang w:eastAsia="zh-CN"/>
                    </w:rPr>
                    <w:t>（</w:t>
                  </w:r>
                  <w:r>
                    <w:rPr>
                      <w:rFonts w:hint="eastAsia"/>
                      <w:sz w:val="21"/>
                      <w:highlight w:val="none"/>
                      <w:lang w:val="en-US" w:eastAsia="zh-CN"/>
                    </w:rPr>
                    <w:t>2</w:t>
                  </w:r>
                  <w:r>
                    <w:rPr>
                      <w:rFonts w:hint="eastAsia"/>
                      <w:sz w:val="21"/>
                      <w:highlight w:val="none"/>
                      <w:lang w:eastAsia="zh-CN"/>
                    </w:rPr>
                    <w:t>）</w:t>
                  </w:r>
                  <w:r>
                    <w:rPr>
                      <w:rFonts w:hint="eastAsia"/>
                      <w:sz w:val="21"/>
                      <w:highlight w:val="none"/>
                    </w:rPr>
                    <w:t>交通路况查询接口可以获取佛山全量路况和速度。配合道路ID查询接口可以获取路况对应图形坐标。</w:t>
                  </w:r>
                </w:p>
                <w:p w14:paraId="4C1BA1B3">
                  <w:pPr>
                    <w:pStyle w:val="5"/>
                    <w:jc w:val="both"/>
                    <w:rPr>
                      <w:rFonts w:hint="eastAsia"/>
                      <w:sz w:val="21"/>
                      <w:highlight w:val="none"/>
                    </w:rPr>
                  </w:pPr>
                  <w:r>
                    <w:rPr>
                      <w:rFonts w:hint="eastAsia"/>
                      <w:sz w:val="21"/>
                      <w:highlight w:val="none"/>
                      <w:lang w:val="en-US" w:eastAsia="zh-CN"/>
                    </w:rPr>
                    <w:t>（3）</w:t>
                  </w:r>
                  <w:r>
                    <w:rPr>
                      <w:rFonts w:hint="eastAsia"/>
                      <w:sz w:val="21"/>
                      <w:highlight w:val="none"/>
                    </w:rPr>
                    <w:t>适用于路况渲染、融合计算等场景。</w:t>
                  </w:r>
                </w:p>
                <w:p w14:paraId="5FA00664">
                  <w:pPr>
                    <w:pStyle w:val="5"/>
                    <w:jc w:val="both"/>
                    <w:rPr>
                      <w:sz w:val="21"/>
                      <w:highlight w:val="none"/>
                    </w:rPr>
                  </w:pPr>
                  <w:r>
                    <w:rPr>
                      <w:rFonts w:hint="eastAsia"/>
                      <w:sz w:val="21"/>
                      <w:highlight w:val="none"/>
                      <w:lang w:val="en-US" w:eastAsia="zh-CN"/>
                    </w:rPr>
                    <w:t>（4）</w:t>
                  </w:r>
                  <w:r>
                    <w:rPr>
                      <w:rFonts w:hint="eastAsia"/>
                      <w:sz w:val="21"/>
                      <w:highlight w:val="none"/>
                    </w:rPr>
                    <w:t>更新频率2分钟。</w:t>
                  </w:r>
                </w:p>
              </w:tc>
            </w:tr>
            <w:tr w14:paraId="64BCD48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B518323">
                  <w:pPr>
                    <w:pStyle w:val="5"/>
                    <w:jc w:val="center"/>
                  </w:pPr>
                  <w:r>
                    <w:rPr>
                      <w:sz w:val="21"/>
                    </w:rPr>
                    <w:t>2</w:t>
                  </w:r>
                </w:p>
              </w:tc>
              <w:tc>
                <w:tcPr>
                  <w:tcW w:w="10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803840C">
                  <w:pPr>
                    <w:pStyle w:val="5"/>
                    <w:jc w:val="center"/>
                  </w:pPr>
                  <w:r>
                    <w:rPr>
                      <w:sz w:val="21"/>
                    </w:rPr>
                    <w:t>实时交通事件数据</w:t>
                  </w:r>
                </w:p>
              </w:tc>
              <w:tc>
                <w:tcPr>
                  <w:tcW w:w="4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39634E">
                  <w:pPr>
                    <w:pStyle w:val="5"/>
                    <w:jc w:val="both"/>
                    <w:rPr>
                      <w:rFonts w:hint="eastAsia"/>
                      <w:sz w:val="21"/>
                      <w:highlight w:val="none"/>
                    </w:rPr>
                  </w:pPr>
                  <w:r>
                    <w:rPr>
                      <w:rFonts w:hint="eastAsia"/>
                      <w:sz w:val="21"/>
                      <w:highlight w:val="none"/>
                      <w:lang w:val="en-US" w:eastAsia="zh-CN"/>
                    </w:rPr>
                    <w:t>（1）</w:t>
                  </w:r>
                  <w:r>
                    <w:rPr>
                      <w:rFonts w:hint="eastAsia"/>
                      <w:sz w:val="21"/>
                      <w:highlight w:val="none"/>
                    </w:rPr>
                    <w:t>交通事件汇聚了佛山相关权威部门、地图服务商、移动互联网用户发布精准有效的交通讯息</w:t>
                  </w:r>
                </w:p>
                <w:p w14:paraId="3BF78A1A">
                  <w:pPr>
                    <w:pStyle w:val="5"/>
                    <w:jc w:val="both"/>
                    <w:rPr>
                      <w:rFonts w:hint="eastAsia"/>
                      <w:sz w:val="21"/>
                      <w:highlight w:val="none"/>
                    </w:rPr>
                  </w:pPr>
                  <w:r>
                    <w:rPr>
                      <w:rFonts w:hint="eastAsia"/>
                      <w:sz w:val="21"/>
                      <w:highlight w:val="none"/>
                      <w:lang w:val="en-US" w:eastAsia="zh-CN"/>
                    </w:rPr>
                    <w:t>（2）</w:t>
                  </w:r>
                  <w:r>
                    <w:rPr>
                      <w:rFonts w:hint="eastAsia"/>
                      <w:sz w:val="21"/>
                      <w:highlight w:val="none"/>
                    </w:rPr>
                    <w:t>交通事件查询接口可以获取佛山全量有效事件。</w:t>
                  </w:r>
                </w:p>
                <w:p w14:paraId="031FCEAD">
                  <w:pPr>
                    <w:pStyle w:val="5"/>
                    <w:jc w:val="both"/>
                    <w:rPr>
                      <w:sz w:val="21"/>
                      <w:highlight w:val="none"/>
                    </w:rPr>
                  </w:pPr>
                  <w:r>
                    <w:rPr>
                      <w:rFonts w:hint="eastAsia"/>
                      <w:sz w:val="21"/>
                      <w:highlight w:val="none"/>
                      <w:lang w:val="en-US" w:eastAsia="zh-CN"/>
                    </w:rPr>
                    <w:t>（3）</w:t>
                  </w:r>
                  <w:r>
                    <w:rPr>
                      <w:rFonts w:hint="eastAsia"/>
                      <w:sz w:val="21"/>
                      <w:highlight w:val="none"/>
                    </w:rPr>
                    <w:t>适用于事件图层渲染、统计、融合计算等场景。</w:t>
                  </w:r>
                </w:p>
              </w:tc>
            </w:tr>
            <w:tr w14:paraId="2B51421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0" w:type="dxa"/>
                  <w:vMerge w:val="restart"/>
                  <w:tcBorders>
                    <w:top w:val="nil"/>
                    <w:left w:val="single" w:color="000000" w:sz="4" w:space="0"/>
                    <w:right w:val="single" w:color="000000" w:sz="4" w:space="0"/>
                  </w:tcBorders>
                  <w:tcMar>
                    <w:top w:w="0" w:type="dxa"/>
                    <w:left w:w="105" w:type="dxa"/>
                    <w:bottom w:w="0" w:type="dxa"/>
                    <w:right w:w="105" w:type="dxa"/>
                  </w:tcMar>
                  <w:vAlign w:val="center"/>
                </w:tcPr>
                <w:p w14:paraId="3DAF81FB">
                  <w:pPr>
                    <w:pStyle w:val="5"/>
                    <w:jc w:val="center"/>
                  </w:pPr>
                  <w:r>
                    <w:rPr>
                      <w:sz w:val="21"/>
                    </w:rPr>
                    <w:t>3</w:t>
                  </w:r>
                </w:p>
              </w:tc>
              <w:tc>
                <w:tcPr>
                  <w:tcW w:w="1094"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EBE2DC6">
                  <w:pPr>
                    <w:pStyle w:val="5"/>
                    <w:jc w:val="center"/>
                  </w:pPr>
                  <w:r>
                    <w:rPr>
                      <w:sz w:val="21"/>
                    </w:rPr>
                    <w:t>交通指数数据</w:t>
                  </w:r>
                </w:p>
              </w:tc>
              <w:tc>
                <w:tcPr>
                  <w:tcW w:w="4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2503A3">
                  <w:pPr>
                    <w:pStyle w:val="5"/>
                    <w:jc w:val="both"/>
                    <w:rPr>
                      <w:sz w:val="21"/>
                    </w:rPr>
                  </w:pPr>
                  <w:r>
                    <w:rPr>
                      <w:sz w:val="21"/>
                    </w:rPr>
                    <w:t>实时数据</w:t>
                  </w:r>
                </w:p>
                <w:p w14:paraId="5569A591">
                  <w:pPr>
                    <w:pStyle w:val="5"/>
                    <w:jc w:val="both"/>
                    <w:rPr>
                      <w:rFonts w:hint="eastAsia"/>
                      <w:sz w:val="21"/>
                    </w:rPr>
                  </w:pPr>
                  <w:r>
                    <w:rPr>
                      <w:rFonts w:hint="eastAsia"/>
                      <w:sz w:val="21"/>
                      <w:highlight w:val="none"/>
                      <w:lang w:val="en-US" w:eastAsia="zh-CN"/>
                    </w:rPr>
                    <w:t>（1）</w:t>
                  </w:r>
                  <w:r>
                    <w:rPr>
                      <w:rFonts w:hint="eastAsia"/>
                      <w:sz w:val="21"/>
                    </w:rPr>
                    <w:t xml:space="preserve">借助海量出行数据，使用拥堵延时指数评估佛山全市、五区、主要商圈、学校医院、主要道路等拥堵程度。 </w:t>
                  </w:r>
                </w:p>
                <w:p w14:paraId="42074CDC">
                  <w:pPr>
                    <w:pStyle w:val="5"/>
                    <w:jc w:val="both"/>
                    <w:rPr>
                      <w:rFonts w:hint="eastAsia"/>
                      <w:sz w:val="21"/>
                    </w:rPr>
                  </w:pPr>
                  <w:r>
                    <w:rPr>
                      <w:rFonts w:hint="eastAsia"/>
                      <w:sz w:val="21"/>
                      <w:highlight w:val="none"/>
                      <w:lang w:val="en-US" w:eastAsia="zh-CN"/>
                    </w:rPr>
                    <w:t>（2）</w:t>
                  </w:r>
                  <w:r>
                    <w:rPr>
                      <w:rFonts w:hint="eastAsia"/>
                      <w:sz w:val="21"/>
                    </w:rPr>
                    <w:t>接口依据实时拥堵指数，从高到低进行动态排名。</w:t>
                  </w:r>
                </w:p>
                <w:p w14:paraId="6D90B7B6">
                  <w:pPr>
                    <w:pStyle w:val="5"/>
                    <w:jc w:val="both"/>
                    <w:rPr>
                      <w:rFonts w:hint="eastAsia"/>
                      <w:sz w:val="21"/>
                    </w:rPr>
                  </w:pPr>
                  <w:r>
                    <w:rPr>
                      <w:rFonts w:hint="eastAsia"/>
                      <w:sz w:val="21"/>
                      <w:highlight w:val="none"/>
                      <w:lang w:val="en-US" w:eastAsia="zh-CN"/>
                    </w:rPr>
                    <w:t>（3）</w:t>
                  </w:r>
                  <w:r>
                    <w:rPr>
                      <w:rFonts w:hint="eastAsia"/>
                      <w:sz w:val="21"/>
                    </w:rPr>
                    <w:t>适用于实时区域、道路的拥堵预警、排名展示场景。</w:t>
                  </w:r>
                </w:p>
                <w:p w14:paraId="4B1E3067">
                  <w:pPr>
                    <w:pStyle w:val="5"/>
                    <w:jc w:val="both"/>
                  </w:pPr>
                  <w:r>
                    <w:rPr>
                      <w:rFonts w:hint="eastAsia"/>
                      <w:sz w:val="21"/>
                      <w:highlight w:val="none"/>
                      <w:lang w:val="en-US" w:eastAsia="zh-CN"/>
                    </w:rPr>
                    <w:t>（4）</w:t>
                  </w:r>
                  <w:r>
                    <w:rPr>
                      <w:rFonts w:hint="eastAsia"/>
                      <w:sz w:val="21"/>
                    </w:rPr>
                    <w:t>每10分钟更新。</w:t>
                  </w:r>
                </w:p>
              </w:tc>
            </w:tr>
            <w:tr w14:paraId="3CA81B3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0" w:type="dxa"/>
                  <w:vMerge w:val="continue"/>
                  <w:tcBorders>
                    <w:left w:val="single" w:color="000000" w:sz="4" w:space="0"/>
                    <w:bottom w:val="single" w:color="000000" w:sz="4" w:space="0"/>
                    <w:right w:val="single" w:color="000000" w:sz="4" w:space="0"/>
                  </w:tcBorders>
                  <w:tcMar>
                    <w:top w:w="0" w:type="dxa"/>
                    <w:left w:w="105" w:type="dxa"/>
                    <w:bottom w:w="0" w:type="dxa"/>
                    <w:right w:w="105" w:type="dxa"/>
                  </w:tcMar>
                  <w:vAlign w:val="top"/>
                </w:tcPr>
                <w:p w14:paraId="5139DDCE">
                  <w:pPr>
                    <w:pStyle w:val="5"/>
                    <w:jc w:val="center"/>
                  </w:pPr>
                </w:p>
              </w:tc>
              <w:tc>
                <w:tcPr>
                  <w:tcW w:w="1094" w:type="dxa"/>
                  <w:vMerge w:val="continue"/>
                  <w:tcBorders>
                    <w:top w:val="nil"/>
                    <w:left w:val="single" w:color="000000" w:sz="4" w:space="0"/>
                    <w:bottom w:val="single" w:color="000000" w:sz="4" w:space="0"/>
                    <w:right w:val="single" w:color="000000" w:sz="4" w:space="0"/>
                  </w:tcBorders>
                </w:tcPr>
                <w:p w14:paraId="3D8B5E90"/>
              </w:tc>
              <w:tc>
                <w:tcPr>
                  <w:tcW w:w="4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3DD9A5">
                  <w:pPr>
                    <w:pStyle w:val="5"/>
                    <w:jc w:val="both"/>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历史数据</w:t>
                  </w:r>
                </w:p>
                <w:p w14:paraId="69721E60">
                  <w:pPr>
                    <w:pStyle w:val="5"/>
                    <w:jc w:val="both"/>
                    <w:rPr>
                      <w:rFonts w:hint="eastAsia"/>
                    </w:rPr>
                  </w:pPr>
                  <w:r>
                    <w:rPr>
                      <w:rFonts w:hint="eastAsia"/>
                      <w:sz w:val="21"/>
                      <w:highlight w:val="none"/>
                      <w:lang w:val="en-US" w:eastAsia="zh-CN"/>
                    </w:rPr>
                    <w:t>（1）</w:t>
                  </w:r>
                  <w:r>
                    <w:rPr>
                      <w:rFonts w:hint="eastAsia"/>
                    </w:rPr>
                    <w:t>借助海量出行数据，使用拥堵延时指数评估佛山全市、五区、主要商圈、学校医院、主要道路等拥堵程度。</w:t>
                  </w:r>
                </w:p>
                <w:p w14:paraId="1B138994">
                  <w:pPr>
                    <w:pStyle w:val="5"/>
                    <w:jc w:val="both"/>
                    <w:rPr>
                      <w:rFonts w:hint="eastAsia"/>
                    </w:rPr>
                  </w:pPr>
                  <w:r>
                    <w:rPr>
                      <w:rFonts w:hint="eastAsia"/>
                      <w:sz w:val="21"/>
                      <w:highlight w:val="none"/>
                      <w:lang w:val="en-US" w:eastAsia="zh-CN"/>
                    </w:rPr>
                    <w:t>（2）</w:t>
                  </w:r>
                  <w:r>
                    <w:rPr>
                      <w:rFonts w:hint="eastAsia"/>
                    </w:rPr>
                    <w:t>接口针对指定区域、道路的拥堵指数，从高到低进行排名，支持时段选择（全天、仅早高峰、仅晚高峰、仅平峰）、日期选择（所有日期、仅工作日、仅节假日）。</w:t>
                  </w:r>
                </w:p>
                <w:p w14:paraId="265DA2D2">
                  <w:pPr>
                    <w:pStyle w:val="5"/>
                    <w:jc w:val="both"/>
                    <w:rPr>
                      <w:rFonts w:hint="eastAsia"/>
                    </w:rPr>
                  </w:pPr>
                  <w:r>
                    <w:rPr>
                      <w:rFonts w:hint="eastAsia"/>
                      <w:sz w:val="21"/>
                      <w:highlight w:val="none"/>
                      <w:lang w:val="en-US" w:eastAsia="zh-CN"/>
                    </w:rPr>
                    <w:t>（3）</w:t>
                  </w:r>
                  <w:r>
                    <w:rPr>
                      <w:rFonts w:hint="eastAsia"/>
                    </w:rPr>
                    <w:t>适用于历史区域、历史道路的拥堵研判分析、排名展示场景。</w:t>
                  </w:r>
                </w:p>
                <w:p w14:paraId="04DEA04C">
                  <w:pPr>
                    <w:pStyle w:val="5"/>
                    <w:jc w:val="both"/>
                    <w:rPr>
                      <w:rFonts w:hint="eastAsia" w:eastAsiaTheme="minorEastAsia"/>
                      <w:lang w:val="en-US" w:eastAsia="zh-CN"/>
                    </w:rPr>
                  </w:pPr>
                  <w:r>
                    <w:rPr>
                      <w:rFonts w:hint="eastAsia"/>
                      <w:sz w:val="21"/>
                      <w:highlight w:val="none"/>
                      <w:lang w:val="en-US" w:eastAsia="zh-CN"/>
                    </w:rPr>
                    <w:t>（4）</w:t>
                  </w:r>
                  <w:r>
                    <w:rPr>
                      <w:rFonts w:hint="eastAsia"/>
                    </w:rPr>
                    <w:t>详细数据可用于城市拥堵指数曲线绘制，数据分析等场景</w:t>
                  </w:r>
                  <w:r>
                    <w:rPr>
                      <w:rFonts w:hint="eastAsia"/>
                      <w:lang w:eastAsia="zh-CN"/>
                    </w:rPr>
                    <w:t>。</w:t>
                  </w:r>
                </w:p>
              </w:tc>
            </w:tr>
            <w:tr w14:paraId="2F05840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1E3883E">
                  <w:pPr>
                    <w:pStyle w:val="5"/>
                    <w:jc w:val="center"/>
                    <w:rPr>
                      <w:rFonts w:hint="eastAsia" w:eastAsiaTheme="minorEastAsia"/>
                      <w:lang w:eastAsia="zh-CN"/>
                    </w:rPr>
                  </w:pPr>
                  <w:r>
                    <w:rPr>
                      <w:rFonts w:hint="eastAsia"/>
                      <w:sz w:val="21"/>
                      <w:lang w:val="en-US" w:eastAsia="zh-CN"/>
                    </w:rPr>
                    <w:t>4</w:t>
                  </w:r>
                </w:p>
              </w:tc>
              <w:tc>
                <w:tcPr>
                  <w:tcW w:w="10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1A02983">
                  <w:pPr>
                    <w:pStyle w:val="5"/>
                    <w:jc w:val="center"/>
                  </w:pPr>
                  <w:r>
                    <w:rPr>
                      <w:sz w:val="21"/>
                    </w:rPr>
                    <w:t>拥堵预警数据</w:t>
                  </w:r>
                </w:p>
              </w:tc>
              <w:tc>
                <w:tcPr>
                  <w:tcW w:w="4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37EC3F">
                  <w:pPr>
                    <w:pStyle w:val="5"/>
                    <w:jc w:val="both"/>
                    <w:rPr>
                      <w:rFonts w:hint="eastAsia" w:asciiTheme="minorEastAsia" w:hAnsiTheme="minorEastAsia" w:eastAsiaTheme="minorEastAsia" w:cstheme="minorEastAsia"/>
                      <w:b w:val="0"/>
                      <w:bCs w:val="0"/>
                    </w:rPr>
                  </w:pPr>
                  <w:r>
                    <w:rPr>
                      <w:rFonts w:hint="eastAsia"/>
                      <w:sz w:val="21"/>
                      <w:highlight w:val="none"/>
                      <w:lang w:val="en-US" w:eastAsia="zh-CN"/>
                    </w:rPr>
                    <w:t>（1）</w:t>
                  </w:r>
                  <w:r>
                    <w:rPr>
                      <w:rFonts w:hint="eastAsia" w:asciiTheme="minorEastAsia" w:hAnsiTheme="minorEastAsia" w:eastAsiaTheme="minorEastAsia" w:cstheme="minorEastAsia"/>
                      <w:b w:val="0"/>
                      <w:bCs w:val="0"/>
                    </w:rPr>
                    <w:t>基于交通大数据，对主干道以上路网提供实时拥堵点查询。拥堵点信息根据历史同期拥堵情况提供概率作为参考，提供速度、拥堵长度、持续时长、经纬度图形等信息。</w:t>
                  </w:r>
                </w:p>
                <w:p w14:paraId="04FCAE8C">
                  <w:pPr>
                    <w:pStyle w:val="5"/>
                    <w:jc w:val="both"/>
                    <w:rPr>
                      <w:rFonts w:hint="eastAsia" w:asciiTheme="minorEastAsia" w:hAnsiTheme="minorEastAsia" w:eastAsiaTheme="minorEastAsia" w:cstheme="minorEastAsia"/>
                      <w:b w:val="0"/>
                      <w:bCs w:val="0"/>
                    </w:rPr>
                  </w:pPr>
                  <w:r>
                    <w:rPr>
                      <w:rFonts w:hint="eastAsia"/>
                      <w:sz w:val="21"/>
                      <w:highlight w:val="none"/>
                      <w:lang w:val="en-US" w:eastAsia="zh-CN"/>
                    </w:rPr>
                    <w:t>（2）</w:t>
                  </w:r>
                  <w:r>
                    <w:rPr>
                      <w:rFonts w:hint="eastAsia" w:asciiTheme="minorEastAsia" w:hAnsiTheme="minorEastAsia" w:eastAsiaTheme="minorEastAsia" w:cstheme="minorEastAsia"/>
                      <w:b w:val="0"/>
                      <w:bCs w:val="0"/>
                    </w:rPr>
                    <w:t>接口可支持按照道路类型（例如高速、国道、环线等）、拥堵时长（最低4分钟）、拥堵距离（最短200米）。</w:t>
                  </w:r>
                </w:p>
                <w:p w14:paraId="4363ADCF">
                  <w:pPr>
                    <w:pStyle w:val="5"/>
                    <w:jc w:val="both"/>
                    <w:rPr>
                      <w:rFonts w:hint="eastAsia" w:asciiTheme="minorEastAsia" w:hAnsiTheme="minorEastAsia" w:eastAsiaTheme="minorEastAsia" w:cstheme="minorEastAsia"/>
                      <w:b w:val="0"/>
                      <w:bCs w:val="0"/>
                      <w:lang w:eastAsia="zh-CN"/>
                    </w:rPr>
                  </w:pPr>
                  <w:r>
                    <w:rPr>
                      <w:rFonts w:hint="eastAsia"/>
                      <w:sz w:val="21"/>
                      <w:highlight w:val="none"/>
                      <w:lang w:val="en-US" w:eastAsia="zh-CN"/>
                    </w:rPr>
                    <w:t>（3）</w:t>
                  </w:r>
                  <w:r>
                    <w:rPr>
                      <w:rFonts w:hint="eastAsia" w:asciiTheme="minorEastAsia" w:hAnsiTheme="minorEastAsia" w:eastAsiaTheme="minorEastAsia" w:cstheme="minorEastAsia"/>
                      <w:b w:val="0"/>
                      <w:bCs w:val="0"/>
                    </w:rPr>
                    <w:t>适用于拥堵点预警、异常拥堵点识别、处理考核等场景</w:t>
                  </w:r>
                  <w:r>
                    <w:rPr>
                      <w:rFonts w:hint="eastAsia" w:asciiTheme="minorEastAsia" w:hAnsiTheme="minorEastAsia" w:cstheme="minorEastAsia"/>
                      <w:b w:val="0"/>
                      <w:bCs w:val="0"/>
                      <w:lang w:eastAsia="zh-CN"/>
                    </w:rPr>
                    <w:t>。</w:t>
                  </w:r>
                </w:p>
                <w:p w14:paraId="33AA07D1">
                  <w:pPr>
                    <w:pStyle w:val="5"/>
                    <w:jc w:val="both"/>
                    <w:rPr>
                      <w:rFonts w:hint="eastAsia" w:asciiTheme="minorEastAsia" w:hAnsiTheme="minorEastAsia" w:eastAsiaTheme="minorEastAsia" w:cstheme="minorEastAsia"/>
                      <w:b w:val="0"/>
                      <w:bCs w:val="0"/>
                      <w:lang w:eastAsia="zh-CN"/>
                    </w:rPr>
                  </w:pPr>
                  <w:r>
                    <w:rPr>
                      <w:rFonts w:hint="eastAsia"/>
                      <w:sz w:val="21"/>
                      <w:highlight w:val="none"/>
                      <w:lang w:val="en-US" w:eastAsia="zh-CN"/>
                    </w:rPr>
                    <w:t>（4）</w:t>
                  </w:r>
                  <w:r>
                    <w:rPr>
                      <w:rFonts w:hint="eastAsia" w:asciiTheme="minorEastAsia" w:hAnsiTheme="minorEastAsia" w:eastAsiaTheme="minorEastAsia" w:cstheme="minorEastAsia"/>
                      <w:b w:val="0"/>
                      <w:bCs w:val="0"/>
                    </w:rPr>
                    <w:t>数据每2分钟更新一次</w:t>
                  </w:r>
                  <w:r>
                    <w:rPr>
                      <w:rFonts w:hint="eastAsia" w:asciiTheme="minorEastAsia" w:hAnsiTheme="minorEastAsia" w:cstheme="minorEastAsia"/>
                      <w:b w:val="0"/>
                      <w:bCs w:val="0"/>
                      <w:lang w:eastAsia="zh-CN"/>
                    </w:rPr>
                    <w:t>。</w:t>
                  </w:r>
                </w:p>
              </w:tc>
            </w:tr>
            <w:tr w14:paraId="68BC6EA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4C2F1C73">
                  <w:pPr>
                    <w:pStyle w:val="5"/>
                    <w:jc w:val="center"/>
                    <w:rPr>
                      <w:rFonts w:hint="eastAsia" w:eastAsiaTheme="minorEastAsia"/>
                      <w:lang w:eastAsia="zh-CN"/>
                    </w:rPr>
                  </w:pPr>
                  <w:r>
                    <w:rPr>
                      <w:rFonts w:hint="eastAsia"/>
                      <w:sz w:val="21"/>
                      <w:lang w:val="en-US" w:eastAsia="zh-CN"/>
                    </w:rPr>
                    <w:t>5</w:t>
                  </w:r>
                </w:p>
              </w:tc>
              <w:tc>
                <w:tcPr>
                  <w:tcW w:w="10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0CA036D">
                  <w:pPr>
                    <w:pStyle w:val="5"/>
                    <w:jc w:val="center"/>
                  </w:pPr>
                  <w:r>
                    <w:rPr>
                      <w:sz w:val="21"/>
                    </w:rPr>
                    <w:t>异常速度预警数据</w:t>
                  </w:r>
                </w:p>
              </w:tc>
              <w:tc>
                <w:tcPr>
                  <w:tcW w:w="4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2953CE">
                  <w:pPr>
                    <w:pStyle w:val="5"/>
                    <w:jc w:val="both"/>
                    <w:rPr>
                      <w:rFonts w:hint="eastAsia" w:asciiTheme="minorEastAsia" w:hAnsiTheme="minorEastAsia" w:eastAsiaTheme="minorEastAsia" w:cstheme="minorEastAsia"/>
                      <w:b w:val="0"/>
                      <w:bCs w:val="0"/>
                    </w:rPr>
                  </w:pPr>
                  <w:r>
                    <w:rPr>
                      <w:rFonts w:hint="eastAsia"/>
                      <w:sz w:val="21"/>
                      <w:highlight w:val="none"/>
                      <w:lang w:val="en-US" w:eastAsia="zh-CN"/>
                    </w:rPr>
                    <w:t>（1）</w:t>
                  </w:r>
                  <w:r>
                    <w:rPr>
                      <w:rFonts w:hint="eastAsia" w:asciiTheme="minorEastAsia" w:hAnsiTheme="minorEastAsia" w:eastAsiaTheme="minorEastAsia" w:cstheme="minorEastAsia"/>
                      <w:b w:val="0"/>
                      <w:bCs w:val="0"/>
                    </w:rPr>
                    <w:t>基于实时动态大数据，对高速速度突然变化过大的路段进行预警。</w:t>
                  </w:r>
                </w:p>
                <w:p w14:paraId="186476E4">
                  <w:pPr>
                    <w:pStyle w:val="5"/>
                    <w:jc w:val="both"/>
                    <w:rPr>
                      <w:rFonts w:hint="eastAsia" w:asciiTheme="minorEastAsia" w:hAnsiTheme="minorEastAsia" w:eastAsiaTheme="minorEastAsia" w:cstheme="minorEastAsia"/>
                      <w:b w:val="0"/>
                      <w:bCs w:val="0"/>
                    </w:rPr>
                  </w:pPr>
                  <w:r>
                    <w:rPr>
                      <w:rFonts w:hint="eastAsia"/>
                      <w:sz w:val="21"/>
                      <w:highlight w:val="none"/>
                      <w:lang w:val="en-US" w:eastAsia="zh-CN"/>
                    </w:rPr>
                    <w:t>（2）</w:t>
                  </w:r>
                  <w:r>
                    <w:rPr>
                      <w:rFonts w:hint="eastAsia" w:asciiTheme="minorEastAsia" w:hAnsiTheme="minorEastAsia" w:eastAsiaTheme="minorEastAsia" w:cstheme="minorEastAsia"/>
                      <w:b w:val="0"/>
                      <w:bCs w:val="0"/>
                    </w:rPr>
                    <w:t>适用于需要事故、障碍物、故障车主动识别的场景和应用。</w:t>
                  </w:r>
                </w:p>
              </w:tc>
            </w:tr>
            <w:tr w14:paraId="7DC0FCC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81920BA">
                  <w:pPr>
                    <w:pStyle w:val="5"/>
                    <w:jc w:val="center"/>
                    <w:rPr>
                      <w:rFonts w:hint="eastAsia" w:eastAsiaTheme="minorEastAsia"/>
                      <w:lang w:eastAsia="zh-CN"/>
                    </w:rPr>
                  </w:pPr>
                  <w:r>
                    <w:rPr>
                      <w:rFonts w:hint="eastAsia"/>
                      <w:sz w:val="21"/>
                      <w:lang w:val="en-US" w:eastAsia="zh-CN"/>
                    </w:rPr>
                    <w:t>6</w:t>
                  </w:r>
                </w:p>
              </w:tc>
              <w:tc>
                <w:tcPr>
                  <w:tcW w:w="10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530E1B03">
                  <w:pPr>
                    <w:pStyle w:val="5"/>
                    <w:jc w:val="center"/>
                  </w:pPr>
                  <w:r>
                    <w:rPr>
                      <w:sz w:val="21"/>
                    </w:rPr>
                    <w:t>三急一速数据</w:t>
                  </w:r>
                </w:p>
              </w:tc>
              <w:tc>
                <w:tcPr>
                  <w:tcW w:w="4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CC832F">
                  <w:pPr>
                    <w:pStyle w:val="5"/>
                    <w:jc w:val="both"/>
                    <w:rPr>
                      <w:rFonts w:hint="eastAsia" w:asciiTheme="minorEastAsia" w:hAnsiTheme="minorEastAsia" w:eastAsiaTheme="minorEastAsia" w:cstheme="minorEastAsia"/>
                      <w:b w:val="0"/>
                      <w:bCs w:val="0"/>
                    </w:rPr>
                  </w:pPr>
                  <w:r>
                    <w:rPr>
                      <w:rFonts w:hint="eastAsia"/>
                      <w:sz w:val="21"/>
                      <w:highlight w:val="none"/>
                      <w:lang w:val="en-US" w:eastAsia="zh-CN"/>
                    </w:rPr>
                    <w:t>（1）</w:t>
                  </w:r>
                  <w:r>
                    <w:rPr>
                      <w:rFonts w:hint="eastAsia" w:asciiTheme="minorEastAsia" w:hAnsiTheme="minorEastAsia" w:eastAsiaTheme="minorEastAsia" w:cstheme="minorEastAsia"/>
                      <w:b w:val="0"/>
                      <w:bCs w:val="0"/>
                    </w:rPr>
                    <w:t>借助于积累的海量交通出行行为数据，以天级、月度为单位，分析道路中可能存在的急加速、急刹车、急并线、超速行为多发的安全隐患点</w:t>
                  </w:r>
                </w:p>
                <w:p w14:paraId="12AD4036">
                  <w:pPr>
                    <w:pStyle w:val="5"/>
                    <w:jc w:val="both"/>
                    <w:rPr>
                      <w:rFonts w:hint="eastAsia" w:asciiTheme="minorEastAsia" w:hAnsiTheme="minorEastAsia" w:eastAsiaTheme="minorEastAsia" w:cstheme="minorEastAsia"/>
                      <w:b w:val="0"/>
                      <w:bCs w:val="0"/>
                    </w:rPr>
                  </w:pPr>
                  <w:r>
                    <w:rPr>
                      <w:rFonts w:hint="eastAsia"/>
                      <w:sz w:val="21"/>
                      <w:highlight w:val="none"/>
                      <w:lang w:val="en-US" w:eastAsia="zh-CN"/>
                    </w:rPr>
                    <w:t>（2）</w:t>
                  </w:r>
                  <w:r>
                    <w:rPr>
                      <w:rFonts w:hint="eastAsia" w:asciiTheme="minorEastAsia" w:hAnsiTheme="minorEastAsia" w:eastAsiaTheme="minorEastAsia" w:cstheme="minorEastAsia"/>
                      <w:b w:val="0"/>
                      <w:bCs w:val="0"/>
                    </w:rPr>
                    <w:t>适用于道路交通安全隐患的预防整治。</w:t>
                  </w:r>
                </w:p>
              </w:tc>
            </w:tr>
            <w:tr w14:paraId="4DF8A9E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3058B5F">
                  <w:pPr>
                    <w:pStyle w:val="5"/>
                    <w:jc w:val="center"/>
                    <w:rPr>
                      <w:rFonts w:hint="eastAsia" w:eastAsiaTheme="minorEastAsia"/>
                      <w:lang w:eastAsia="zh-CN"/>
                    </w:rPr>
                  </w:pPr>
                  <w:r>
                    <w:rPr>
                      <w:rFonts w:hint="eastAsia"/>
                      <w:sz w:val="21"/>
                      <w:lang w:val="en-US" w:eastAsia="zh-CN"/>
                    </w:rPr>
                    <w:t>7</w:t>
                  </w:r>
                </w:p>
              </w:tc>
              <w:tc>
                <w:tcPr>
                  <w:tcW w:w="10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00B9CE5">
                  <w:pPr>
                    <w:pStyle w:val="5"/>
                    <w:jc w:val="center"/>
                  </w:pPr>
                  <w:r>
                    <w:rPr>
                      <w:sz w:val="21"/>
                    </w:rPr>
                    <w:t>收费站拥堵数据</w:t>
                  </w:r>
                </w:p>
              </w:tc>
              <w:tc>
                <w:tcPr>
                  <w:tcW w:w="45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2E7B62">
                  <w:pPr>
                    <w:pStyle w:val="5"/>
                    <w:jc w:val="both"/>
                    <w:rPr>
                      <w:rFonts w:hint="eastAsia" w:asciiTheme="minorEastAsia" w:hAnsiTheme="minorEastAsia" w:eastAsiaTheme="minorEastAsia" w:cstheme="minorEastAsia"/>
                      <w:b w:val="0"/>
                      <w:bCs w:val="0"/>
                      <w:lang w:eastAsia="zh-CN"/>
                    </w:rPr>
                  </w:pPr>
                  <w:r>
                    <w:rPr>
                      <w:rFonts w:hint="eastAsia" w:asciiTheme="minorEastAsia" w:hAnsiTheme="minorEastAsia" w:eastAsiaTheme="minorEastAsia" w:cstheme="minorEastAsia"/>
                      <w:b w:val="0"/>
                      <w:bCs w:val="0"/>
                    </w:rPr>
                    <w:t>基于互联网地图导航数据，根据收费站进出口路况，提供实时/指定时间内所有收费站拥堵长度、速度、持续时间信息。数据可区分出/入口、城市方向、高速名称等信息，主要用于收费站拥堵预警、分析、研判等场景。</w:t>
                  </w:r>
                </w:p>
              </w:tc>
            </w:tr>
            <w:tr w14:paraId="66C1101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0"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1463FB5C">
                  <w:pPr>
                    <w:pStyle w:val="5"/>
                    <w:jc w:val="center"/>
                    <w:rPr>
                      <w:rFonts w:hint="eastAsia" w:asciiTheme="minorHAnsi" w:hAnsiTheme="minorHAnsi" w:eastAsiaTheme="minorEastAsia" w:cstheme="minorBidi"/>
                      <w:lang w:val="en-US" w:eastAsia="zh-CN"/>
                    </w:rPr>
                  </w:pPr>
                  <w:r>
                    <w:rPr>
                      <w:rFonts w:hint="eastAsia"/>
                      <w:sz w:val="21"/>
                      <w:lang w:val="en-US" w:eastAsia="zh-CN"/>
                    </w:rPr>
                    <w:t>8</w:t>
                  </w:r>
                </w:p>
              </w:tc>
              <w:tc>
                <w:tcPr>
                  <w:tcW w:w="1094"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448DE6EF">
                  <w:pPr>
                    <w:pStyle w:val="5"/>
                    <w:jc w:val="center"/>
                    <w:rPr>
                      <w:rFonts w:hint="eastAsia" w:asciiTheme="minorHAnsi" w:hAnsiTheme="minorHAnsi" w:eastAsiaTheme="minorEastAsia" w:cstheme="minorBidi"/>
                      <w:lang w:val="en-US" w:eastAsia="zh-Hans"/>
                    </w:rPr>
                  </w:pPr>
                  <w:r>
                    <w:rPr>
                      <w:sz w:val="21"/>
                    </w:rPr>
                    <w:t>里程桩数据</w:t>
                  </w:r>
                </w:p>
              </w:tc>
              <w:tc>
                <w:tcPr>
                  <w:tcW w:w="4525"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4A46307">
                  <w:pPr>
                    <w:pStyle w:val="5"/>
                    <w:jc w:val="both"/>
                    <w:rPr>
                      <w:rFonts w:hint="eastAsia" w:asciiTheme="minorEastAsia" w:hAnsiTheme="minorEastAsia" w:eastAsiaTheme="minorEastAsia" w:cstheme="minorEastAsia"/>
                      <w:b w:val="0"/>
                      <w:bCs w:val="0"/>
                    </w:rPr>
                  </w:pPr>
                  <w:r>
                    <w:rPr>
                      <w:rFonts w:hint="eastAsia"/>
                      <w:sz w:val="21"/>
                      <w:highlight w:val="none"/>
                      <w:lang w:val="en-US" w:eastAsia="zh-CN"/>
                    </w:rPr>
                    <w:t>（1）</w:t>
                  </w:r>
                  <w:r>
                    <w:rPr>
                      <w:rFonts w:hint="eastAsia" w:asciiTheme="minorEastAsia" w:hAnsiTheme="minorEastAsia" w:eastAsiaTheme="minorEastAsia" w:cstheme="minorEastAsia"/>
                      <w:b w:val="0"/>
                      <w:bCs w:val="0"/>
                    </w:rPr>
                    <w:t>可获查询范围的所有里程桩数据。</w:t>
                  </w:r>
                </w:p>
                <w:p w14:paraId="31C76500">
                  <w:pPr>
                    <w:pStyle w:val="5"/>
                    <w:jc w:val="both"/>
                    <w:rPr>
                      <w:rFonts w:hint="eastAsia" w:asciiTheme="minorEastAsia" w:hAnsiTheme="minorEastAsia" w:eastAsiaTheme="minorEastAsia" w:cstheme="minorEastAsia"/>
                      <w:b w:val="0"/>
                      <w:bCs w:val="0"/>
                    </w:rPr>
                  </w:pPr>
                  <w:r>
                    <w:rPr>
                      <w:rFonts w:hint="eastAsia"/>
                      <w:sz w:val="21"/>
                      <w:highlight w:val="none"/>
                      <w:lang w:val="en-US" w:eastAsia="zh-CN"/>
                    </w:rPr>
                    <w:t>（2）</w:t>
                  </w:r>
                  <w:r>
                    <w:rPr>
                      <w:rFonts w:hint="eastAsia" w:asciiTheme="minorEastAsia" w:hAnsiTheme="minorEastAsia" w:eastAsiaTheme="minorEastAsia" w:cstheme="minorEastAsia"/>
                      <w:b w:val="0"/>
                      <w:bCs w:val="0"/>
                    </w:rPr>
                    <w:t>可区分上行/下行，与地图路网精确匹配。</w:t>
                  </w:r>
                </w:p>
                <w:p w14:paraId="4FBD1F99">
                  <w:pPr>
                    <w:pStyle w:val="5"/>
                    <w:jc w:val="both"/>
                    <w:rPr>
                      <w:rFonts w:hint="eastAsia" w:asciiTheme="minorEastAsia" w:hAnsiTheme="minorEastAsia" w:eastAsiaTheme="minorEastAsia" w:cstheme="minorEastAsia"/>
                      <w:b w:val="0"/>
                      <w:bCs w:val="0"/>
                      <w:lang w:val="en-US" w:eastAsia="zh-Hans"/>
                    </w:rPr>
                  </w:pPr>
                  <w:r>
                    <w:rPr>
                      <w:rFonts w:hint="eastAsia"/>
                      <w:sz w:val="21"/>
                      <w:highlight w:val="none"/>
                      <w:lang w:val="en-US" w:eastAsia="zh-CN"/>
                    </w:rPr>
                    <w:t>（3）</w:t>
                  </w:r>
                  <w:r>
                    <w:rPr>
                      <w:rFonts w:hint="eastAsia" w:asciiTheme="minorEastAsia" w:hAnsiTheme="minorEastAsia" w:eastAsiaTheme="minorEastAsia" w:cstheme="minorEastAsia"/>
                      <w:b w:val="0"/>
                      <w:bCs w:val="0"/>
                    </w:rPr>
                    <w:t>可用于地图可视化、本地计算等应用。</w:t>
                  </w:r>
                </w:p>
              </w:tc>
            </w:tr>
            <w:tr w14:paraId="3DB5986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29"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A0477AC">
                  <w:pPr>
                    <w:pStyle w:val="5"/>
                    <w:jc w:val="both"/>
                    <w:rPr>
                      <w:rFonts w:hint="eastAsia" w:asciiTheme="minorEastAsia" w:hAnsiTheme="minorEastAsia" w:eastAsiaTheme="minorEastAsia" w:cstheme="minorEastAsia"/>
                      <w:b w:val="0"/>
                      <w:bCs w:val="0"/>
                    </w:rPr>
                  </w:pPr>
                  <w:r>
                    <w:rPr>
                      <w:sz w:val="21"/>
                    </w:rPr>
                    <w:t>上述交通路况运行数据的获取和计算，依赖于精准的城市交通地理空间基础数据及人车迁涉数据等与地理测绘相关的海量数据，特别是城市交通测绘数据、路网等基础数据的全面性、准确性、完整性和更新的及时性。</w:t>
                  </w:r>
                </w:p>
              </w:tc>
            </w:tr>
          </w:tbl>
          <w:p w14:paraId="18D664EA">
            <w:pPr>
              <w:pStyle w:val="5"/>
              <w:numPr>
                <w:ilvl w:val="0"/>
                <w:numId w:val="0"/>
              </w:numPr>
              <w:jc w:val="left"/>
              <w:rPr>
                <w:rFonts w:hint="eastAsia"/>
                <w:b/>
                <w:bCs/>
                <w:sz w:val="21"/>
                <w:szCs w:val="21"/>
                <w:lang w:val="en-US" w:eastAsia="zh-CN"/>
              </w:rPr>
            </w:pPr>
            <w:r>
              <w:rPr>
                <w:rFonts w:hint="eastAsia"/>
                <w:b/>
                <w:bCs/>
                <w:sz w:val="21"/>
                <w:szCs w:val="21"/>
                <w:lang w:val="en-US" w:eastAsia="zh-CN"/>
              </w:rPr>
              <w:t>2.采购城市交通路况运行分析平台数据处理服务</w:t>
            </w:r>
          </w:p>
          <w:p w14:paraId="355FAEB4">
            <w:pPr>
              <w:pStyle w:val="5"/>
              <w:numPr>
                <w:ilvl w:val="0"/>
                <w:numId w:val="0"/>
              </w:numPr>
              <w:jc w:val="left"/>
              <w:rPr>
                <w:rFonts w:hint="eastAsia"/>
                <w:b/>
                <w:bCs/>
                <w:sz w:val="21"/>
                <w:szCs w:val="21"/>
                <w:lang w:val="en-US" w:eastAsia="zh-CN"/>
              </w:rPr>
            </w:pPr>
            <w:r>
              <w:rPr>
                <w:rFonts w:hint="eastAsia"/>
                <w:b/>
                <w:bCs/>
                <w:sz w:val="21"/>
                <w:szCs w:val="21"/>
                <w:lang w:val="en-US" w:eastAsia="zh-CN"/>
              </w:rPr>
              <w:t>（1）整体架构</w:t>
            </w:r>
          </w:p>
          <w:p w14:paraId="178F190F">
            <w:pPr>
              <w:pStyle w:val="5"/>
              <w:numPr>
                <w:ilvl w:val="0"/>
                <w:numId w:val="0"/>
              </w:numPr>
              <w:spacing w:line="360" w:lineRule="auto"/>
              <w:ind w:firstLine="400" w:firstLineChars="200"/>
              <w:jc w:val="left"/>
              <w:rPr>
                <w:rFonts w:hint="eastAsia"/>
                <w:lang w:val="en-US" w:eastAsia="zh-CN"/>
              </w:rPr>
            </w:pPr>
            <w:r>
              <w:rPr>
                <w:rFonts w:hint="eastAsia"/>
                <w:lang w:val="en-US" w:eastAsia="zh-CN"/>
              </w:rPr>
              <w:t>交通大数据路况运行分析服务是基于AI全方位分析拥堵区域的道路基础设施、交通运行健康状况和时空拥堵规律，“一键生成”针对性治理建议并应用到各类城市交通拥堵场景中。整个SaaS服务包含功能服务、数据服务、查询服务、数据咨询、可视化服务、鉴权服务等六大服务内容。整个服务是将互联网大数据与交通行业数据相结合，从用户出行角度刻画公众出行需求。</w:t>
            </w:r>
          </w:p>
          <w:p w14:paraId="484FFC17">
            <w:pPr>
              <w:spacing w:line="240" w:lineRule="auto"/>
              <w:jc w:val="left"/>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（2）数据层</w:t>
            </w:r>
          </w:p>
          <w:p w14:paraId="1FD46A99">
            <w:pPr>
              <w:spacing w:line="240" w:lineRule="auto"/>
              <w:jc w:val="left"/>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1）数据采集</w:t>
            </w:r>
          </w:p>
          <w:p w14:paraId="7AC05762">
            <w:pPr>
              <w:pStyle w:val="5"/>
              <w:numPr>
                <w:ilvl w:val="0"/>
                <w:numId w:val="0"/>
              </w:numPr>
              <w:spacing w:line="360" w:lineRule="auto"/>
              <w:ind w:firstLine="400" w:firstLineChars="200"/>
              <w:jc w:val="left"/>
              <w:rPr>
                <w:rFonts w:hint="eastAsia"/>
                <w:lang w:val="en-US" w:eastAsia="zh-CN"/>
              </w:rPr>
            </w:pPr>
            <w:r>
              <w:rPr>
                <w:rFonts w:hint="eastAsia"/>
                <w:lang w:val="en-US" w:eastAsia="zh-CN"/>
              </w:rPr>
              <w:t>数据依赖驾车导航数据、基于位置服务的OD数据、公交线网和实时公交数据、导航用户量数据、国家或行业标准规范准则。</w:t>
            </w:r>
          </w:p>
          <w:p w14:paraId="4A7C7F52">
            <w:pPr>
              <w:pStyle w:val="5"/>
              <w:numPr>
                <w:ilvl w:val="0"/>
                <w:numId w:val="0"/>
              </w:numPr>
              <w:spacing w:line="360" w:lineRule="auto"/>
              <w:ind w:firstLine="400" w:firstLineChars="200"/>
              <w:jc w:val="left"/>
              <w:rPr>
                <w:rFonts w:hint="eastAsia"/>
                <w:lang w:val="en-US" w:eastAsia="zh-CN"/>
              </w:rPr>
            </w:pPr>
            <w:r>
              <w:rPr>
                <w:rFonts w:hint="eastAsia"/>
                <w:lang w:val="en-US" w:eastAsia="zh-CN"/>
              </w:rPr>
              <w:t>本项目所需数据为自有互联网交通出行大数据及交通行业数据相融合，并根据交通评诊治指标体系进行相关交通参数指标的计算与输出。</w:t>
            </w:r>
          </w:p>
          <w:p w14:paraId="3C559625">
            <w:pPr>
              <w:pStyle w:val="5"/>
              <w:numPr>
                <w:ilvl w:val="0"/>
                <w:numId w:val="0"/>
              </w:numPr>
              <w:spacing w:before="135"/>
              <w:ind w:right="165" w:rightChars="0"/>
              <w:jc w:val="both"/>
              <w:rPr>
                <w:rFonts w:hint="eastAsia" w:asciiTheme="minorEastAsia" w:hAnsiTheme="minorEastAsia" w:cstheme="minorEastAsia"/>
                <w:b w:val="0"/>
                <w:bCs w:val="0"/>
                <w:lang w:val="en-US" w:eastAsia="zh-CN"/>
              </w:rPr>
            </w:pPr>
            <w:r>
              <w:rPr>
                <w:rFonts w:hint="eastAsia" w:asciiTheme="minorEastAsia" w:hAnsiTheme="minorEastAsia" w:cstheme="minorEastAsia"/>
                <w:b w:val="0"/>
                <w:bCs w:val="0"/>
                <w:lang w:val="en-US" w:eastAsia="zh-CN"/>
              </w:rPr>
              <w:t>2）数据清洗与加工。</w:t>
            </w:r>
          </w:p>
          <w:p w14:paraId="0A9FDCA2">
            <w:pPr>
              <w:pStyle w:val="5"/>
              <w:numPr>
                <w:ilvl w:val="0"/>
                <w:numId w:val="0"/>
              </w:numPr>
              <w:spacing w:before="135"/>
              <w:ind w:right="165" w:rightChars="0"/>
              <w:jc w:val="both"/>
              <w:rPr>
                <w:rFonts w:hint="eastAsia" w:asciiTheme="minorEastAsia" w:hAnsiTheme="minorEastAsia" w:cstheme="minorEastAsia"/>
                <w:b w:val="0"/>
                <w:bCs w:val="0"/>
                <w:lang w:val="en-US" w:eastAsia="zh-CN"/>
              </w:rPr>
            </w:pPr>
            <w:r>
              <w:rPr>
                <w:rFonts w:hint="eastAsia" w:asciiTheme="minorEastAsia" w:hAnsiTheme="minorEastAsia" w:cstheme="minorEastAsia"/>
                <w:b w:val="0"/>
                <w:bCs w:val="0"/>
                <w:lang w:val="en-US" w:eastAsia="zh-CN"/>
              </w:rPr>
              <w:t>3）指标体系模型建设。</w:t>
            </w:r>
          </w:p>
          <w:p w14:paraId="548472B1">
            <w:pPr>
              <w:spacing w:line="240" w:lineRule="auto"/>
              <w:jc w:val="left"/>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w:t>
            </w:r>
            <w:r>
              <w:rPr>
                <w:rFonts w:hint="eastAsia" w:asciiTheme="minorEastAsia" w:hAnsiTheme="minorEastAsia" w:cstheme="minorEastAsia"/>
                <w:b/>
                <w:bCs/>
                <w:lang w:val="en-US" w:eastAsia="zh-CN"/>
              </w:rPr>
              <w:t>3</w:t>
            </w:r>
            <w:r>
              <w:rPr>
                <w:rFonts w:hint="eastAsia" w:asciiTheme="minorEastAsia" w:hAnsiTheme="minorEastAsia" w:eastAsiaTheme="minorEastAsia" w:cstheme="minorEastAsia"/>
                <w:b/>
                <w:bCs/>
                <w:lang w:val="en-US" w:eastAsia="zh-CN"/>
              </w:rPr>
              <w:t>）</w:t>
            </w:r>
            <w:r>
              <w:rPr>
                <w:rFonts w:hint="eastAsia" w:asciiTheme="minorEastAsia" w:hAnsiTheme="minorEastAsia" w:eastAsiaTheme="minorEastAsia" w:cstheme="minorEastAsia"/>
                <w:b/>
                <w:bCs/>
              </w:rPr>
              <w:t>支撑层</w:t>
            </w:r>
          </w:p>
          <w:p w14:paraId="0A97C63E">
            <w:pPr>
              <w:pStyle w:val="2"/>
              <w:rPr>
                <w:rFonts w:hint="eastAsia" w:eastAsiaTheme="minorEastAsia"/>
                <w:lang w:eastAsia="zh-CN"/>
              </w:rPr>
            </w:pPr>
            <w:r>
              <w:rPr>
                <w:rFonts w:hint="eastAsia" w:asciiTheme="minorEastAsia" w:hAnsiTheme="minorEastAsia" w:eastAsiaTheme="minorEastAsia" w:cstheme="minorEastAsia"/>
                <w:kern w:val="2"/>
                <w:szCs w:val="28"/>
                <w:lang w:val="en-US" w:eastAsia="zh-Hans" w:bidi="ar-SA"/>
              </w:rPr>
              <w:t>城市交通路况运行分析指标体系构建</w:t>
            </w:r>
            <w:r>
              <w:rPr>
                <w:rFonts w:hint="eastAsia" w:asciiTheme="minorEastAsia" w:hAnsiTheme="minorEastAsia" w:cstheme="minorEastAsia"/>
                <w:kern w:val="2"/>
                <w:szCs w:val="28"/>
                <w:lang w:val="en-US" w:eastAsia="zh-CN" w:bidi="ar-SA"/>
              </w:rPr>
              <w:t>：</w:t>
            </w:r>
          </w:p>
          <w:tbl>
            <w:tblPr>
              <w:tblStyle w:val="3"/>
              <w:tblW w:w="6246" w:type="dxa"/>
              <w:tblInd w:w="0" w:type="dxa"/>
              <w:tblLayout w:type="autofit"/>
              <w:tblCellMar>
                <w:top w:w="0" w:type="dxa"/>
                <w:left w:w="108" w:type="dxa"/>
                <w:bottom w:w="0" w:type="dxa"/>
                <w:right w:w="108" w:type="dxa"/>
              </w:tblCellMar>
            </w:tblPr>
            <w:tblGrid>
              <w:gridCol w:w="2424"/>
              <w:gridCol w:w="709"/>
              <w:gridCol w:w="3113"/>
            </w:tblGrid>
            <w:tr w14:paraId="34E70E0B">
              <w:tblPrEx>
                <w:tblCellMar>
                  <w:top w:w="0" w:type="dxa"/>
                  <w:left w:w="108" w:type="dxa"/>
                  <w:bottom w:w="0" w:type="dxa"/>
                  <w:right w:w="108" w:type="dxa"/>
                </w:tblCellMar>
              </w:tblPrEx>
              <w:trPr>
                <w:trHeight w:val="454" w:hRule="atLeast"/>
              </w:trPr>
              <w:tc>
                <w:tcPr>
                  <w:tcW w:w="242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6C693DD2">
                  <w:pPr>
                    <w:spacing w:line="240" w:lineRule="auto"/>
                    <w:ind w:firstLine="0"/>
                    <w:jc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数据处理服务模块</w:t>
                  </w:r>
                </w:p>
              </w:tc>
              <w:tc>
                <w:tcPr>
                  <w:tcW w:w="709" w:type="dxa"/>
                  <w:tcBorders>
                    <w:top w:val="single" w:color="auto" w:sz="4" w:space="0"/>
                    <w:left w:val="nil"/>
                    <w:bottom w:val="single" w:color="auto" w:sz="4" w:space="0"/>
                    <w:right w:val="single" w:color="auto" w:sz="4" w:space="0"/>
                  </w:tcBorders>
                  <w:shd w:val="clear" w:color="auto" w:fill="F1F1F1" w:themeFill="background1" w:themeFillShade="F2"/>
                  <w:vAlign w:val="center"/>
                </w:tcPr>
                <w:p w14:paraId="64E795D0">
                  <w:pPr>
                    <w:spacing w:line="240" w:lineRule="auto"/>
                    <w:ind w:firstLine="0"/>
                    <w:jc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编号</w:t>
                  </w:r>
                </w:p>
              </w:tc>
              <w:tc>
                <w:tcPr>
                  <w:tcW w:w="3113" w:type="dxa"/>
                  <w:tcBorders>
                    <w:top w:val="single" w:color="auto" w:sz="4" w:space="0"/>
                    <w:left w:val="nil"/>
                    <w:bottom w:val="single" w:color="auto" w:sz="4" w:space="0"/>
                    <w:right w:val="single" w:color="auto" w:sz="4" w:space="0"/>
                  </w:tcBorders>
                  <w:shd w:val="clear" w:color="auto" w:fill="F1F1F1" w:themeFill="background1" w:themeFillShade="F2"/>
                  <w:vAlign w:val="center"/>
                </w:tcPr>
                <w:p w14:paraId="2DEE60DE">
                  <w:pPr>
                    <w:spacing w:line="240" w:lineRule="auto"/>
                    <w:ind w:firstLine="0"/>
                    <w:jc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指标</w:t>
                  </w:r>
                </w:p>
              </w:tc>
            </w:tr>
            <w:tr w14:paraId="71CDBB37">
              <w:tblPrEx>
                <w:tblCellMar>
                  <w:top w:w="0" w:type="dxa"/>
                  <w:left w:w="108" w:type="dxa"/>
                  <w:bottom w:w="0" w:type="dxa"/>
                  <w:right w:w="108" w:type="dxa"/>
                </w:tblCellMar>
              </w:tblPrEx>
              <w:trPr>
                <w:trHeight w:val="454" w:hRule="atLeast"/>
              </w:trPr>
              <w:tc>
                <w:tcPr>
                  <w:tcW w:w="2424" w:type="dxa"/>
                  <w:vMerge w:val="restart"/>
                  <w:tcBorders>
                    <w:top w:val="nil"/>
                    <w:left w:val="single" w:color="auto" w:sz="4" w:space="0"/>
                    <w:bottom w:val="single" w:color="auto" w:sz="4" w:space="0"/>
                    <w:right w:val="single" w:color="auto" w:sz="4" w:space="0"/>
                  </w:tcBorders>
                  <w:vAlign w:val="center"/>
                </w:tcPr>
                <w:p w14:paraId="429EF385">
                  <w:pPr>
                    <w:spacing w:line="240" w:lineRule="auto"/>
                    <w:ind w:firstLine="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一、基础路网分析（3项）</w:t>
                  </w:r>
                </w:p>
              </w:tc>
              <w:tc>
                <w:tcPr>
                  <w:tcW w:w="709" w:type="dxa"/>
                  <w:tcBorders>
                    <w:top w:val="nil"/>
                    <w:left w:val="nil"/>
                    <w:bottom w:val="single" w:color="auto" w:sz="4" w:space="0"/>
                    <w:right w:val="single" w:color="auto" w:sz="4" w:space="0"/>
                  </w:tcBorders>
                  <w:vAlign w:val="center"/>
                </w:tcPr>
                <w:p w14:paraId="1B6D14D4">
                  <w:pPr>
                    <w:spacing w:line="240" w:lineRule="auto"/>
                    <w:ind w:firstLine="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3113" w:type="dxa"/>
                  <w:tcBorders>
                    <w:top w:val="nil"/>
                    <w:left w:val="nil"/>
                    <w:bottom w:val="single" w:color="auto" w:sz="4" w:space="0"/>
                    <w:right w:val="single" w:color="auto" w:sz="4" w:space="0"/>
                  </w:tcBorders>
                  <w:vAlign w:val="center"/>
                </w:tcPr>
                <w:p w14:paraId="1BA4E032">
                  <w:pPr>
                    <w:spacing w:line="240" w:lineRule="auto"/>
                    <w:ind w:firstLine="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路网密度</w:t>
                  </w:r>
                </w:p>
              </w:tc>
            </w:tr>
            <w:tr w14:paraId="301641F5">
              <w:tblPrEx>
                <w:tblCellMar>
                  <w:top w:w="0" w:type="dxa"/>
                  <w:left w:w="108" w:type="dxa"/>
                  <w:bottom w:w="0" w:type="dxa"/>
                  <w:right w:w="108" w:type="dxa"/>
                </w:tblCellMar>
              </w:tblPrEx>
              <w:trPr>
                <w:trHeight w:val="454" w:hRule="atLeast"/>
              </w:trPr>
              <w:tc>
                <w:tcPr>
                  <w:tcW w:w="2424" w:type="dxa"/>
                  <w:vMerge w:val="continue"/>
                  <w:tcBorders>
                    <w:top w:val="nil"/>
                    <w:left w:val="single" w:color="auto" w:sz="4" w:space="0"/>
                    <w:bottom w:val="single" w:color="auto" w:sz="4" w:space="0"/>
                    <w:right w:val="single" w:color="auto" w:sz="4" w:space="0"/>
                  </w:tcBorders>
                  <w:vAlign w:val="center"/>
                </w:tcPr>
                <w:p w14:paraId="36FCC242">
                  <w:pPr>
                    <w:spacing w:line="240" w:lineRule="auto"/>
                    <w:jc w:val="center"/>
                    <w:rPr>
                      <w:rFonts w:hint="eastAsia" w:asciiTheme="minorEastAsia" w:hAnsiTheme="minorEastAsia" w:eastAsiaTheme="minorEastAsia" w:cstheme="minorEastAsia"/>
                      <w:sz w:val="20"/>
                      <w:szCs w:val="20"/>
                    </w:rPr>
                  </w:pPr>
                </w:p>
              </w:tc>
              <w:tc>
                <w:tcPr>
                  <w:tcW w:w="709" w:type="dxa"/>
                  <w:tcBorders>
                    <w:top w:val="nil"/>
                    <w:left w:val="nil"/>
                    <w:bottom w:val="single" w:color="auto" w:sz="4" w:space="0"/>
                    <w:right w:val="single" w:color="auto" w:sz="4" w:space="0"/>
                  </w:tcBorders>
                  <w:vAlign w:val="center"/>
                </w:tcPr>
                <w:p w14:paraId="77CBF194">
                  <w:pPr>
                    <w:spacing w:line="240" w:lineRule="auto"/>
                    <w:ind w:firstLine="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3113" w:type="dxa"/>
                  <w:tcBorders>
                    <w:top w:val="nil"/>
                    <w:left w:val="nil"/>
                    <w:bottom w:val="single" w:color="auto" w:sz="4" w:space="0"/>
                    <w:right w:val="single" w:color="auto" w:sz="4" w:space="0"/>
                  </w:tcBorders>
                  <w:vAlign w:val="center"/>
                </w:tcPr>
                <w:p w14:paraId="02EADD95">
                  <w:pPr>
                    <w:spacing w:line="240" w:lineRule="auto"/>
                    <w:ind w:firstLine="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道路级配</w:t>
                  </w:r>
                </w:p>
              </w:tc>
            </w:tr>
            <w:tr w14:paraId="4BF6ED66">
              <w:tblPrEx>
                <w:tblCellMar>
                  <w:top w:w="0" w:type="dxa"/>
                  <w:left w:w="108" w:type="dxa"/>
                  <w:bottom w:w="0" w:type="dxa"/>
                  <w:right w:w="108" w:type="dxa"/>
                </w:tblCellMar>
              </w:tblPrEx>
              <w:trPr>
                <w:trHeight w:val="454" w:hRule="atLeast"/>
              </w:trPr>
              <w:tc>
                <w:tcPr>
                  <w:tcW w:w="2424" w:type="dxa"/>
                  <w:vMerge w:val="continue"/>
                  <w:tcBorders>
                    <w:top w:val="nil"/>
                    <w:left w:val="single" w:color="auto" w:sz="4" w:space="0"/>
                    <w:bottom w:val="single" w:color="auto" w:sz="4" w:space="0"/>
                    <w:right w:val="single" w:color="auto" w:sz="4" w:space="0"/>
                  </w:tcBorders>
                  <w:vAlign w:val="center"/>
                </w:tcPr>
                <w:p w14:paraId="66D6DAC4">
                  <w:pPr>
                    <w:spacing w:line="240" w:lineRule="auto"/>
                    <w:jc w:val="center"/>
                    <w:rPr>
                      <w:rFonts w:hint="eastAsia" w:asciiTheme="minorEastAsia" w:hAnsiTheme="minorEastAsia" w:eastAsiaTheme="minorEastAsia" w:cstheme="minorEastAsia"/>
                      <w:sz w:val="20"/>
                      <w:szCs w:val="20"/>
                    </w:rPr>
                  </w:pPr>
                </w:p>
              </w:tc>
              <w:tc>
                <w:tcPr>
                  <w:tcW w:w="709" w:type="dxa"/>
                  <w:tcBorders>
                    <w:top w:val="nil"/>
                    <w:left w:val="nil"/>
                    <w:bottom w:val="single" w:color="auto" w:sz="4" w:space="0"/>
                    <w:right w:val="single" w:color="auto" w:sz="4" w:space="0"/>
                  </w:tcBorders>
                  <w:vAlign w:val="center"/>
                </w:tcPr>
                <w:p w14:paraId="371E10AA">
                  <w:pPr>
                    <w:spacing w:line="240" w:lineRule="auto"/>
                    <w:ind w:firstLine="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c>
                <w:tcPr>
                  <w:tcW w:w="3113" w:type="dxa"/>
                  <w:tcBorders>
                    <w:top w:val="nil"/>
                    <w:left w:val="nil"/>
                    <w:bottom w:val="single" w:color="auto" w:sz="4" w:space="0"/>
                    <w:right w:val="single" w:color="auto" w:sz="4" w:space="0"/>
                  </w:tcBorders>
                  <w:vAlign w:val="center"/>
                </w:tcPr>
                <w:p w14:paraId="487A6720">
                  <w:pPr>
                    <w:spacing w:line="240" w:lineRule="auto"/>
                    <w:ind w:firstLine="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流量分担率</w:t>
                  </w:r>
                </w:p>
              </w:tc>
            </w:tr>
            <w:tr w14:paraId="2885C81B">
              <w:tblPrEx>
                <w:tblCellMar>
                  <w:top w:w="0" w:type="dxa"/>
                  <w:left w:w="108" w:type="dxa"/>
                  <w:bottom w:w="0" w:type="dxa"/>
                  <w:right w:w="108" w:type="dxa"/>
                </w:tblCellMar>
              </w:tblPrEx>
              <w:trPr>
                <w:trHeight w:val="454" w:hRule="atLeast"/>
              </w:trPr>
              <w:tc>
                <w:tcPr>
                  <w:tcW w:w="2424" w:type="dxa"/>
                  <w:vMerge w:val="restart"/>
                  <w:tcBorders>
                    <w:top w:val="nil"/>
                    <w:left w:val="single" w:color="auto" w:sz="4" w:space="0"/>
                    <w:bottom w:val="single" w:color="auto" w:sz="4" w:space="0"/>
                    <w:right w:val="single" w:color="auto" w:sz="4" w:space="0"/>
                  </w:tcBorders>
                  <w:vAlign w:val="center"/>
                </w:tcPr>
                <w:p w14:paraId="754B5C7A">
                  <w:pPr>
                    <w:ind w:firstLine="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二、交通运行分析（6项）</w:t>
                  </w:r>
                </w:p>
              </w:tc>
              <w:tc>
                <w:tcPr>
                  <w:tcW w:w="709" w:type="dxa"/>
                  <w:tcBorders>
                    <w:top w:val="nil"/>
                    <w:left w:val="nil"/>
                    <w:bottom w:val="single" w:color="auto" w:sz="4" w:space="0"/>
                    <w:right w:val="single" w:color="auto" w:sz="4" w:space="0"/>
                  </w:tcBorders>
                  <w:vAlign w:val="center"/>
                </w:tcPr>
                <w:p w14:paraId="39F7A03C">
                  <w:pPr>
                    <w:spacing w:line="240" w:lineRule="auto"/>
                    <w:ind w:firstLine="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w:t>
                  </w:r>
                </w:p>
              </w:tc>
              <w:tc>
                <w:tcPr>
                  <w:tcW w:w="3113" w:type="dxa"/>
                  <w:tcBorders>
                    <w:top w:val="nil"/>
                    <w:left w:val="nil"/>
                    <w:bottom w:val="single" w:color="auto" w:sz="4" w:space="0"/>
                    <w:right w:val="single" w:color="auto" w:sz="4" w:space="0"/>
                  </w:tcBorders>
                  <w:vAlign w:val="center"/>
                </w:tcPr>
                <w:p w14:paraId="1ACB66D2">
                  <w:pPr>
                    <w:spacing w:line="240" w:lineRule="auto"/>
                    <w:ind w:firstLine="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驾车活力指数</w:t>
                  </w:r>
                </w:p>
              </w:tc>
            </w:tr>
            <w:tr w14:paraId="25481A42">
              <w:tblPrEx>
                <w:tblCellMar>
                  <w:top w:w="0" w:type="dxa"/>
                  <w:left w:w="108" w:type="dxa"/>
                  <w:bottom w:w="0" w:type="dxa"/>
                  <w:right w:w="108" w:type="dxa"/>
                </w:tblCellMar>
              </w:tblPrEx>
              <w:trPr>
                <w:trHeight w:val="454" w:hRule="atLeast"/>
              </w:trPr>
              <w:tc>
                <w:tcPr>
                  <w:tcW w:w="2424" w:type="dxa"/>
                  <w:vMerge w:val="continue"/>
                  <w:tcBorders>
                    <w:top w:val="nil"/>
                    <w:left w:val="single" w:color="auto" w:sz="4" w:space="0"/>
                    <w:bottom w:val="single" w:color="auto" w:sz="4" w:space="0"/>
                    <w:right w:val="single" w:color="auto" w:sz="4" w:space="0"/>
                  </w:tcBorders>
                  <w:vAlign w:val="center"/>
                </w:tcPr>
                <w:p w14:paraId="65172080">
                  <w:pPr>
                    <w:jc w:val="center"/>
                    <w:rPr>
                      <w:rFonts w:hint="eastAsia" w:asciiTheme="minorEastAsia" w:hAnsiTheme="minorEastAsia" w:eastAsiaTheme="minorEastAsia" w:cstheme="minorEastAsia"/>
                      <w:sz w:val="20"/>
                      <w:szCs w:val="20"/>
                    </w:rPr>
                  </w:pPr>
                </w:p>
              </w:tc>
              <w:tc>
                <w:tcPr>
                  <w:tcW w:w="709" w:type="dxa"/>
                  <w:tcBorders>
                    <w:top w:val="nil"/>
                    <w:left w:val="nil"/>
                    <w:bottom w:val="single" w:color="auto" w:sz="4" w:space="0"/>
                    <w:right w:val="single" w:color="auto" w:sz="4" w:space="0"/>
                  </w:tcBorders>
                </w:tcPr>
                <w:p w14:paraId="08A8753F">
                  <w:pPr>
                    <w:spacing w:line="240" w:lineRule="auto"/>
                    <w:ind w:firstLine="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w:t>
                  </w:r>
                </w:p>
              </w:tc>
              <w:tc>
                <w:tcPr>
                  <w:tcW w:w="3113" w:type="dxa"/>
                  <w:tcBorders>
                    <w:top w:val="nil"/>
                    <w:left w:val="nil"/>
                    <w:bottom w:val="single" w:color="auto" w:sz="4" w:space="0"/>
                    <w:right w:val="single" w:color="auto" w:sz="4" w:space="0"/>
                  </w:tcBorders>
                </w:tcPr>
                <w:p w14:paraId="454235F8">
                  <w:pPr>
                    <w:spacing w:line="240" w:lineRule="auto"/>
                    <w:ind w:firstLine="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交通健康指数</w:t>
                  </w:r>
                </w:p>
              </w:tc>
            </w:tr>
            <w:tr w14:paraId="2EA56C03">
              <w:tblPrEx>
                <w:tblCellMar>
                  <w:top w:w="0" w:type="dxa"/>
                  <w:left w:w="108" w:type="dxa"/>
                  <w:bottom w:w="0" w:type="dxa"/>
                  <w:right w:w="108" w:type="dxa"/>
                </w:tblCellMar>
              </w:tblPrEx>
              <w:trPr>
                <w:trHeight w:val="454" w:hRule="atLeast"/>
              </w:trPr>
              <w:tc>
                <w:tcPr>
                  <w:tcW w:w="2424" w:type="dxa"/>
                  <w:vMerge w:val="continue"/>
                  <w:tcBorders>
                    <w:top w:val="nil"/>
                    <w:left w:val="single" w:color="auto" w:sz="4" w:space="0"/>
                    <w:bottom w:val="single" w:color="auto" w:sz="4" w:space="0"/>
                    <w:right w:val="single" w:color="auto" w:sz="4" w:space="0"/>
                  </w:tcBorders>
                  <w:vAlign w:val="center"/>
                </w:tcPr>
                <w:p w14:paraId="79A7A2F7">
                  <w:pPr>
                    <w:jc w:val="center"/>
                    <w:rPr>
                      <w:rFonts w:hint="eastAsia" w:asciiTheme="minorEastAsia" w:hAnsiTheme="minorEastAsia" w:eastAsiaTheme="minorEastAsia" w:cstheme="minorEastAsia"/>
                      <w:sz w:val="20"/>
                      <w:szCs w:val="20"/>
                    </w:rPr>
                  </w:pPr>
                </w:p>
              </w:tc>
              <w:tc>
                <w:tcPr>
                  <w:tcW w:w="709" w:type="dxa"/>
                  <w:tcBorders>
                    <w:top w:val="nil"/>
                    <w:left w:val="nil"/>
                    <w:bottom w:val="single" w:color="auto" w:sz="4" w:space="0"/>
                    <w:right w:val="single" w:color="auto" w:sz="4" w:space="0"/>
                  </w:tcBorders>
                </w:tcPr>
                <w:p w14:paraId="027CF6EC">
                  <w:pPr>
                    <w:spacing w:line="240" w:lineRule="auto"/>
                    <w:ind w:firstLine="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w:t>
                  </w:r>
                </w:p>
              </w:tc>
              <w:tc>
                <w:tcPr>
                  <w:tcW w:w="3113" w:type="dxa"/>
                  <w:tcBorders>
                    <w:top w:val="nil"/>
                    <w:left w:val="nil"/>
                    <w:bottom w:val="single" w:color="auto" w:sz="4" w:space="0"/>
                    <w:right w:val="single" w:color="auto" w:sz="4" w:space="0"/>
                  </w:tcBorders>
                </w:tcPr>
                <w:p w14:paraId="2E5DA1DB">
                  <w:pPr>
                    <w:spacing w:line="240" w:lineRule="auto"/>
                    <w:ind w:firstLine="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高延时运行时间占比</w:t>
                  </w:r>
                </w:p>
              </w:tc>
            </w:tr>
            <w:tr w14:paraId="3C0C0F8E">
              <w:tblPrEx>
                <w:tblCellMar>
                  <w:top w:w="0" w:type="dxa"/>
                  <w:left w:w="108" w:type="dxa"/>
                  <w:bottom w:w="0" w:type="dxa"/>
                  <w:right w:w="108" w:type="dxa"/>
                </w:tblCellMar>
              </w:tblPrEx>
              <w:trPr>
                <w:trHeight w:val="454" w:hRule="atLeast"/>
              </w:trPr>
              <w:tc>
                <w:tcPr>
                  <w:tcW w:w="2424" w:type="dxa"/>
                  <w:vMerge w:val="continue"/>
                  <w:tcBorders>
                    <w:top w:val="nil"/>
                    <w:left w:val="single" w:color="auto" w:sz="4" w:space="0"/>
                    <w:bottom w:val="single" w:color="auto" w:sz="4" w:space="0"/>
                    <w:right w:val="single" w:color="auto" w:sz="4" w:space="0"/>
                  </w:tcBorders>
                  <w:vAlign w:val="center"/>
                </w:tcPr>
                <w:p w14:paraId="64292649">
                  <w:pPr>
                    <w:jc w:val="center"/>
                    <w:rPr>
                      <w:rFonts w:hint="eastAsia" w:asciiTheme="minorEastAsia" w:hAnsiTheme="minorEastAsia" w:eastAsiaTheme="minorEastAsia" w:cstheme="minorEastAsia"/>
                      <w:sz w:val="20"/>
                      <w:szCs w:val="20"/>
                    </w:rPr>
                  </w:pPr>
                </w:p>
              </w:tc>
              <w:tc>
                <w:tcPr>
                  <w:tcW w:w="709" w:type="dxa"/>
                  <w:tcBorders>
                    <w:top w:val="nil"/>
                    <w:left w:val="nil"/>
                    <w:bottom w:val="single" w:color="auto" w:sz="4" w:space="0"/>
                    <w:right w:val="single" w:color="auto" w:sz="4" w:space="0"/>
                  </w:tcBorders>
                </w:tcPr>
                <w:p w14:paraId="2F44A216">
                  <w:pPr>
                    <w:spacing w:line="240" w:lineRule="auto"/>
                    <w:ind w:firstLine="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7</w:t>
                  </w:r>
                </w:p>
              </w:tc>
              <w:tc>
                <w:tcPr>
                  <w:tcW w:w="3113" w:type="dxa"/>
                  <w:tcBorders>
                    <w:top w:val="nil"/>
                    <w:left w:val="nil"/>
                    <w:bottom w:val="single" w:color="auto" w:sz="4" w:space="0"/>
                    <w:right w:val="single" w:color="auto" w:sz="4" w:space="0"/>
                  </w:tcBorders>
                </w:tcPr>
                <w:p w14:paraId="295E5BA7">
                  <w:pPr>
                    <w:spacing w:line="240" w:lineRule="auto"/>
                    <w:ind w:firstLine="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拥堵路段里程比</w:t>
                  </w:r>
                </w:p>
              </w:tc>
            </w:tr>
            <w:tr w14:paraId="47411169">
              <w:tblPrEx>
                <w:tblCellMar>
                  <w:top w:w="0" w:type="dxa"/>
                  <w:left w:w="108" w:type="dxa"/>
                  <w:bottom w:w="0" w:type="dxa"/>
                  <w:right w:w="108" w:type="dxa"/>
                </w:tblCellMar>
              </w:tblPrEx>
              <w:trPr>
                <w:trHeight w:val="454" w:hRule="atLeast"/>
              </w:trPr>
              <w:tc>
                <w:tcPr>
                  <w:tcW w:w="2424" w:type="dxa"/>
                  <w:vMerge w:val="continue"/>
                  <w:tcBorders>
                    <w:top w:val="nil"/>
                    <w:left w:val="single" w:color="auto" w:sz="4" w:space="0"/>
                    <w:bottom w:val="single" w:color="auto" w:sz="4" w:space="0"/>
                    <w:right w:val="single" w:color="auto" w:sz="4" w:space="0"/>
                  </w:tcBorders>
                  <w:vAlign w:val="center"/>
                </w:tcPr>
                <w:p w14:paraId="675ABDE8">
                  <w:pPr>
                    <w:jc w:val="center"/>
                    <w:rPr>
                      <w:rFonts w:hint="eastAsia" w:asciiTheme="minorEastAsia" w:hAnsiTheme="minorEastAsia" w:eastAsiaTheme="minorEastAsia" w:cstheme="minorEastAsia"/>
                      <w:sz w:val="20"/>
                      <w:szCs w:val="20"/>
                    </w:rPr>
                  </w:pPr>
                </w:p>
              </w:tc>
              <w:tc>
                <w:tcPr>
                  <w:tcW w:w="709" w:type="dxa"/>
                  <w:tcBorders>
                    <w:top w:val="nil"/>
                    <w:left w:val="nil"/>
                    <w:bottom w:val="single" w:color="auto" w:sz="4" w:space="0"/>
                    <w:right w:val="single" w:color="auto" w:sz="4" w:space="0"/>
                  </w:tcBorders>
                </w:tcPr>
                <w:p w14:paraId="651B30E7">
                  <w:pPr>
                    <w:spacing w:line="240" w:lineRule="auto"/>
                    <w:ind w:firstLine="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8</w:t>
                  </w:r>
                </w:p>
              </w:tc>
              <w:tc>
                <w:tcPr>
                  <w:tcW w:w="3113" w:type="dxa"/>
                  <w:tcBorders>
                    <w:top w:val="nil"/>
                    <w:left w:val="nil"/>
                    <w:bottom w:val="single" w:color="auto" w:sz="4" w:space="0"/>
                    <w:right w:val="single" w:color="auto" w:sz="4" w:space="0"/>
                  </w:tcBorders>
                </w:tcPr>
                <w:p w14:paraId="25869D45">
                  <w:pPr>
                    <w:spacing w:line="240" w:lineRule="auto"/>
                    <w:ind w:firstLine="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常发拥堵路段里程比</w:t>
                  </w:r>
                </w:p>
              </w:tc>
            </w:tr>
            <w:tr w14:paraId="0AC9AA92">
              <w:tblPrEx>
                <w:tblCellMar>
                  <w:top w:w="0" w:type="dxa"/>
                  <w:left w:w="108" w:type="dxa"/>
                  <w:bottom w:w="0" w:type="dxa"/>
                  <w:right w:w="108" w:type="dxa"/>
                </w:tblCellMar>
              </w:tblPrEx>
              <w:trPr>
                <w:trHeight w:val="454" w:hRule="atLeast"/>
              </w:trPr>
              <w:tc>
                <w:tcPr>
                  <w:tcW w:w="2424" w:type="dxa"/>
                  <w:vMerge w:val="continue"/>
                  <w:tcBorders>
                    <w:top w:val="nil"/>
                    <w:left w:val="single" w:color="auto" w:sz="4" w:space="0"/>
                    <w:bottom w:val="single" w:color="auto" w:sz="4" w:space="0"/>
                    <w:right w:val="single" w:color="auto" w:sz="4" w:space="0"/>
                  </w:tcBorders>
                  <w:vAlign w:val="center"/>
                </w:tcPr>
                <w:p w14:paraId="1A2E4236">
                  <w:pPr>
                    <w:jc w:val="center"/>
                    <w:rPr>
                      <w:rFonts w:hint="eastAsia" w:asciiTheme="minorEastAsia" w:hAnsiTheme="minorEastAsia" w:eastAsiaTheme="minorEastAsia" w:cstheme="minorEastAsia"/>
                      <w:sz w:val="20"/>
                      <w:szCs w:val="20"/>
                    </w:rPr>
                  </w:pPr>
                </w:p>
              </w:tc>
              <w:tc>
                <w:tcPr>
                  <w:tcW w:w="709" w:type="dxa"/>
                  <w:tcBorders>
                    <w:top w:val="nil"/>
                    <w:left w:val="nil"/>
                    <w:bottom w:val="single" w:color="auto" w:sz="4" w:space="0"/>
                    <w:right w:val="single" w:color="auto" w:sz="4" w:space="0"/>
                  </w:tcBorders>
                </w:tcPr>
                <w:p w14:paraId="277C870B">
                  <w:pPr>
                    <w:spacing w:line="240" w:lineRule="auto"/>
                    <w:ind w:firstLine="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w:t>
                  </w:r>
                </w:p>
              </w:tc>
              <w:tc>
                <w:tcPr>
                  <w:tcW w:w="3113" w:type="dxa"/>
                  <w:tcBorders>
                    <w:top w:val="nil"/>
                    <w:left w:val="nil"/>
                    <w:bottom w:val="single" w:color="auto" w:sz="4" w:space="0"/>
                    <w:right w:val="single" w:color="auto" w:sz="4" w:space="0"/>
                  </w:tcBorders>
                </w:tcPr>
                <w:p w14:paraId="33187C58">
                  <w:pPr>
                    <w:spacing w:line="240" w:lineRule="auto"/>
                    <w:ind w:firstLine="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道路运行速度偏差率</w:t>
                  </w:r>
                </w:p>
              </w:tc>
            </w:tr>
            <w:tr w14:paraId="1E4E20FB">
              <w:tblPrEx>
                <w:tblCellMar>
                  <w:top w:w="0" w:type="dxa"/>
                  <w:left w:w="108" w:type="dxa"/>
                  <w:bottom w:w="0" w:type="dxa"/>
                  <w:right w:w="108" w:type="dxa"/>
                </w:tblCellMar>
              </w:tblPrEx>
              <w:trPr>
                <w:trHeight w:val="454" w:hRule="atLeast"/>
              </w:trPr>
              <w:tc>
                <w:tcPr>
                  <w:tcW w:w="2424" w:type="dxa"/>
                  <w:vMerge w:val="restart"/>
                  <w:tcBorders>
                    <w:top w:val="nil"/>
                    <w:left w:val="single" w:color="auto" w:sz="4" w:space="0"/>
                    <w:bottom w:val="single" w:color="auto" w:sz="4" w:space="0"/>
                    <w:right w:val="single" w:color="auto" w:sz="4" w:space="0"/>
                  </w:tcBorders>
                  <w:vAlign w:val="center"/>
                </w:tcPr>
                <w:p w14:paraId="78D066FE">
                  <w:pPr>
                    <w:spacing w:line="240" w:lineRule="auto"/>
                    <w:ind w:firstLine="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三、路段交通评诊治（5项）</w:t>
                  </w:r>
                </w:p>
              </w:tc>
              <w:tc>
                <w:tcPr>
                  <w:tcW w:w="709" w:type="dxa"/>
                  <w:tcBorders>
                    <w:top w:val="nil"/>
                    <w:left w:val="nil"/>
                    <w:bottom w:val="single" w:color="auto" w:sz="4" w:space="0"/>
                    <w:right w:val="single" w:color="auto" w:sz="4" w:space="0"/>
                  </w:tcBorders>
                </w:tcPr>
                <w:p w14:paraId="5CBBFA7D">
                  <w:pPr>
                    <w:spacing w:line="240" w:lineRule="auto"/>
                    <w:ind w:firstLine="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w:t>
                  </w:r>
                </w:p>
              </w:tc>
              <w:tc>
                <w:tcPr>
                  <w:tcW w:w="3113" w:type="dxa"/>
                  <w:tcBorders>
                    <w:top w:val="nil"/>
                    <w:left w:val="nil"/>
                    <w:bottom w:val="single" w:color="auto" w:sz="4" w:space="0"/>
                    <w:right w:val="single" w:color="auto" w:sz="4" w:space="0"/>
                  </w:tcBorders>
                </w:tcPr>
                <w:p w14:paraId="7186B0F9">
                  <w:pPr>
                    <w:spacing w:line="240" w:lineRule="auto"/>
                    <w:ind w:firstLine="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路段饱和度指数</w:t>
                  </w:r>
                </w:p>
              </w:tc>
            </w:tr>
            <w:tr w14:paraId="36F35C34">
              <w:tblPrEx>
                <w:tblCellMar>
                  <w:top w:w="0" w:type="dxa"/>
                  <w:left w:w="108" w:type="dxa"/>
                  <w:bottom w:w="0" w:type="dxa"/>
                  <w:right w:w="108" w:type="dxa"/>
                </w:tblCellMar>
              </w:tblPrEx>
              <w:trPr>
                <w:trHeight w:val="454" w:hRule="atLeast"/>
              </w:trPr>
              <w:tc>
                <w:tcPr>
                  <w:tcW w:w="2424" w:type="dxa"/>
                  <w:vMerge w:val="continue"/>
                  <w:tcBorders>
                    <w:top w:val="nil"/>
                    <w:left w:val="single" w:color="auto" w:sz="4" w:space="0"/>
                    <w:bottom w:val="single" w:color="auto" w:sz="4" w:space="0"/>
                    <w:right w:val="single" w:color="auto" w:sz="4" w:space="0"/>
                  </w:tcBorders>
                  <w:vAlign w:val="center"/>
                </w:tcPr>
                <w:p w14:paraId="66A09F6E">
                  <w:pPr>
                    <w:spacing w:line="240" w:lineRule="auto"/>
                    <w:jc w:val="center"/>
                    <w:rPr>
                      <w:rFonts w:hint="eastAsia" w:asciiTheme="minorEastAsia" w:hAnsiTheme="minorEastAsia" w:eastAsiaTheme="minorEastAsia" w:cstheme="minorEastAsia"/>
                      <w:sz w:val="20"/>
                      <w:szCs w:val="20"/>
                    </w:rPr>
                  </w:pPr>
                </w:p>
              </w:tc>
              <w:tc>
                <w:tcPr>
                  <w:tcW w:w="709" w:type="dxa"/>
                  <w:tcBorders>
                    <w:top w:val="nil"/>
                    <w:left w:val="nil"/>
                    <w:bottom w:val="single" w:color="auto" w:sz="4" w:space="0"/>
                    <w:right w:val="single" w:color="auto" w:sz="4" w:space="0"/>
                  </w:tcBorders>
                </w:tcPr>
                <w:p w14:paraId="188C6D4D">
                  <w:pPr>
                    <w:spacing w:line="240" w:lineRule="auto"/>
                    <w:ind w:firstLine="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11</w:t>
                  </w:r>
                </w:p>
              </w:tc>
              <w:tc>
                <w:tcPr>
                  <w:tcW w:w="3113" w:type="dxa"/>
                  <w:tcBorders>
                    <w:top w:val="nil"/>
                    <w:left w:val="nil"/>
                    <w:bottom w:val="single" w:color="auto" w:sz="4" w:space="0"/>
                    <w:right w:val="single" w:color="auto" w:sz="4" w:space="0"/>
                  </w:tcBorders>
                </w:tcPr>
                <w:p w14:paraId="630C7D50">
                  <w:pPr>
                    <w:spacing w:line="240" w:lineRule="auto"/>
                    <w:ind w:firstLine="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各等级道路过饱和里程比</w:t>
                  </w:r>
                </w:p>
              </w:tc>
            </w:tr>
            <w:tr w14:paraId="46849D74">
              <w:tblPrEx>
                <w:tblCellMar>
                  <w:top w:w="0" w:type="dxa"/>
                  <w:left w:w="108" w:type="dxa"/>
                  <w:bottom w:w="0" w:type="dxa"/>
                  <w:right w:w="108" w:type="dxa"/>
                </w:tblCellMar>
              </w:tblPrEx>
              <w:trPr>
                <w:trHeight w:val="454" w:hRule="atLeast"/>
              </w:trPr>
              <w:tc>
                <w:tcPr>
                  <w:tcW w:w="2424" w:type="dxa"/>
                  <w:vMerge w:val="continue"/>
                  <w:tcBorders>
                    <w:top w:val="nil"/>
                    <w:left w:val="single" w:color="auto" w:sz="4" w:space="0"/>
                    <w:bottom w:val="single" w:color="auto" w:sz="4" w:space="0"/>
                    <w:right w:val="single" w:color="auto" w:sz="4" w:space="0"/>
                  </w:tcBorders>
                  <w:vAlign w:val="center"/>
                </w:tcPr>
                <w:p w14:paraId="2820C1D0">
                  <w:pPr>
                    <w:spacing w:line="240" w:lineRule="auto"/>
                    <w:jc w:val="center"/>
                    <w:rPr>
                      <w:rFonts w:hint="eastAsia" w:asciiTheme="minorEastAsia" w:hAnsiTheme="minorEastAsia" w:eastAsiaTheme="minorEastAsia" w:cstheme="minorEastAsia"/>
                      <w:sz w:val="20"/>
                      <w:szCs w:val="20"/>
                    </w:rPr>
                  </w:pPr>
                </w:p>
              </w:tc>
              <w:tc>
                <w:tcPr>
                  <w:tcW w:w="709" w:type="dxa"/>
                  <w:tcBorders>
                    <w:top w:val="nil"/>
                    <w:left w:val="nil"/>
                    <w:bottom w:val="single" w:color="auto" w:sz="4" w:space="0"/>
                    <w:right w:val="single" w:color="auto" w:sz="4" w:space="0"/>
                  </w:tcBorders>
                </w:tcPr>
                <w:p w14:paraId="4CDE96D8">
                  <w:pPr>
                    <w:spacing w:line="240" w:lineRule="auto"/>
                    <w:ind w:firstLine="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12</w:t>
                  </w:r>
                </w:p>
              </w:tc>
              <w:tc>
                <w:tcPr>
                  <w:tcW w:w="3113" w:type="dxa"/>
                  <w:tcBorders>
                    <w:top w:val="nil"/>
                    <w:left w:val="nil"/>
                    <w:bottom w:val="single" w:color="auto" w:sz="4" w:space="0"/>
                    <w:right w:val="single" w:color="auto" w:sz="4" w:space="0"/>
                  </w:tcBorders>
                </w:tcPr>
                <w:p w14:paraId="2A806AB3">
                  <w:pPr>
                    <w:spacing w:line="240" w:lineRule="auto"/>
                    <w:ind w:firstLine="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道路拥堵时空路段</w:t>
                  </w:r>
                </w:p>
              </w:tc>
            </w:tr>
            <w:tr w14:paraId="7A215B13">
              <w:tblPrEx>
                <w:tblCellMar>
                  <w:top w:w="0" w:type="dxa"/>
                  <w:left w:w="108" w:type="dxa"/>
                  <w:bottom w:w="0" w:type="dxa"/>
                  <w:right w:w="108" w:type="dxa"/>
                </w:tblCellMar>
              </w:tblPrEx>
              <w:trPr>
                <w:trHeight w:val="454" w:hRule="atLeast"/>
              </w:trPr>
              <w:tc>
                <w:tcPr>
                  <w:tcW w:w="2424" w:type="dxa"/>
                  <w:vMerge w:val="continue"/>
                  <w:tcBorders>
                    <w:top w:val="nil"/>
                    <w:left w:val="single" w:color="auto" w:sz="4" w:space="0"/>
                    <w:bottom w:val="single" w:color="auto" w:sz="4" w:space="0"/>
                    <w:right w:val="single" w:color="auto" w:sz="4" w:space="0"/>
                  </w:tcBorders>
                  <w:vAlign w:val="center"/>
                </w:tcPr>
                <w:p w14:paraId="3A8DC67F">
                  <w:pPr>
                    <w:spacing w:line="240" w:lineRule="auto"/>
                    <w:jc w:val="center"/>
                    <w:rPr>
                      <w:rFonts w:hint="eastAsia" w:asciiTheme="minorEastAsia" w:hAnsiTheme="minorEastAsia" w:eastAsiaTheme="minorEastAsia" w:cstheme="minorEastAsia"/>
                      <w:sz w:val="20"/>
                      <w:szCs w:val="20"/>
                    </w:rPr>
                  </w:pPr>
                </w:p>
              </w:tc>
              <w:tc>
                <w:tcPr>
                  <w:tcW w:w="709" w:type="dxa"/>
                  <w:tcBorders>
                    <w:top w:val="nil"/>
                    <w:left w:val="nil"/>
                    <w:bottom w:val="single" w:color="auto" w:sz="4" w:space="0"/>
                    <w:right w:val="single" w:color="auto" w:sz="4" w:space="0"/>
                  </w:tcBorders>
                </w:tcPr>
                <w:p w14:paraId="58F9497F">
                  <w:pPr>
                    <w:spacing w:line="240" w:lineRule="auto"/>
                    <w:ind w:firstLine="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13</w:t>
                  </w:r>
                </w:p>
              </w:tc>
              <w:tc>
                <w:tcPr>
                  <w:tcW w:w="3113" w:type="dxa"/>
                  <w:tcBorders>
                    <w:top w:val="nil"/>
                    <w:left w:val="nil"/>
                    <w:bottom w:val="single" w:color="auto" w:sz="4" w:space="0"/>
                    <w:right w:val="single" w:color="auto" w:sz="4" w:space="0"/>
                  </w:tcBorders>
                </w:tcPr>
                <w:p w14:paraId="3E4E3045">
                  <w:pPr>
                    <w:spacing w:line="240" w:lineRule="auto"/>
                    <w:ind w:firstLine="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路段到达吸引力指数</w:t>
                  </w:r>
                </w:p>
              </w:tc>
            </w:tr>
            <w:tr w14:paraId="1077281E">
              <w:tblPrEx>
                <w:tblCellMar>
                  <w:top w:w="0" w:type="dxa"/>
                  <w:left w:w="108" w:type="dxa"/>
                  <w:bottom w:w="0" w:type="dxa"/>
                  <w:right w:w="108" w:type="dxa"/>
                </w:tblCellMar>
              </w:tblPrEx>
              <w:trPr>
                <w:trHeight w:val="454" w:hRule="atLeast"/>
              </w:trPr>
              <w:tc>
                <w:tcPr>
                  <w:tcW w:w="2424" w:type="dxa"/>
                  <w:vMerge w:val="continue"/>
                  <w:tcBorders>
                    <w:top w:val="nil"/>
                    <w:left w:val="single" w:color="auto" w:sz="4" w:space="0"/>
                    <w:bottom w:val="single" w:color="auto" w:sz="4" w:space="0"/>
                    <w:right w:val="single" w:color="auto" w:sz="4" w:space="0"/>
                  </w:tcBorders>
                  <w:vAlign w:val="center"/>
                </w:tcPr>
                <w:p w14:paraId="07063F72">
                  <w:pPr>
                    <w:spacing w:line="240" w:lineRule="auto"/>
                    <w:jc w:val="center"/>
                    <w:rPr>
                      <w:rFonts w:hint="eastAsia" w:asciiTheme="minorEastAsia" w:hAnsiTheme="minorEastAsia" w:eastAsiaTheme="minorEastAsia" w:cstheme="minorEastAsia"/>
                      <w:sz w:val="20"/>
                      <w:szCs w:val="20"/>
                    </w:rPr>
                  </w:pPr>
                </w:p>
              </w:tc>
              <w:tc>
                <w:tcPr>
                  <w:tcW w:w="709" w:type="dxa"/>
                  <w:tcBorders>
                    <w:top w:val="nil"/>
                    <w:left w:val="nil"/>
                    <w:bottom w:val="single" w:color="auto" w:sz="4" w:space="0"/>
                    <w:right w:val="single" w:color="auto" w:sz="4" w:space="0"/>
                  </w:tcBorders>
                </w:tcPr>
                <w:p w14:paraId="781ECA21">
                  <w:pPr>
                    <w:spacing w:line="240" w:lineRule="auto"/>
                    <w:ind w:firstLine="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14</w:t>
                  </w:r>
                </w:p>
              </w:tc>
              <w:tc>
                <w:tcPr>
                  <w:tcW w:w="3113" w:type="dxa"/>
                  <w:tcBorders>
                    <w:top w:val="nil"/>
                    <w:left w:val="nil"/>
                    <w:bottom w:val="single" w:color="auto" w:sz="4" w:space="0"/>
                    <w:right w:val="single" w:color="auto" w:sz="4" w:space="0"/>
                  </w:tcBorders>
                </w:tcPr>
                <w:p w14:paraId="541168ED">
                  <w:pPr>
                    <w:spacing w:line="240" w:lineRule="auto"/>
                    <w:ind w:firstLine="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POI到达吸引力指数</w:t>
                  </w:r>
                </w:p>
              </w:tc>
            </w:tr>
            <w:tr w14:paraId="08E28CAD">
              <w:tblPrEx>
                <w:tblCellMar>
                  <w:top w:w="0" w:type="dxa"/>
                  <w:left w:w="108" w:type="dxa"/>
                  <w:bottom w:w="0" w:type="dxa"/>
                  <w:right w:w="108" w:type="dxa"/>
                </w:tblCellMar>
              </w:tblPrEx>
              <w:trPr>
                <w:trHeight w:val="454" w:hRule="atLeast"/>
              </w:trPr>
              <w:tc>
                <w:tcPr>
                  <w:tcW w:w="2424" w:type="dxa"/>
                  <w:vMerge w:val="restart"/>
                  <w:tcBorders>
                    <w:top w:val="nil"/>
                    <w:left w:val="single" w:color="auto" w:sz="4" w:space="0"/>
                    <w:bottom w:val="single" w:color="auto" w:sz="4" w:space="0"/>
                    <w:right w:val="single" w:color="auto" w:sz="4" w:space="0"/>
                  </w:tcBorders>
                  <w:vAlign w:val="center"/>
                </w:tcPr>
                <w:p w14:paraId="48FAAC90">
                  <w:pPr>
                    <w:spacing w:line="240" w:lineRule="auto"/>
                    <w:ind w:firstLine="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四、路口交通评诊治（6项）</w:t>
                  </w:r>
                </w:p>
              </w:tc>
              <w:tc>
                <w:tcPr>
                  <w:tcW w:w="709" w:type="dxa"/>
                  <w:tcBorders>
                    <w:top w:val="nil"/>
                    <w:left w:val="nil"/>
                    <w:bottom w:val="single" w:color="auto" w:sz="4" w:space="0"/>
                    <w:right w:val="single" w:color="auto" w:sz="4" w:space="0"/>
                  </w:tcBorders>
                </w:tcPr>
                <w:p w14:paraId="380FE24E">
                  <w:pPr>
                    <w:spacing w:line="240" w:lineRule="auto"/>
                    <w:ind w:firstLine="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15</w:t>
                  </w:r>
                </w:p>
              </w:tc>
              <w:tc>
                <w:tcPr>
                  <w:tcW w:w="3113" w:type="dxa"/>
                  <w:tcBorders>
                    <w:top w:val="nil"/>
                    <w:left w:val="nil"/>
                    <w:bottom w:val="single" w:color="auto" w:sz="4" w:space="0"/>
                    <w:right w:val="single" w:color="auto" w:sz="4" w:space="0"/>
                  </w:tcBorders>
                </w:tcPr>
                <w:p w14:paraId="4C7B0859">
                  <w:pPr>
                    <w:spacing w:line="240" w:lineRule="auto"/>
                    <w:ind w:firstLine="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延误指数</w:t>
                  </w:r>
                </w:p>
              </w:tc>
            </w:tr>
            <w:tr w14:paraId="7A912510">
              <w:tblPrEx>
                <w:tblCellMar>
                  <w:top w:w="0" w:type="dxa"/>
                  <w:left w:w="108" w:type="dxa"/>
                  <w:bottom w:w="0" w:type="dxa"/>
                  <w:right w:w="108" w:type="dxa"/>
                </w:tblCellMar>
              </w:tblPrEx>
              <w:trPr>
                <w:trHeight w:val="454" w:hRule="atLeast"/>
              </w:trPr>
              <w:tc>
                <w:tcPr>
                  <w:tcW w:w="2424" w:type="dxa"/>
                  <w:vMerge w:val="continue"/>
                  <w:tcBorders>
                    <w:top w:val="nil"/>
                    <w:left w:val="single" w:color="auto" w:sz="4" w:space="0"/>
                    <w:bottom w:val="single" w:color="auto" w:sz="4" w:space="0"/>
                    <w:right w:val="single" w:color="auto" w:sz="4" w:space="0"/>
                  </w:tcBorders>
                  <w:vAlign w:val="center"/>
                </w:tcPr>
                <w:p w14:paraId="6FAED0F3">
                  <w:pPr>
                    <w:spacing w:line="240" w:lineRule="auto"/>
                    <w:jc w:val="center"/>
                    <w:rPr>
                      <w:rFonts w:hint="eastAsia" w:asciiTheme="minorEastAsia" w:hAnsiTheme="minorEastAsia" w:eastAsiaTheme="minorEastAsia" w:cstheme="minorEastAsia"/>
                      <w:sz w:val="20"/>
                      <w:szCs w:val="20"/>
                    </w:rPr>
                  </w:pPr>
                </w:p>
              </w:tc>
              <w:tc>
                <w:tcPr>
                  <w:tcW w:w="709" w:type="dxa"/>
                  <w:tcBorders>
                    <w:top w:val="nil"/>
                    <w:left w:val="nil"/>
                    <w:bottom w:val="single" w:color="auto" w:sz="4" w:space="0"/>
                    <w:right w:val="single" w:color="auto" w:sz="4" w:space="0"/>
                  </w:tcBorders>
                </w:tcPr>
                <w:p w14:paraId="1684C50C">
                  <w:pPr>
                    <w:spacing w:line="240" w:lineRule="auto"/>
                    <w:ind w:firstLine="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16</w:t>
                  </w:r>
                </w:p>
              </w:tc>
              <w:tc>
                <w:tcPr>
                  <w:tcW w:w="3113" w:type="dxa"/>
                  <w:tcBorders>
                    <w:top w:val="nil"/>
                    <w:left w:val="nil"/>
                    <w:bottom w:val="single" w:color="auto" w:sz="4" w:space="0"/>
                    <w:right w:val="single" w:color="auto" w:sz="4" w:space="0"/>
                  </w:tcBorders>
                </w:tcPr>
                <w:p w14:paraId="49D30E0B">
                  <w:pPr>
                    <w:spacing w:line="240" w:lineRule="auto"/>
                    <w:ind w:firstLine="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服务水平</w:t>
                  </w:r>
                </w:p>
              </w:tc>
            </w:tr>
            <w:tr w14:paraId="283391ED">
              <w:tblPrEx>
                <w:tblCellMar>
                  <w:top w:w="0" w:type="dxa"/>
                  <w:left w:w="108" w:type="dxa"/>
                  <w:bottom w:w="0" w:type="dxa"/>
                  <w:right w:w="108" w:type="dxa"/>
                </w:tblCellMar>
              </w:tblPrEx>
              <w:trPr>
                <w:trHeight w:val="454" w:hRule="atLeast"/>
              </w:trPr>
              <w:tc>
                <w:tcPr>
                  <w:tcW w:w="2424" w:type="dxa"/>
                  <w:vMerge w:val="continue"/>
                  <w:tcBorders>
                    <w:top w:val="nil"/>
                    <w:left w:val="single" w:color="auto" w:sz="4" w:space="0"/>
                    <w:bottom w:val="single" w:color="auto" w:sz="4" w:space="0"/>
                    <w:right w:val="single" w:color="auto" w:sz="4" w:space="0"/>
                  </w:tcBorders>
                  <w:vAlign w:val="center"/>
                </w:tcPr>
                <w:p w14:paraId="2C449CB7">
                  <w:pPr>
                    <w:spacing w:line="240" w:lineRule="auto"/>
                    <w:jc w:val="center"/>
                    <w:rPr>
                      <w:rFonts w:hint="eastAsia" w:asciiTheme="minorEastAsia" w:hAnsiTheme="minorEastAsia" w:eastAsiaTheme="minorEastAsia" w:cstheme="minorEastAsia"/>
                      <w:sz w:val="20"/>
                      <w:szCs w:val="20"/>
                    </w:rPr>
                  </w:pPr>
                </w:p>
              </w:tc>
              <w:tc>
                <w:tcPr>
                  <w:tcW w:w="709" w:type="dxa"/>
                  <w:tcBorders>
                    <w:top w:val="nil"/>
                    <w:left w:val="nil"/>
                    <w:bottom w:val="single" w:color="auto" w:sz="4" w:space="0"/>
                    <w:right w:val="single" w:color="auto" w:sz="4" w:space="0"/>
                  </w:tcBorders>
                </w:tcPr>
                <w:p w14:paraId="4EAB8525">
                  <w:pPr>
                    <w:spacing w:line="240" w:lineRule="auto"/>
                    <w:ind w:firstLine="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17</w:t>
                  </w:r>
                </w:p>
              </w:tc>
              <w:tc>
                <w:tcPr>
                  <w:tcW w:w="3113" w:type="dxa"/>
                  <w:tcBorders>
                    <w:top w:val="nil"/>
                    <w:left w:val="nil"/>
                    <w:bottom w:val="single" w:color="auto" w:sz="4" w:space="0"/>
                    <w:right w:val="single" w:color="auto" w:sz="4" w:space="0"/>
                  </w:tcBorders>
                </w:tcPr>
                <w:p w14:paraId="78DF7B4C">
                  <w:pPr>
                    <w:spacing w:line="240" w:lineRule="auto"/>
                    <w:ind w:firstLine="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排队长度</w:t>
                  </w:r>
                </w:p>
              </w:tc>
            </w:tr>
            <w:tr w14:paraId="3DE53655">
              <w:tblPrEx>
                <w:tblCellMar>
                  <w:top w:w="0" w:type="dxa"/>
                  <w:left w:w="108" w:type="dxa"/>
                  <w:bottom w:w="0" w:type="dxa"/>
                  <w:right w:w="108" w:type="dxa"/>
                </w:tblCellMar>
              </w:tblPrEx>
              <w:trPr>
                <w:trHeight w:val="454" w:hRule="atLeast"/>
              </w:trPr>
              <w:tc>
                <w:tcPr>
                  <w:tcW w:w="2424" w:type="dxa"/>
                  <w:vMerge w:val="continue"/>
                  <w:tcBorders>
                    <w:top w:val="nil"/>
                    <w:left w:val="single" w:color="auto" w:sz="4" w:space="0"/>
                    <w:bottom w:val="single" w:color="auto" w:sz="4" w:space="0"/>
                    <w:right w:val="single" w:color="auto" w:sz="4" w:space="0"/>
                  </w:tcBorders>
                  <w:vAlign w:val="center"/>
                </w:tcPr>
                <w:p w14:paraId="0CD90CFC">
                  <w:pPr>
                    <w:spacing w:line="240" w:lineRule="auto"/>
                    <w:jc w:val="center"/>
                    <w:rPr>
                      <w:rFonts w:hint="eastAsia" w:asciiTheme="minorEastAsia" w:hAnsiTheme="minorEastAsia" w:eastAsiaTheme="minorEastAsia" w:cstheme="minorEastAsia"/>
                      <w:sz w:val="20"/>
                      <w:szCs w:val="20"/>
                    </w:rPr>
                  </w:pPr>
                </w:p>
              </w:tc>
              <w:tc>
                <w:tcPr>
                  <w:tcW w:w="709" w:type="dxa"/>
                  <w:tcBorders>
                    <w:top w:val="nil"/>
                    <w:left w:val="nil"/>
                    <w:bottom w:val="single" w:color="auto" w:sz="4" w:space="0"/>
                    <w:right w:val="single" w:color="auto" w:sz="4" w:space="0"/>
                  </w:tcBorders>
                </w:tcPr>
                <w:p w14:paraId="7708E520">
                  <w:pPr>
                    <w:spacing w:line="240" w:lineRule="auto"/>
                    <w:ind w:firstLine="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18</w:t>
                  </w:r>
                </w:p>
              </w:tc>
              <w:tc>
                <w:tcPr>
                  <w:tcW w:w="3113" w:type="dxa"/>
                  <w:tcBorders>
                    <w:top w:val="nil"/>
                    <w:left w:val="nil"/>
                    <w:bottom w:val="single" w:color="auto" w:sz="4" w:space="0"/>
                    <w:right w:val="single" w:color="auto" w:sz="4" w:space="0"/>
                  </w:tcBorders>
                </w:tcPr>
                <w:p w14:paraId="6268C536">
                  <w:pPr>
                    <w:spacing w:line="240" w:lineRule="auto"/>
                    <w:ind w:firstLine="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停车次数</w:t>
                  </w:r>
                </w:p>
              </w:tc>
            </w:tr>
            <w:tr w14:paraId="611498A7">
              <w:tblPrEx>
                <w:tblCellMar>
                  <w:top w:w="0" w:type="dxa"/>
                  <w:left w:w="108" w:type="dxa"/>
                  <w:bottom w:w="0" w:type="dxa"/>
                  <w:right w:w="108" w:type="dxa"/>
                </w:tblCellMar>
              </w:tblPrEx>
              <w:trPr>
                <w:trHeight w:val="454" w:hRule="atLeast"/>
              </w:trPr>
              <w:tc>
                <w:tcPr>
                  <w:tcW w:w="2424" w:type="dxa"/>
                  <w:vMerge w:val="continue"/>
                  <w:tcBorders>
                    <w:top w:val="nil"/>
                    <w:left w:val="single" w:color="auto" w:sz="4" w:space="0"/>
                    <w:bottom w:val="single" w:color="auto" w:sz="4" w:space="0"/>
                    <w:right w:val="single" w:color="auto" w:sz="4" w:space="0"/>
                  </w:tcBorders>
                  <w:vAlign w:val="center"/>
                </w:tcPr>
                <w:p w14:paraId="1B4EC52D">
                  <w:pPr>
                    <w:spacing w:line="240" w:lineRule="auto"/>
                    <w:jc w:val="center"/>
                    <w:rPr>
                      <w:rFonts w:hint="eastAsia" w:asciiTheme="minorEastAsia" w:hAnsiTheme="minorEastAsia" w:eastAsiaTheme="minorEastAsia" w:cstheme="minorEastAsia"/>
                      <w:sz w:val="20"/>
                      <w:szCs w:val="20"/>
                    </w:rPr>
                  </w:pPr>
                </w:p>
              </w:tc>
              <w:tc>
                <w:tcPr>
                  <w:tcW w:w="709" w:type="dxa"/>
                  <w:tcBorders>
                    <w:top w:val="nil"/>
                    <w:left w:val="nil"/>
                    <w:bottom w:val="single" w:color="auto" w:sz="4" w:space="0"/>
                    <w:right w:val="single" w:color="auto" w:sz="4" w:space="0"/>
                  </w:tcBorders>
                </w:tcPr>
                <w:p w14:paraId="49D290AA">
                  <w:pPr>
                    <w:spacing w:line="240" w:lineRule="auto"/>
                    <w:ind w:firstLine="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19</w:t>
                  </w:r>
                </w:p>
              </w:tc>
              <w:tc>
                <w:tcPr>
                  <w:tcW w:w="3113" w:type="dxa"/>
                  <w:tcBorders>
                    <w:top w:val="nil"/>
                    <w:left w:val="nil"/>
                    <w:bottom w:val="single" w:color="auto" w:sz="4" w:space="0"/>
                    <w:right w:val="single" w:color="auto" w:sz="4" w:space="0"/>
                  </w:tcBorders>
                </w:tcPr>
                <w:p w14:paraId="4F952CD9">
                  <w:pPr>
                    <w:spacing w:line="240" w:lineRule="auto"/>
                    <w:ind w:firstLine="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路口溢出</w:t>
                  </w:r>
                </w:p>
              </w:tc>
            </w:tr>
            <w:tr w14:paraId="2C417CB5">
              <w:tblPrEx>
                <w:tblCellMar>
                  <w:top w:w="0" w:type="dxa"/>
                  <w:left w:w="108" w:type="dxa"/>
                  <w:bottom w:w="0" w:type="dxa"/>
                  <w:right w:w="108" w:type="dxa"/>
                </w:tblCellMar>
              </w:tblPrEx>
              <w:trPr>
                <w:trHeight w:val="454" w:hRule="atLeast"/>
              </w:trPr>
              <w:tc>
                <w:tcPr>
                  <w:tcW w:w="2424" w:type="dxa"/>
                  <w:vMerge w:val="continue"/>
                  <w:tcBorders>
                    <w:top w:val="nil"/>
                    <w:left w:val="single" w:color="auto" w:sz="4" w:space="0"/>
                    <w:bottom w:val="single" w:color="auto" w:sz="4" w:space="0"/>
                    <w:right w:val="single" w:color="auto" w:sz="4" w:space="0"/>
                  </w:tcBorders>
                  <w:vAlign w:val="center"/>
                </w:tcPr>
                <w:p w14:paraId="3BBA12B6">
                  <w:pPr>
                    <w:spacing w:line="240" w:lineRule="auto"/>
                    <w:jc w:val="center"/>
                    <w:rPr>
                      <w:rFonts w:hint="eastAsia" w:asciiTheme="minorEastAsia" w:hAnsiTheme="minorEastAsia" w:eastAsiaTheme="minorEastAsia" w:cstheme="minorEastAsia"/>
                      <w:sz w:val="20"/>
                      <w:szCs w:val="20"/>
                    </w:rPr>
                  </w:pPr>
                </w:p>
              </w:tc>
              <w:tc>
                <w:tcPr>
                  <w:tcW w:w="709" w:type="dxa"/>
                  <w:tcBorders>
                    <w:top w:val="nil"/>
                    <w:left w:val="nil"/>
                    <w:bottom w:val="single" w:color="auto" w:sz="4" w:space="0"/>
                    <w:right w:val="single" w:color="auto" w:sz="4" w:space="0"/>
                  </w:tcBorders>
                </w:tcPr>
                <w:p w14:paraId="26126296">
                  <w:pPr>
                    <w:spacing w:line="240" w:lineRule="auto"/>
                    <w:ind w:firstLine="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w:t>
                  </w:r>
                </w:p>
              </w:tc>
              <w:tc>
                <w:tcPr>
                  <w:tcW w:w="3113" w:type="dxa"/>
                  <w:tcBorders>
                    <w:top w:val="nil"/>
                    <w:left w:val="nil"/>
                    <w:bottom w:val="single" w:color="auto" w:sz="4" w:space="0"/>
                    <w:right w:val="single" w:color="auto" w:sz="4" w:space="0"/>
                  </w:tcBorders>
                </w:tcPr>
                <w:p w14:paraId="6E29548D">
                  <w:pPr>
                    <w:spacing w:line="240" w:lineRule="auto"/>
                    <w:ind w:firstLine="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路口失衡</w:t>
                  </w:r>
                </w:p>
              </w:tc>
            </w:tr>
            <w:tr w14:paraId="6CC6ECB3">
              <w:tblPrEx>
                <w:tblCellMar>
                  <w:top w:w="0" w:type="dxa"/>
                  <w:left w:w="108" w:type="dxa"/>
                  <w:bottom w:w="0" w:type="dxa"/>
                  <w:right w:w="108" w:type="dxa"/>
                </w:tblCellMar>
              </w:tblPrEx>
              <w:trPr>
                <w:trHeight w:val="454" w:hRule="atLeast"/>
              </w:trPr>
              <w:tc>
                <w:tcPr>
                  <w:tcW w:w="2424" w:type="dxa"/>
                  <w:vMerge w:val="restart"/>
                  <w:tcBorders>
                    <w:top w:val="nil"/>
                    <w:left w:val="single" w:color="auto" w:sz="4" w:space="0"/>
                    <w:bottom w:val="single" w:color="auto" w:sz="4" w:space="0"/>
                    <w:right w:val="single" w:color="auto" w:sz="4" w:space="0"/>
                  </w:tcBorders>
                  <w:vAlign w:val="center"/>
                </w:tcPr>
                <w:p w14:paraId="4290983B">
                  <w:pPr>
                    <w:spacing w:line="240" w:lineRule="auto"/>
                    <w:ind w:firstLine="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五、AOI强吸引力点交通评诊治（2项）</w:t>
                  </w:r>
                </w:p>
              </w:tc>
              <w:tc>
                <w:tcPr>
                  <w:tcW w:w="709" w:type="dxa"/>
                  <w:tcBorders>
                    <w:top w:val="nil"/>
                    <w:left w:val="nil"/>
                    <w:bottom w:val="single" w:color="auto" w:sz="4" w:space="0"/>
                    <w:right w:val="single" w:color="auto" w:sz="4" w:space="0"/>
                  </w:tcBorders>
                </w:tcPr>
                <w:p w14:paraId="1D62D7AF">
                  <w:pPr>
                    <w:spacing w:line="240" w:lineRule="auto"/>
                    <w:ind w:firstLine="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21</w:t>
                  </w:r>
                </w:p>
              </w:tc>
              <w:tc>
                <w:tcPr>
                  <w:tcW w:w="3113" w:type="dxa"/>
                  <w:tcBorders>
                    <w:top w:val="nil"/>
                    <w:left w:val="nil"/>
                    <w:bottom w:val="single" w:color="auto" w:sz="4" w:space="0"/>
                    <w:right w:val="single" w:color="auto" w:sz="4" w:space="0"/>
                  </w:tcBorders>
                </w:tcPr>
                <w:p w14:paraId="6702335F">
                  <w:pPr>
                    <w:spacing w:line="240" w:lineRule="auto"/>
                    <w:ind w:firstLine="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AOI各门口拥堵延时指数</w:t>
                  </w:r>
                </w:p>
              </w:tc>
            </w:tr>
            <w:tr w14:paraId="2CD87FEA">
              <w:tblPrEx>
                <w:tblCellMar>
                  <w:top w:w="0" w:type="dxa"/>
                  <w:left w:w="108" w:type="dxa"/>
                  <w:bottom w:w="0" w:type="dxa"/>
                  <w:right w:w="108" w:type="dxa"/>
                </w:tblCellMar>
              </w:tblPrEx>
              <w:trPr>
                <w:trHeight w:val="454" w:hRule="atLeast"/>
              </w:trPr>
              <w:tc>
                <w:tcPr>
                  <w:tcW w:w="2424" w:type="dxa"/>
                  <w:vMerge w:val="continue"/>
                  <w:tcBorders>
                    <w:top w:val="nil"/>
                    <w:left w:val="single" w:color="auto" w:sz="4" w:space="0"/>
                    <w:bottom w:val="single" w:color="auto" w:sz="4" w:space="0"/>
                    <w:right w:val="single" w:color="auto" w:sz="4" w:space="0"/>
                  </w:tcBorders>
                  <w:vAlign w:val="center"/>
                </w:tcPr>
                <w:p w14:paraId="589813AC">
                  <w:pPr>
                    <w:spacing w:line="240" w:lineRule="auto"/>
                    <w:jc w:val="center"/>
                    <w:rPr>
                      <w:rFonts w:hint="eastAsia" w:asciiTheme="minorEastAsia" w:hAnsiTheme="minorEastAsia" w:eastAsiaTheme="minorEastAsia" w:cstheme="minorEastAsia"/>
                      <w:sz w:val="20"/>
                      <w:szCs w:val="20"/>
                    </w:rPr>
                  </w:pPr>
                </w:p>
              </w:tc>
              <w:tc>
                <w:tcPr>
                  <w:tcW w:w="709" w:type="dxa"/>
                  <w:tcBorders>
                    <w:top w:val="nil"/>
                    <w:left w:val="nil"/>
                    <w:bottom w:val="single" w:color="auto" w:sz="4" w:space="0"/>
                    <w:right w:val="single" w:color="auto" w:sz="4" w:space="0"/>
                  </w:tcBorders>
                </w:tcPr>
                <w:p w14:paraId="09C4E731">
                  <w:pPr>
                    <w:spacing w:line="240" w:lineRule="auto"/>
                    <w:ind w:firstLine="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22</w:t>
                  </w:r>
                </w:p>
              </w:tc>
              <w:tc>
                <w:tcPr>
                  <w:tcW w:w="3113" w:type="dxa"/>
                  <w:tcBorders>
                    <w:top w:val="nil"/>
                    <w:left w:val="nil"/>
                    <w:bottom w:val="single" w:color="auto" w:sz="4" w:space="0"/>
                    <w:right w:val="single" w:color="auto" w:sz="4" w:space="0"/>
                  </w:tcBorders>
                </w:tcPr>
                <w:p w14:paraId="7936B16B">
                  <w:pPr>
                    <w:spacing w:line="240" w:lineRule="auto"/>
                    <w:ind w:firstLine="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AOI主门口停车等待时长</w:t>
                  </w:r>
                </w:p>
              </w:tc>
            </w:tr>
            <w:tr w14:paraId="59D200D9">
              <w:tblPrEx>
                <w:tblCellMar>
                  <w:top w:w="0" w:type="dxa"/>
                  <w:left w:w="108" w:type="dxa"/>
                  <w:bottom w:w="0" w:type="dxa"/>
                  <w:right w:w="108" w:type="dxa"/>
                </w:tblCellMar>
              </w:tblPrEx>
              <w:trPr>
                <w:trHeight w:val="454" w:hRule="atLeast"/>
              </w:trPr>
              <w:tc>
                <w:tcPr>
                  <w:tcW w:w="2424" w:type="dxa"/>
                  <w:vMerge w:val="restart"/>
                  <w:tcBorders>
                    <w:top w:val="nil"/>
                    <w:left w:val="single" w:color="auto" w:sz="4" w:space="0"/>
                    <w:bottom w:val="single" w:color="auto" w:sz="4" w:space="0"/>
                    <w:right w:val="single" w:color="auto" w:sz="4" w:space="0"/>
                  </w:tcBorders>
                  <w:vAlign w:val="center"/>
                </w:tcPr>
                <w:p w14:paraId="7428E198">
                  <w:pPr>
                    <w:spacing w:line="240" w:lineRule="auto"/>
                    <w:ind w:firstLine="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六、区域通勤评诊治（8项）</w:t>
                  </w:r>
                </w:p>
              </w:tc>
              <w:tc>
                <w:tcPr>
                  <w:tcW w:w="709" w:type="dxa"/>
                  <w:tcBorders>
                    <w:top w:val="nil"/>
                    <w:left w:val="nil"/>
                    <w:bottom w:val="single" w:color="auto" w:sz="4" w:space="0"/>
                    <w:right w:val="single" w:color="auto" w:sz="4" w:space="0"/>
                  </w:tcBorders>
                </w:tcPr>
                <w:p w14:paraId="1CA43A50">
                  <w:pPr>
                    <w:spacing w:line="240" w:lineRule="auto"/>
                    <w:ind w:firstLine="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23</w:t>
                  </w:r>
                </w:p>
              </w:tc>
              <w:tc>
                <w:tcPr>
                  <w:tcW w:w="3113" w:type="dxa"/>
                  <w:tcBorders>
                    <w:top w:val="nil"/>
                    <w:left w:val="nil"/>
                    <w:bottom w:val="single" w:color="auto" w:sz="4" w:space="0"/>
                    <w:right w:val="single" w:color="auto" w:sz="4" w:space="0"/>
                  </w:tcBorders>
                </w:tcPr>
                <w:p w14:paraId="636E9E9C">
                  <w:pPr>
                    <w:spacing w:line="240" w:lineRule="auto"/>
                    <w:ind w:firstLine="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区域职住比指数</w:t>
                  </w:r>
                </w:p>
              </w:tc>
            </w:tr>
            <w:tr w14:paraId="2DC7C306">
              <w:tblPrEx>
                <w:tblCellMar>
                  <w:top w:w="0" w:type="dxa"/>
                  <w:left w:w="108" w:type="dxa"/>
                  <w:bottom w:w="0" w:type="dxa"/>
                  <w:right w:w="108" w:type="dxa"/>
                </w:tblCellMar>
              </w:tblPrEx>
              <w:trPr>
                <w:trHeight w:val="454" w:hRule="atLeast"/>
              </w:trPr>
              <w:tc>
                <w:tcPr>
                  <w:tcW w:w="2424" w:type="dxa"/>
                  <w:vMerge w:val="continue"/>
                  <w:tcBorders>
                    <w:top w:val="nil"/>
                    <w:left w:val="single" w:color="auto" w:sz="4" w:space="0"/>
                    <w:bottom w:val="single" w:color="auto" w:sz="4" w:space="0"/>
                    <w:right w:val="single" w:color="auto" w:sz="4" w:space="0"/>
                  </w:tcBorders>
                  <w:vAlign w:val="center"/>
                </w:tcPr>
                <w:p w14:paraId="083B1CD1">
                  <w:pPr>
                    <w:jc w:val="center"/>
                    <w:rPr>
                      <w:rFonts w:hint="eastAsia" w:asciiTheme="minorEastAsia" w:hAnsiTheme="minorEastAsia" w:eastAsiaTheme="minorEastAsia" w:cstheme="minorEastAsia"/>
                      <w:sz w:val="20"/>
                      <w:szCs w:val="20"/>
                    </w:rPr>
                  </w:pPr>
                </w:p>
              </w:tc>
              <w:tc>
                <w:tcPr>
                  <w:tcW w:w="709" w:type="dxa"/>
                  <w:tcBorders>
                    <w:top w:val="nil"/>
                    <w:left w:val="nil"/>
                    <w:bottom w:val="single" w:color="auto" w:sz="4" w:space="0"/>
                    <w:right w:val="single" w:color="auto" w:sz="4" w:space="0"/>
                  </w:tcBorders>
                </w:tcPr>
                <w:p w14:paraId="78005A7E">
                  <w:pPr>
                    <w:spacing w:line="240" w:lineRule="auto"/>
                    <w:ind w:firstLine="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24</w:t>
                  </w:r>
                </w:p>
              </w:tc>
              <w:tc>
                <w:tcPr>
                  <w:tcW w:w="3113" w:type="dxa"/>
                  <w:tcBorders>
                    <w:top w:val="nil"/>
                    <w:left w:val="nil"/>
                    <w:bottom w:val="single" w:color="auto" w:sz="4" w:space="0"/>
                    <w:right w:val="single" w:color="auto" w:sz="4" w:space="0"/>
                  </w:tcBorders>
                </w:tcPr>
                <w:p w14:paraId="49F453AA">
                  <w:pPr>
                    <w:spacing w:line="240" w:lineRule="auto"/>
                    <w:ind w:firstLine="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区域通勤自足性</w:t>
                  </w:r>
                </w:p>
              </w:tc>
            </w:tr>
            <w:tr w14:paraId="4D92065C">
              <w:tblPrEx>
                <w:tblCellMar>
                  <w:top w:w="0" w:type="dxa"/>
                  <w:left w:w="108" w:type="dxa"/>
                  <w:bottom w:w="0" w:type="dxa"/>
                  <w:right w:w="108" w:type="dxa"/>
                </w:tblCellMar>
              </w:tblPrEx>
              <w:trPr>
                <w:trHeight w:val="454" w:hRule="atLeast"/>
              </w:trPr>
              <w:tc>
                <w:tcPr>
                  <w:tcW w:w="2424" w:type="dxa"/>
                  <w:vMerge w:val="continue"/>
                  <w:tcBorders>
                    <w:top w:val="nil"/>
                    <w:left w:val="single" w:color="auto" w:sz="4" w:space="0"/>
                    <w:bottom w:val="single" w:color="auto" w:sz="4" w:space="0"/>
                    <w:right w:val="single" w:color="auto" w:sz="4" w:space="0"/>
                  </w:tcBorders>
                  <w:vAlign w:val="center"/>
                </w:tcPr>
                <w:p w14:paraId="00F675C3">
                  <w:pPr>
                    <w:jc w:val="center"/>
                    <w:rPr>
                      <w:rFonts w:hint="eastAsia" w:asciiTheme="minorEastAsia" w:hAnsiTheme="minorEastAsia" w:eastAsiaTheme="minorEastAsia" w:cstheme="minorEastAsia"/>
                      <w:sz w:val="20"/>
                      <w:szCs w:val="20"/>
                    </w:rPr>
                  </w:pPr>
                </w:p>
              </w:tc>
              <w:tc>
                <w:tcPr>
                  <w:tcW w:w="709" w:type="dxa"/>
                  <w:tcBorders>
                    <w:top w:val="nil"/>
                    <w:left w:val="nil"/>
                    <w:bottom w:val="single" w:color="auto" w:sz="4" w:space="0"/>
                    <w:right w:val="single" w:color="auto" w:sz="4" w:space="0"/>
                  </w:tcBorders>
                </w:tcPr>
                <w:p w14:paraId="02D5F254">
                  <w:pPr>
                    <w:spacing w:line="240" w:lineRule="auto"/>
                    <w:ind w:firstLine="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25</w:t>
                  </w:r>
                </w:p>
              </w:tc>
              <w:tc>
                <w:tcPr>
                  <w:tcW w:w="3113" w:type="dxa"/>
                  <w:tcBorders>
                    <w:top w:val="nil"/>
                    <w:left w:val="nil"/>
                    <w:bottom w:val="single" w:color="auto" w:sz="4" w:space="0"/>
                    <w:right w:val="single" w:color="auto" w:sz="4" w:space="0"/>
                  </w:tcBorders>
                </w:tcPr>
                <w:p w14:paraId="6C7F68BC">
                  <w:pPr>
                    <w:spacing w:line="240" w:lineRule="auto"/>
                    <w:ind w:firstLine="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区域驾车通勤里程&amp;通勤时长</w:t>
                  </w:r>
                </w:p>
              </w:tc>
            </w:tr>
            <w:tr w14:paraId="28CF8995">
              <w:tblPrEx>
                <w:tblCellMar>
                  <w:top w:w="0" w:type="dxa"/>
                  <w:left w:w="108" w:type="dxa"/>
                  <w:bottom w:w="0" w:type="dxa"/>
                  <w:right w:w="108" w:type="dxa"/>
                </w:tblCellMar>
              </w:tblPrEx>
              <w:trPr>
                <w:trHeight w:val="454" w:hRule="atLeast"/>
              </w:trPr>
              <w:tc>
                <w:tcPr>
                  <w:tcW w:w="2424" w:type="dxa"/>
                  <w:vMerge w:val="continue"/>
                  <w:tcBorders>
                    <w:top w:val="nil"/>
                    <w:left w:val="single" w:color="auto" w:sz="4" w:space="0"/>
                    <w:bottom w:val="single" w:color="auto" w:sz="4" w:space="0"/>
                    <w:right w:val="single" w:color="auto" w:sz="4" w:space="0"/>
                  </w:tcBorders>
                  <w:vAlign w:val="center"/>
                </w:tcPr>
                <w:p w14:paraId="7F91761B">
                  <w:pPr>
                    <w:jc w:val="center"/>
                    <w:rPr>
                      <w:rFonts w:hint="eastAsia" w:asciiTheme="minorEastAsia" w:hAnsiTheme="minorEastAsia" w:eastAsiaTheme="minorEastAsia" w:cstheme="minorEastAsia"/>
                      <w:sz w:val="20"/>
                      <w:szCs w:val="20"/>
                    </w:rPr>
                  </w:pPr>
                </w:p>
              </w:tc>
              <w:tc>
                <w:tcPr>
                  <w:tcW w:w="709" w:type="dxa"/>
                  <w:tcBorders>
                    <w:top w:val="nil"/>
                    <w:left w:val="nil"/>
                    <w:bottom w:val="single" w:color="auto" w:sz="4" w:space="0"/>
                    <w:right w:val="single" w:color="auto" w:sz="4" w:space="0"/>
                  </w:tcBorders>
                </w:tcPr>
                <w:p w14:paraId="70796971">
                  <w:pPr>
                    <w:spacing w:line="240" w:lineRule="auto"/>
                    <w:ind w:firstLine="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26</w:t>
                  </w:r>
                </w:p>
              </w:tc>
              <w:tc>
                <w:tcPr>
                  <w:tcW w:w="3113" w:type="dxa"/>
                  <w:tcBorders>
                    <w:top w:val="nil"/>
                    <w:left w:val="nil"/>
                    <w:bottom w:val="single" w:color="auto" w:sz="4" w:space="0"/>
                    <w:right w:val="single" w:color="auto" w:sz="4" w:space="0"/>
                  </w:tcBorders>
                </w:tcPr>
                <w:p w14:paraId="3BBE3BF0">
                  <w:pPr>
                    <w:spacing w:line="240" w:lineRule="auto"/>
                    <w:ind w:firstLine="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区域低性价比通勤占比</w:t>
                  </w:r>
                </w:p>
              </w:tc>
            </w:tr>
            <w:tr w14:paraId="4E072EED">
              <w:tblPrEx>
                <w:tblCellMar>
                  <w:top w:w="0" w:type="dxa"/>
                  <w:left w:w="108" w:type="dxa"/>
                  <w:bottom w:w="0" w:type="dxa"/>
                  <w:right w:w="108" w:type="dxa"/>
                </w:tblCellMar>
              </w:tblPrEx>
              <w:trPr>
                <w:trHeight w:val="454" w:hRule="atLeast"/>
              </w:trPr>
              <w:tc>
                <w:tcPr>
                  <w:tcW w:w="2424" w:type="dxa"/>
                  <w:vMerge w:val="continue"/>
                  <w:tcBorders>
                    <w:top w:val="nil"/>
                    <w:left w:val="single" w:color="auto" w:sz="4" w:space="0"/>
                    <w:bottom w:val="single" w:color="auto" w:sz="4" w:space="0"/>
                    <w:right w:val="single" w:color="auto" w:sz="4" w:space="0"/>
                  </w:tcBorders>
                  <w:vAlign w:val="center"/>
                </w:tcPr>
                <w:p w14:paraId="5DEC4A80">
                  <w:pPr>
                    <w:jc w:val="center"/>
                    <w:rPr>
                      <w:rFonts w:hint="eastAsia" w:asciiTheme="minorEastAsia" w:hAnsiTheme="minorEastAsia" w:eastAsiaTheme="minorEastAsia" w:cstheme="minorEastAsia"/>
                      <w:sz w:val="20"/>
                      <w:szCs w:val="20"/>
                    </w:rPr>
                  </w:pPr>
                </w:p>
              </w:tc>
              <w:tc>
                <w:tcPr>
                  <w:tcW w:w="709" w:type="dxa"/>
                  <w:tcBorders>
                    <w:top w:val="nil"/>
                    <w:left w:val="nil"/>
                    <w:bottom w:val="single" w:color="auto" w:sz="4" w:space="0"/>
                    <w:right w:val="single" w:color="auto" w:sz="4" w:space="0"/>
                  </w:tcBorders>
                </w:tcPr>
                <w:p w14:paraId="7281D005">
                  <w:pPr>
                    <w:spacing w:line="240" w:lineRule="auto"/>
                    <w:ind w:firstLine="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27</w:t>
                  </w:r>
                </w:p>
              </w:tc>
              <w:tc>
                <w:tcPr>
                  <w:tcW w:w="3113" w:type="dxa"/>
                  <w:tcBorders>
                    <w:top w:val="nil"/>
                    <w:left w:val="nil"/>
                    <w:bottom w:val="single" w:color="auto" w:sz="4" w:space="0"/>
                    <w:right w:val="single" w:color="auto" w:sz="4" w:space="0"/>
                  </w:tcBorders>
                </w:tcPr>
                <w:p w14:paraId="71BC33D4">
                  <w:pPr>
                    <w:spacing w:line="240" w:lineRule="auto"/>
                    <w:ind w:firstLine="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区域通勤走廊识别</w:t>
                  </w:r>
                </w:p>
              </w:tc>
            </w:tr>
            <w:tr w14:paraId="67E4FA68">
              <w:tblPrEx>
                <w:tblCellMar>
                  <w:top w:w="0" w:type="dxa"/>
                  <w:left w:w="108" w:type="dxa"/>
                  <w:bottom w:w="0" w:type="dxa"/>
                  <w:right w:w="108" w:type="dxa"/>
                </w:tblCellMar>
              </w:tblPrEx>
              <w:trPr>
                <w:trHeight w:val="454" w:hRule="atLeast"/>
              </w:trPr>
              <w:tc>
                <w:tcPr>
                  <w:tcW w:w="2424" w:type="dxa"/>
                  <w:vMerge w:val="continue"/>
                  <w:tcBorders>
                    <w:top w:val="nil"/>
                    <w:left w:val="single" w:color="auto" w:sz="4" w:space="0"/>
                    <w:bottom w:val="single" w:color="auto" w:sz="4" w:space="0"/>
                    <w:right w:val="single" w:color="auto" w:sz="4" w:space="0"/>
                  </w:tcBorders>
                  <w:vAlign w:val="center"/>
                </w:tcPr>
                <w:p w14:paraId="0EB6C2B0">
                  <w:pPr>
                    <w:jc w:val="center"/>
                    <w:rPr>
                      <w:rFonts w:hint="eastAsia" w:asciiTheme="minorEastAsia" w:hAnsiTheme="minorEastAsia" w:eastAsiaTheme="minorEastAsia" w:cstheme="minorEastAsia"/>
                      <w:sz w:val="20"/>
                      <w:szCs w:val="20"/>
                    </w:rPr>
                  </w:pPr>
                </w:p>
              </w:tc>
              <w:tc>
                <w:tcPr>
                  <w:tcW w:w="709" w:type="dxa"/>
                  <w:tcBorders>
                    <w:top w:val="nil"/>
                    <w:left w:val="nil"/>
                    <w:bottom w:val="single" w:color="auto" w:sz="4" w:space="0"/>
                    <w:right w:val="single" w:color="auto" w:sz="4" w:space="0"/>
                  </w:tcBorders>
                </w:tcPr>
                <w:p w14:paraId="47C81773">
                  <w:pPr>
                    <w:spacing w:line="240" w:lineRule="auto"/>
                    <w:ind w:firstLine="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28</w:t>
                  </w:r>
                </w:p>
              </w:tc>
              <w:tc>
                <w:tcPr>
                  <w:tcW w:w="3113" w:type="dxa"/>
                  <w:tcBorders>
                    <w:top w:val="nil"/>
                    <w:left w:val="nil"/>
                    <w:bottom w:val="single" w:color="auto" w:sz="4" w:space="0"/>
                    <w:right w:val="single" w:color="auto" w:sz="4" w:space="0"/>
                  </w:tcBorders>
                </w:tcPr>
                <w:p w14:paraId="7B8E2018">
                  <w:pPr>
                    <w:spacing w:line="240" w:lineRule="auto"/>
                    <w:ind w:firstLine="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区域通勤走廊拥堵延时指数</w:t>
                  </w:r>
                </w:p>
              </w:tc>
            </w:tr>
            <w:tr w14:paraId="31C7395E">
              <w:tblPrEx>
                <w:tblCellMar>
                  <w:top w:w="0" w:type="dxa"/>
                  <w:left w:w="108" w:type="dxa"/>
                  <w:bottom w:w="0" w:type="dxa"/>
                  <w:right w:w="108" w:type="dxa"/>
                </w:tblCellMar>
              </w:tblPrEx>
              <w:trPr>
                <w:trHeight w:val="454" w:hRule="atLeast"/>
              </w:trPr>
              <w:tc>
                <w:tcPr>
                  <w:tcW w:w="2424" w:type="dxa"/>
                  <w:vMerge w:val="continue"/>
                  <w:tcBorders>
                    <w:top w:val="nil"/>
                    <w:left w:val="single" w:color="auto" w:sz="4" w:space="0"/>
                    <w:bottom w:val="single" w:color="auto" w:sz="4" w:space="0"/>
                    <w:right w:val="single" w:color="auto" w:sz="4" w:space="0"/>
                  </w:tcBorders>
                  <w:vAlign w:val="center"/>
                </w:tcPr>
                <w:p w14:paraId="37382F3D">
                  <w:pPr>
                    <w:jc w:val="center"/>
                    <w:rPr>
                      <w:rFonts w:hint="eastAsia" w:asciiTheme="minorEastAsia" w:hAnsiTheme="minorEastAsia" w:eastAsiaTheme="minorEastAsia" w:cstheme="minorEastAsia"/>
                      <w:sz w:val="20"/>
                      <w:szCs w:val="20"/>
                    </w:rPr>
                  </w:pPr>
                </w:p>
              </w:tc>
              <w:tc>
                <w:tcPr>
                  <w:tcW w:w="709" w:type="dxa"/>
                  <w:tcBorders>
                    <w:top w:val="nil"/>
                    <w:left w:val="nil"/>
                    <w:bottom w:val="single" w:color="auto" w:sz="4" w:space="0"/>
                    <w:right w:val="single" w:color="auto" w:sz="4" w:space="0"/>
                  </w:tcBorders>
                </w:tcPr>
                <w:p w14:paraId="2FABC3BC">
                  <w:pPr>
                    <w:spacing w:line="240" w:lineRule="auto"/>
                    <w:ind w:firstLine="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29</w:t>
                  </w:r>
                </w:p>
              </w:tc>
              <w:tc>
                <w:tcPr>
                  <w:tcW w:w="3113" w:type="dxa"/>
                  <w:tcBorders>
                    <w:top w:val="nil"/>
                    <w:left w:val="nil"/>
                    <w:bottom w:val="single" w:color="auto" w:sz="4" w:space="0"/>
                    <w:right w:val="single" w:color="auto" w:sz="4" w:space="0"/>
                  </w:tcBorders>
                </w:tcPr>
                <w:p w14:paraId="2E1C2E67">
                  <w:pPr>
                    <w:spacing w:line="240" w:lineRule="auto"/>
                    <w:ind w:firstLine="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任意路段OD回溯</w:t>
                  </w:r>
                </w:p>
              </w:tc>
            </w:tr>
            <w:tr w14:paraId="07A2067E">
              <w:tblPrEx>
                <w:tblCellMar>
                  <w:top w:w="0" w:type="dxa"/>
                  <w:left w:w="108" w:type="dxa"/>
                  <w:bottom w:w="0" w:type="dxa"/>
                  <w:right w:w="108" w:type="dxa"/>
                </w:tblCellMar>
              </w:tblPrEx>
              <w:trPr>
                <w:trHeight w:val="454" w:hRule="atLeast"/>
              </w:trPr>
              <w:tc>
                <w:tcPr>
                  <w:tcW w:w="2424" w:type="dxa"/>
                  <w:vMerge w:val="continue"/>
                  <w:tcBorders>
                    <w:top w:val="nil"/>
                    <w:left w:val="single" w:color="auto" w:sz="4" w:space="0"/>
                    <w:bottom w:val="single" w:color="auto" w:sz="4" w:space="0"/>
                    <w:right w:val="single" w:color="auto" w:sz="4" w:space="0"/>
                  </w:tcBorders>
                  <w:vAlign w:val="center"/>
                </w:tcPr>
                <w:p w14:paraId="0764F1DB">
                  <w:pPr>
                    <w:jc w:val="center"/>
                    <w:rPr>
                      <w:rFonts w:hint="eastAsia" w:asciiTheme="minorEastAsia" w:hAnsiTheme="minorEastAsia" w:eastAsiaTheme="minorEastAsia" w:cstheme="minorEastAsia"/>
                      <w:sz w:val="20"/>
                      <w:szCs w:val="20"/>
                    </w:rPr>
                  </w:pPr>
                </w:p>
              </w:tc>
              <w:tc>
                <w:tcPr>
                  <w:tcW w:w="709" w:type="dxa"/>
                  <w:tcBorders>
                    <w:top w:val="nil"/>
                    <w:left w:val="nil"/>
                    <w:bottom w:val="single" w:color="auto" w:sz="4" w:space="0"/>
                    <w:right w:val="single" w:color="auto" w:sz="4" w:space="0"/>
                  </w:tcBorders>
                </w:tcPr>
                <w:p w14:paraId="6E065C87">
                  <w:pPr>
                    <w:spacing w:line="240" w:lineRule="auto"/>
                    <w:ind w:firstLine="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w:t>
                  </w:r>
                </w:p>
              </w:tc>
              <w:tc>
                <w:tcPr>
                  <w:tcW w:w="3113" w:type="dxa"/>
                  <w:tcBorders>
                    <w:top w:val="nil"/>
                    <w:left w:val="nil"/>
                    <w:bottom w:val="single" w:color="auto" w:sz="4" w:space="0"/>
                    <w:right w:val="single" w:color="auto" w:sz="4" w:space="0"/>
                  </w:tcBorders>
                </w:tcPr>
                <w:p w14:paraId="7D5D2213">
                  <w:pPr>
                    <w:spacing w:line="240" w:lineRule="auto"/>
                    <w:ind w:firstLine="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各出行方式通勤分担率</w:t>
                  </w:r>
                </w:p>
              </w:tc>
            </w:tr>
          </w:tbl>
          <w:p w14:paraId="7EE83C1C">
            <w:pPr>
              <w:pStyle w:val="5"/>
              <w:numPr>
                <w:ilvl w:val="0"/>
                <w:numId w:val="0"/>
              </w:numPr>
              <w:jc w:val="left"/>
              <w:rPr>
                <w:rFonts w:hint="eastAsia"/>
                <w:b/>
                <w:bCs/>
                <w:sz w:val="21"/>
                <w:szCs w:val="21"/>
                <w:lang w:val="en-US" w:eastAsia="zh-CN"/>
              </w:rPr>
            </w:pPr>
            <w:r>
              <w:rPr>
                <w:rFonts w:hint="eastAsia"/>
                <w:b/>
                <w:bCs/>
                <w:sz w:val="21"/>
                <w:szCs w:val="21"/>
                <w:lang w:val="en-US" w:eastAsia="zh-CN"/>
              </w:rPr>
              <w:t>（4）应用层</w:t>
            </w:r>
          </w:p>
          <w:p w14:paraId="0F39ED30">
            <w:pPr>
              <w:pStyle w:val="5"/>
              <w:numPr>
                <w:ilvl w:val="0"/>
                <w:numId w:val="0"/>
              </w:numPr>
              <w:jc w:val="left"/>
              <w:rPr>
                <w:rFonts w:hint="default"/>
                <w:b w:val="0"/>
                <w:bCs w:val="0"/>
                <w:sz w:val="21"/>
                <w:szCs w:val="21"/>
                <w:lang w:val="en-US" w:eastAsia="zh-CN"/>
              </w:rPr>
            </w:pPr>
            <w:r>
              <w:rPr>
                <w:rFonts w:hint="eastAsia"/>
                <w:b w:val="0"/>
                <w:bCs w:val="0"/>
                <w:sz w:val="21"/>
                <w:szCs w:val="21"/>
                <w:lang w:val="en-US" w:eastAsia="zh-CN"/>
              </w:rPr>
              <w:t>数据处理服务</w:t>
            </w:r>
            <w:r>
              <w:rPr>
                <w:rFonts w:hint="eastAsia"/>
                <w:b w:val="0"/>
                <w:bCs w:val="0"/>
                <w:sz w:val="21"/>
                <w:szCs w:val="21"/>
                <w:lang w:val="en-US" w:eastAsia="zh-Hans"/>
              </w:rPr>
              <w:t>整体分</w:t>
            </w:r>
            <w:r>
              <w:rPr>
                <w:rFonts w:hint="eastAsia"/>
                <w:b w:val="0"/>
                <w:bCs w:val="0"/>
                <w:sz w:val="21"/>
                <w:szCs w:val="21"/>
                <w:lang w:val="en-US" w:eastAsia="zh-CN"/>
              </w:rPr>
              <w:t>可</w:t>
            </w:r>
            <w:r>
              <w:rPr>
                <w:rFonts w:hint="eastAsia"/>
                <w:b w:val="0"/>
                <w:bCs w:val="0"/>
                <w:sz w:val="21"/>
                <w:szCs w:val="21"/>
                <w:lang w:val="en-US" w:eastAsia="zh-Hans"/>
              </w:rPr>
              <w:t>为四个</w:t>
            </w:r>
            <w:r>
              <w:rPr>
                <w:rFonts w:hint="eastAsia"/>
                <w:b w:val="0"/>
                <w:bCs w:val="0"/>
                <w:sz w:val="21"/>
                <w:szCs w:val="21"/>
                <w:lang w:val="en-US" w:eastAsia="zh-CN"/>
              </w:rPr>
              <w:t>数据处理</w:t>
            </w:r>
            <w:r>
              <w:rPr>
                <w:rFonts w:hint="eastAsia"/>
                <w:b w:val="0"/>
                <w:bCs w:val="0"/>
                <w:sz w:val="21"/>
                <w:szCs w:val="21"/>
                <w:lang w:val="en-US" w:eastAsia="zh-Hans"/>
              </w:rPr>
              <w:t>功能</w:t>
            </w:r>
            <w:r>
              <w:rPr>
                <w:rFonts w:hint="eastAsia"/>
                <w:b w:val="0"/>
                <w:bCs w:val="0"/>
                <w:sz w:val="21"/>
                <w:szCs w:val="21"/>
                <w:lang w:val="en-US" w:eastAsia="zh-CN"/>
              </w:rPr>
              <w:t>服务模块：</w:t>
            </w:r>
          </w:p>
          <w:tbl>
            <w:tblPr>
              <w:tblStyle w:val="3"/>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51"/>
              <w:gridCol w:w="1528"/>
              <w:gridCol w:w="4104"/>
            </w:tblGrid>
            <w:tr w14:paraId="1682900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1" w:type="dxa"/>
                  <w:tcBorders>
                    <w:top w:val="single" w:color="000000" w:sz="4" w:space="0"/>
                    <w:left w:val="single" w:color="000000" w:sz="4" w:space="0"/>
                    <w:bottom w:val="single" w:color="000000" w:sz="4" w:space="0"/>
                    <w:right w:val="single" w:color="000000" w:sz="4" w:space="0"/>
                  </w:tcBorders>
                  <w:shd w:val="clear" w:color="auto" w:fill="F2F2F2"/>
                  <w:tcMar>
                    <w:top w:w="0" w:type="dxa"/>
                    <w:left w:w="105" w:type="dxa"/>
                    <w:bottom w:w="0" w:type="dxa"/>
                    <w:right w:w="105" w:type="dxa"/>
                  </w:tcMar>
                  <w:vAlign w:val="top"/>
                </w:tcPr>
                <w:p w14:paraId="0BF00325">
                  <w:pPr>
                    <w:pStyle w:val="5"/>
                    <w:jc w:val="center"/>
                  </w:pPr>
                  <w:r>
                    <w:rPr>
                      <w:b/>
                      <w:sz w:val="19"/>
                    </w:rPr>
                    <w:t>序号</w:t>
                  </w:r>
                </w:p>
              </w:tc>
              <w:tc>
                <w:tcPr>
                  <w:tcW w:w="1528" w:type="dxa"/>
                  <w:tcBorders>
                    <w:top w:val="single" w:color="000000" w:sz="4" w:space="0"/>
                    <w:left w:val="nil"/>
                    <w:bottom w:val="single" w:color="000000" w:sz="4" w:space="0"/>
                    <w:right w:val="single" w:color="000000" w:sz="4" w:space="0"/>
                  </w:tcBorders>
                  <w:shd w:val="clear" w:color="auto" w:fill="F2F2F2"/>
                  <w:tcMar>
                    <w:top w:w="0" w:type="dxa"/>
                    <w:left w:w="105" w:type="dxa"/>
                    <w:bottom w:w="0" w:type="dxa"/>
                    <w:right w:w="105" w:type="dxa"/>
                  </w:tcMar>
                  <w:vAlign w:val="center"/>
                </w:tcPr>
                <w:p w14:paraId="6B07290E">
                  <w:pPr>
                    <w:pStyle w:val="5"/>
                    <w:jc w:val="center"/>
                  </w:pPr>
                  <w:r>
                    <w:rPr>
                      <w:rFonts w:hint="eastAsia"/>
                      <w:b/>
                      <w:sz w:val="19"/>
                      <w:lang w:val="en-US" w:eastAsia="zh-CN"/>
                    </w:rPr>
                    <w:t>服务</w:t>
                  </w:r>
                  <w:r>
                    <w:rPr>
                      <w:b/>
                      <w:sz w:val="19"/>
                    </w:rPr>
                    <w:t>模块</w:t>
                  </w:r>
                </w:p>
              </w:tc>
              <w:tc>
                <w:tcPr>
                  <w:tcW w:w="4104" w:type="dxa"/>
                  <w:tcBorders>
                    <w:top w:val="single" w:color="000000" w:sz="4" w:space="0"/>
                    <w:left w:val="nil"/>
                    <w:bottom w:val="single" w:color="000000" w:sz="4" w:space="0"/>
                    <w:right w:val="single" w:color="000000" w:sz="4" w:space="0"/>
                  </w:tcBorders>
                  <w:shd w:val="clear" w:color="auto" w:fill="F2F2F2"/>
                  <w:tcMar>
                    <w:top w:w="0" w:type="dxa"/>
                    <w:left w:w="105" w:type="dxa"/>
                    <w:bottom w:w="0" w:type="dxa"/>
                    <w:right w:w="105" w:type="dxa"/>
                  </w:tcMar>
                  <w:vAlign w:val="center"/>
                </w:tcPr>
                <w:p w14:paraId="5F48862E">
                  <w:pPr>
                    <w:pStyle w:val="5"/>
                    <w:jc w:val="center"/>
                    <w:rPr>
                      <w:rFonts w:hint="eastAsia" w:eastAsiaTheme="minorEastAsia"/>
                      <w:lang w:eastAsia="zh-CN"/>
                    </w:rPr>
                  </w:pPr>
                  <w:r>
                    <w:rPr>
                      <w:rFonts w:hint="eastAsia"/>
                      <w:b/>
                      <w:sz w:val="19"/>
                      <w:lang w:val="en-US" w:eastAsia="zh-CN"/>
                    </w:rPr>
                    <w:t>模块内容</w:t>
                  </w:r>
                </w:p>
              </w:tc>
            </w:tr>
            <w:tr w14:paraId="78E5A2F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F860CCD">
                  <w:pPr>
                    <w:pStyle w:val="5"/>
                    <w:jc w:val="center"/>
                  </w:pPr>
                  <w:r>
                    <w:rPr>
                      <w:sz w:val="21"/>
                    </w:rPr>
                    <w:t>1</w:t>
                  </w:r>
                </w:p>
              </w:tc>
              <w:tc>
                <w:tcPr>
                  <w:tcW w:w="152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14:paraId="07B0040E">
                  <w:pPr>
                    <w:pStyle w:val="5"/>
                    <w:jc w:val="center"/>
                  </w:pPr>
                  <w:r>
                    <w:rPr>
                      <w:sz w:val="21"/>
                    </w:rPr>
                    <w:t>交通健康体检</w:t>
                  </w:r>
                </w:p>
              </w:tc>
              <w:tc>
                <w:tcPr>
                  <w:tcW w:w="410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6B25BFC">
                  <w:pPr>
                    <w:pStyle w:val="5"/>
                    <w:rPr>
                      <w:rFonts w:hint="eastAsia" w:eastAsiaTheme="minorEastAsia"/>
                      <w:sz w:val="21"/>
                      <w:lang w:eastAsia="zh-CN"/>
                    </w:rPr>
                  </w:pPr>
                  <w:r>
                    <w:rPr>
                      <w:rFonts w:hint="eastAsia" w:asciiTheme="minorEastAsia" w:hAnsiTheme="minorEastAsia" w:eastAsiaTheme="minorEastAsia" w:cstheme="minorEastAsia"/>
                      <w:lang w:eastAsia="zh-Hans"/>
                    </w:rPr>
                    <w:t>通过交通大数据对区域交通运行现状做全方面的CT扫描和体检诊断，主要包括交通现状评价、异常堵点定位、异常指标</w:t>
                  </w:r>
                  <w:r>
                    <w:rPr>
                      <w:rFonts w:hint="eastAsia" w:asciiTheme="minorEastAsia" w:hAnsiTheme="minorEastAsia" w:eastAsiaTheme="minorEastAsia" w:cstheme="minorEastAsia"/>
                      <w:highlight w:val="none"/>
                      <w:lang w:eastAsia="zh-Hans"/>
                    </w:rPr>
                    <w:t>诊断，全方位自动诊断治理区域的交通问题，并输出交通CT诊断报告</w:t>
                  </w:r>
                  <w:r>
                    <w:rPr>
                      <w:rFonts w:hint="eastAsia" w:asciiTheme="minorEastAsia" w:hAnsiTheme="minorEastAsia" w:cstheme="minorEastAsia"/>
                      <w:highlight w:val="none"/>
                      <w:lang w:eastAsia="zh-CN"/>
                    </w:rPr>
                    <w:t>。</w:t>
                  </w:r>
                </w:p>
              </w:tc>
            </w:tr>
            <w:tr w14:paraId="0964F3D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1" w:type="dxa"/>
                  <w:vMerge w:val="restart"/>
                  <w:tcBorders>
                    <w:top w:val="nil"/>
                    <w:left w:val="single" w:color="000000" w:sz="4" w:space="0"/>
                    <w:right w:val="single" w:color="000000" w:sz="4" w:space="0"/>
                  </w:tcBorders>
                  <w:tcMar>
                    <w:top w:w="0" w:type="dxa"/>
                    <w:left w:w="105" w:type="dxa"/>
                    <w:bottom w:w="0" w:type="dxa"/>
                    <w:right w:w="105" w:type="dxa"/>
                  </w:tcMar>
                  <w:vAlign w:val="center"/>
                </w:tcPr>
                <w:p w14:paraId="6ACDE2CE">
                  <w:pPr>
                    <w:pStyle w:val="5"/>
                    <w:jc w:val="center"/>
                  </w:pPr>
                  <w:r>
                    <w:rPr>
                      <w:sz w:val="21"/>
                    </w:rPr>
                    <w:t>2</w:t>
                  </w:r>
                </w:p>
              </w:tc>
              <w:tc>
                <w:tcPr>
                  <w:tcW w:w="1528" w:type="dxa"/>
                  <w:vMerge w:val="restart"/>
                  <w:tcBorders>
                    <w:top w:val="nil"/>
                    <w:left w:val="nil"/>
                    <w:right w:val="single" w:color="000000" w:sz="4" w:space="0"/>
                  </w:tcBorders>
                  <w:tcMar>
                    <w:top w:w="0" w:type="dxa"/>
                    <w:left w:w="105" w:type="dxa"/>
                    <w:bottom w:w="0" w:type="dxa"/>
                    <w:right w:w="105" w:type="dxa"/>
                  </w:tcMar>
                  <w:vAlign w:val="center"/>
                </w:tcPr>
                <w:p w14:paraId="267A234F">
                  <w:pPr>
                    <w:pStyle w:val="5"/>
                    <w:jc w:val="center"/>
                  </w:pPr>
                  <w:r>
                    <w:rPr>
                      <w:sz w:val="21"/>
                    </w:rPr>
                    <w:t>交通精细诊治</w:t>
                  </w:r>
                </w:p>
              </w:tc>
              <w:tc>
                <w:tcPr>
                  <w:tcW w:w="4104" w:type="dxa"/>
                  <w:vMerge w:val="restart"/>
                  <w:tcBorders>
                    <w:top w:val="nil"/>
                    <w:left w:val="nil"/>
                    <w:right w:val="single" w:color="000000" w:sz="4" w:space="0"/>
                  </w:tcBorders>
                  <w:shd w:val="clear" w:color="auto" w:fill="FFFFFF"/>
                  <w:tcMar>
                    <w:top w:w="0" w:type="dxa"/>
                    <w:left w:w="105" w:type="dxa"/>
                    <w:bottom w:w="0" w:type="dxa"/>
                    <w:right w:w="105" w:type="dxa"/>
                  </w:tcMar>
                  <w:vAlign w:val="top"/>
                </w:tcPr>
                <w:p w14:paraId="3F334BB4">
                  <w:pPr>
                    <w:pStyle w:val="5"/>
                    <w:rPr>
                      <w:rFonts w:hint="eastAsia" w:eastAsiaTheme="minorEastAsia"/>
                      <w:lang w:eastAsia="zh-CN"/>
                    </w:rPr>
                  </w:pPr>
                  <w:r>
                    <w:rPr>
                      <w:rFonts w:hint="eastAsia"/>
                      <w:lang w:eastAsia="zh-Hans"/>
                    </w:rPr>
                    <w:t>主要利用大数据对异常堵点展开逐项精细化逐条的诊治分析，用于为城市道路交通的精细化治理提供量化的时空参考依据；包括城市总体概况、路网基础诊治、交通运行诊治、通勤需求诊治、通勤走廊诊断、强吸引点诊治、路段诊治和路口诊治等功能。主要会从宏观的路网基础诊治、交通运行诊治，中观的通勤走廊诊治、AOI强吸引点诊治、路段诊治来分析，微观层面会从路口的精细化诊治来展开分析</w:t>
                  </w:r>
                  <w:r>
                    <w:rPr>
                      <w:rFonts w:hint="eastAsia"/>
                      <w:lang w:eastAsia="zh-CN"/>
                    </w:rPr>
                    <w:t>。</w:t>
                  </w:r>
                </w:p>
              </w:tc>
            </w:tr>
            <w:tr w14:paraId="30B9983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1" w:type="dxa"/>
                  <w:vMerge w:val="continue"/>
                  <w:tcBorders>
                    <w:left w:val="single" w:color="000000" w:sz="4" w:space="0"/>
                    <w:right w:val="single" w:color="000000" w:sz="4" w:space="0"/>
                  </w:tcBorders>
                  <w:tcMar>
                    <w:top w:w="0" w:type="dxa"/>
                    <w:left w:w="105" w:type="dxa"/>
                    <w:bottom w:w="0" w:type="dxa"/>
                    <w:right w:w="105" w:type="dxa"/>
                  </w:tcMar>
                  <w:vAlign w:val="center"/>
                </w:tcPr>
                <w:p w14:paraId="63699E0D">
                  <w:pPr>
                    <w:pStyle w:val="5"/>
                    <w:jc w:val="center"/>
                  </w:pPr>
                </w:p>
              </w:tc>
              <w:tc>
                <w:tcPr>
                  <w:tcW w:w="1528" w:type="dxa"/>
                  <w:vMerge w:val="continue"/>
                  <w:tcBorders>
                    <w:left w:val="nil"/>
                    <w:right w:val="single" w:color="000000" w:sz="4" w:space="0"/>
                  </w:tcBorders>
                  <w:vAlign w:val="center"/>
                </w:tcPr>
                <w:p w14:paraId="7639539C">
                  <w:pPr>
                    <w:pStyle w:val="5"/>
                    <w:jc w:val="center"/>
                  </w:pPr>
                </w:p>
              </w:tc>
              <w:tc>
                <w:tcPr>
                  <w:tcW w:w="4104" w:type="dxa"/>
                  <w:vMerge w:val="continue"/>
                  <w:tcBorders>
                    <w:left w:val="nil"/>
                    <w:right w:val="single" w:color="000000" w:sz="4" w:space="0"/>
                  </w:tcBorders>
                  <w:shd w:val="clear" w:color="auto" w:fill="FFFFFF"/>
                  <w:tcMar>
                    <w:top w:w="0" w:type="dxa"/>
                    <w:left w:w="105" w:type="dxa"/>
                    <w:bottom w:w="0" w:type="dxa"/>
                    <w:right w:w="105" w:type="dxa"/>
                  </w:tcMar>
                  <w:vAlign w:val="top"/>
                </w:tcPr>
                <w:p w14:paraId="22D98C55">
                  <w:pPr>
                    <w:pStyle w:val="5"/>
                  </w:pPr>
                </w:p>
              </w:tc>
            </w:tr>
            <w:tr w14:paraId="3629837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1" w:type="dxa"/>
                  <w:vMerge w:val="continue"/>
                  <w:tcBorders>
                    <w:left w:val="single" w:color="000000" w:sz="4" w:space="0"/>
                    <w:right w:val="single" w:color="000000" w:sz="4" w:space="0"/>
                  </w:tcBorders>
                  <w:tcMar>
                    <w:top w:w="0" w:type="dxa"/>
                    <w:left w:w="105" w:type="dxa"/>
                    <w:bottom w:w="0" w:type="dxa"/>
                    <w:right w:w="105" w:type="dxa"/>
                  </w:tcMar>
                  <w:vAlign w:val="center"/>
                </w:tcPr>
                <w:p w14:paraId="4C40A83C">
                  <w:pPr>
                    <w:pStyle w:val="5"/>
                    <w:jc w:val="center"/>
                  </w:pPr>
                </w:p>
              </w:tc>
              <w:tc>
                <w:tcPr>
                  <w:tcW w:w="1528" w:type="dxa"/>
                  <w:vMerge w:val="continue"/>
                  <w:tcBorders>
                    <w:left w:val="nil"/>
                    <w:right w:val="single" w:color="000000" w:sz="4" w:space="0"/>
                  </w:tcBorders>
                  <w:vAlign w:val="center"/>
                </w:tcPr>
                <w:p w14:paraId="4960A5A8">
                  <w:pPr>
                    <w:pStyle w:val="5"/>
                    <w:jc w:val="center"/>
                  </w:pPr>
                </w:p>
              </w:tc>
              <w:tc>
                <w:tcPr>
                  <w:tcW w:w="4104" w:type="dxa"/>
                  <w:vMerge w:val="continue"/>
                  <w:tcBorders>
                    <w:left w:val="nil"/>
                    <w:right w:val="single" w:color="000000" w:sz="4" w:space="0"/>
                  </w:tcBorders>
                  <w:shd w:val="clear" w:color="auto" w:fill="FFFFFF"/>
                  <w:tcMar>
                    <w:top w:w="0" w:type="dxa"/>
                    <w:left w:w="105" w:type="dxa"/>
                    <w:bottom w:w="0" w:type="dxa"/>
                    <w:right w:w="105" w:type="dxa"/>
                  </w:tcMar>
                  <w:vAlign w:val="top"/>
                </w:tcPr>
                <w:p w14:paraId="5741E0EC">
                  <w:pPr>
                    <w:pStyle w:val="5"/>
                  </w:pPr>
                </w:p>
              </w:tc>
            </w:tr>
            <w:tr w14:paraId="5535CA6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1" w:type="dxa"/>
                  <w:vMerge w:val="continue"/>
                  <w:tcBorders>
                    <w:left w:val="single" w:color="000000" w:sz="4" w:space="0"/>
                    <w:right w:val="single" w:color="000000" w:sz="4" w:space="0"/>
                  </w:tcBorders>
                  <w:tcMar>
                    <w:top w:w="0" w:type="dxa"/>
                    <w:left w:w="105" w:type="dxa"/>
                    <w:bottom w:w="0" w:type="dxa"/>
                    <w:right w:w="105" w:type="dxa"/>
                  </w:tcMar>
                  <w:vAlign w:val="center"/>
                </w:tcPr>
                <w:p w14:paraId="620B9CFD">
                  <w:pPr>
                    <w:pStyle w:val="5"/>
                    <w:jc w:val="center"/>
                  </w:pPr>
                </w:p>
              </w:tc>
              <w:tc>
                <w:tcPr>
                  <w:tcW w:w="1528" w:type="dxa"/>
                  <w:vMerge w:val="continue"/>
                  <w:tcBorders>
                    <w:left w:val="nil"/>
                    <w:right w:val="single" w:color="000000" w:sz="4" w:space="0"/>
                  </w:tcBorders>
                  <w:vAlign w:val="center"/>
                </w:tcPr>
                <w:p w14:paraId="3880C995">
                  <w:pPr>
                    <w:pStyle w:val="5"/>
                    <w:jc w:val="center"/>
                  </w:pPr>
                </w:p>
              </w:tc>
              <w:tc>
                <w:tcPr>
                  <w:tcW w:w="4104" w:type="dxa"/>
                  <w:vMerge w:val="continue"/>
                  <w:tcBorders>
                    <w:left w:val="nil"/>
                    <w:right w:val="single" w:color="000000" w:sz="4" w:space="0"/>
                  </w:tcBorders>
                  <w:shd w:val="clear" w:color="auto" w:fill="FFFFFF"/>
                  <w:tcMar>
                    <w:top w:w="0" w:type="dxa"/>
                    <w:left w:w="105" w:type="dxa"/>
                    <w:bottom w:w="0" w:type="dxa"/>
                    <w:right w:w="105" w:type="dxa"/>
                  </w:tcMar>
                  <w:vAlign w:val="top"/>
                </w:tcPr>
                <w:p w14:paraId="3C9FB6DD">
                  <w:pPr>
                    <w:pStyle w:val="5"/>
                  </w:pPr>
                </w:p>
              </w:tc>
            </w:tr>
            <w:tr w14:paraId="6696108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1" w:type="dxa"/>
                  <w:vMerge w:val="continue"/>
                  <w:tcBorders>
                    <w:left w:val="single" w:color="000000" w:sz="4" w:space="0"/>
                    <w:right w:val="single" w:color="000000" w:sz="4" w:space="0"/>
                  </w:tcBorders>
                  <w:tcMar>
                    <w:top w:w="0" w:type="dxa"/>
                    <w:left w:w="105" w:type="dxa"/>
                    <w:bottom w:w="0" w:type="dxa"/>
                    <w:right w:w="105" w:type="dxa"/>
                  </w:tcMar>
                  <w:vAlign w:val="center"/>
                </w:tcPr>
                <w:p w14:paraId="6DC01688">
                  <w:pPr>
                    <w:pStyle w:val="5"/>
                    <w:jc w:val="center"/>
                  </w:pPr>
                </w:p>
              </w:tc>
              <w:tc>
                <w:tcPr>
                  <w:tcW w:w="1528" w:type="dxa"/>
                  <w:vMerge w:val="continue"/>
                  <w:tcBorders>
                    <w:left w:val="nil"/>
                    <w:right w:val="single" w:color="000000" w:sz="4" w:space="0"/>
                  </w:tcBorders>
                  <w:vAlign w:val="center"/>
                </w:tcPr>
                <w:p w14:paraId="001AA7EA">
                  <w:pPr>
                    <w:pStyle w:val="5"/>
                    <w:jc w:val="center"/>
                  </w:pPr>
                </w:p>
              </w:tc>
              <w:tc>
                <w:tcPr>
                  <w:tcW w:w="4104" w:type="dxa"/>
                  <w:vMerge w:val="continue"/>
                  <w:tcBorders>
                    <w:left w:val="nil"/>
                    <w:right w:val="single" w:color="000000" w:sz="4" w:space="0"/>
                  </w:tcBorders>
                  <w:shd w:val="clear" w:color="auto" w:fill="FFFFFF"/>
                  <w:tcMar>
                    <w:top w:w="0" w:type="dxa"/>
                    <w:left w:w="105" w:type="dxa"/>
                    <w:bottom w:w="0" w:type="dxa"/>
                    <w:right w:w="105" w:type="dxa"/>
                  </w:tcMar>
                  <w:vAlign w:val="top"/>
                </w:tcPr>
                <w:p w14:paraId="12489798">
                  <w:pPr>
                    <w:pStyle w:val="5"/>
                  </w:pPr>
                </w:p>
              </w:tc>
            </w:tr>
            <w:tr w14:paraId="1D4E2A8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1" w:type="dxa"/>
                  <w:vMerge w:val="continue"/>
                  <w:tcBorders>
                    <w:left w:val="single" w:color="000000" w:sz="4" w:space="0"/>
                    <w:right w:val="single" w:color="000000" w:sz="4" w:space="0"/>
                  </w:tcBorders>
                  <w:tcMar>
                    <w:top w:w="0" w:type="dxa"/>
                    <w:left w:w="105" w:type="dxa"/>
                    <w:bottom w:w="0" w:type="dxa"/>
                    <w:right w:w="105" w:type="dxa"/>
                  </w:tcMar>
                  <w:vAlign w:val="center"/>
                </w:tcPr>
                <w:p w14:paraId="561CDC64">
                  <w:pPr>
                    <w:pStyle w:val="5"/>
                    <w:jc w:val="center"/>
                  </w:pPr>
                </w:p>
              </w:tc>
              <w:tc>
                <w:tcPr>
                  <w:tcW w:w="1528" w:type="dxa"/>
                  <w:vMerge w:val="continue"/>
                  <w:tcBorders>
                    <w:left w:val="nil"/>
                    <w:right w:val="single" w:color="000000" w:sz="4" w:space="0"/>
                  </w:tcBorders>
                  <w:vAlign w:val="center"/>
                </w:tcPr>
                <w:p w14:paraId="73BF933B">
                  <w:pPr>
                    <w:pStyle w:val="5"/>
                    <w:jc w:val="center"/>
                  </w:pPr>
                </w:p>
              </w:tc>
              <w:tc>
                <w:tcPr>
                  <w:tcW w:w="4104" w:type="dxa"/>
                  <w:vMerge w:val="continue"/>
                  <w:tcBorders>
                    <w:left w:val="nil"/>
                    <w:right w:val="single" w:color="000000" w:sz="4" w:space="0"/>
                  </w:tcBorders>
                  <w:shd w:val="clear" w:color="auto" w:fill="FFFFFF"/>
                  <w:tcMar>
                    <w:top w:w="0" w:type="dxa"/>
                    <w:left w:w="105" w:type="dxa"/>
                    <w:bottom w:w="0" w:type="dxa"/>
                    <w:right w:w="105" w:type="dxa"/>
                  </w:tcMar>
                  <w:vAlign w:val="top"/>
                </w:tcPr>
                <w:p w14:paraId="7DA43EC6">
                  <w:pPr>
                    <w:pStyle w:val="5"/>
                  </w:pPr>
                </w:p>
              </w:tc>
            </w:tr>
            <w:tr w14:paraId="409BA6A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1" w:type="dxa"/>
                  <w:vMerge w:val="continue"/>
                  <w:tcBorders>
                    <w:left w:val="single" w:color="000000" w:sz="4" w:space="0"/>
                    <w:right w:val="single" w:color="000000" w:sz="4" w:space="0"/>
                  </w:tcBorders>
                  <w:tcMar>
                    <w:top w:w="0" w:type="dxa"/>
                    <w:left w:w="105" w:type="dxa"/>
                    <w:bottom w:w="0" w:type="dxa"/>
                    <w:right w:w="105" w:type="dxa"/>
                  </w:tcMar>
                  <w:vAlign w:val="center"/>
                </w:tcPr>
                <w:p w14:paraId="1F04845A">
                  <w:pPr>
                    <w:pStyle w:val="5"/>
                    <w:jc w:val="center"/>
                  </w:pPr>
                </w:p>
              </w:tc>
              <w:tc>
                <w:tcPr>
                  <w:tcW w:w="1528" w:type="dxa"/>
                  <w:vMerge w:val="continue"/>
                  <w:tcBorders>
                    <w:left w:val="nil"/>
                    <w:right w:val="single" w:color="000000" w:sz="4" w:space="0"/>
                  </w:tcBorders>
                  <w:vAlign w:val="center"/>
                </w:tcPr>
                <w:p w14:paraId="7AE9B6C6">
                  <w:pPr>
                    <w:pStyle w:val="5"/>
                    <w:jc w:val="center"/>
                  </w:pPr>
                </w:p>
              </w:tc>
              <w:tc>
                <w:tcPr>
                  <w:tcW w:w="4104" w:type="dxa"/>
                  <w:vMerge w:val="continue"/>
                  <w:tcBorders>
                    <w:left w:val="nil"/>
                    <w:right w:val="single" w:color="000000" w:sz="4" w:space="0"/>
                  </w:tcBorders>
                  <w:shd w:val="clear" w:color="auto" w:fill="FFFFFF"/>
                  <w:tcMar>
                    <w:top w:w="0" w:type="dxa"/>
                    <w:left w:w="105" w:type="dxa"/>
                    <w:bottom w:w="0" w:type="dxa"/>
                    <w:right w:w="105" w:type="dxa"/>
                  </w:tcMar>
                  <w:vAlign w:val="top"/>
                </w:tcPr>
                <w:p w14:paraId="79394EBE">
                  <w:pPr>
                    <w:pStyle w:val="5"/>
                  </w:pPr>
                </w:p>
              </w:tc>
            </w:tr>
            <w:tr w14:paraId="55AB1D3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1" w:type="dxa"/>
                  <w:vMerge w:val="continue"/>
                  <w:tcBorders>
                    <w:left w:val="single" w:color="000000" w:sz="4" w:space="0"/>
                    <w:bottom w:val="single" w:color="000000" w:sz="4" w:space="0"/>
                    <w:right w:val="single" w:color="000000" w:sz="4" w:space="0"/>
                  </w:tcBorders>
                  <w:tcMar>
                    <w:top w:w="0" w:type="dxa"/>
                    <w:left w:w="105" w:type="dxa"/>
                    <w:bottom w:w="0" w:type="dxa"/>
                    <w:right w:w="105" w:type="dxa"/>
                  </w:tcMar>
                  <w:vAlign w:val="center"/>
                </w:tcPr>
                <w:p w14:paraId="5DCAB40F">
                  <w:pPr>
                    <w:pStyle w:val="5"/>
                    <w:jc w:val="center"/>
                  </w:pPr>
                </w:p>
              </w:tc>
              <w:tc>
                <w:tcPr>
                  <w:tcW w:w="1528" w:type="dxa"/>
                  <w:vMerge w:val="continue"/>
                  <w:tcBorders>
                    <w:left w:val="nil"/>
                    <w:bottom w:val="single" w:color="000000" w:sz="4" w:space="0"/>
                    <w:right w:val="single" w:color="000000" w:sz="4" w:space="0"/>
                  </w:tcBorders>
                  <w:vAlign w:val="center"/>
                </w:tcPr>
                <w:p w14:paraId="1D23DAE7">
                  <w:pPr>
                    <w:pStyle w:val="5"/>
                    <w:jc w:val="center"/>
                  </w:pPr>
                </w:p>
              </w:tc>
              <w:tc>
                <w:tcPr>
                  <w:tcW w:w="4104" w:type="dxa"/>
                  <w:vMerge w:val="continue"/>
                  <w:tcBorders>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28BBE38">
                  <w:pPr>
                    <w:pStyle w:val="5"/>
                  </w:pPr>
                </w:p>
              </w:tc>
            </w:tr>
            <w:tr w14:paraId="33EE62D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222D77BE">
                  <w:pPr>
                    <w:pStyle w:val="5"/>
                    <w:jc w:val="center"/>
                    <w:rPr>
                      <w:rFonts w:hint="eastAsia" w:eastAsiaTheme="minorEastAsia"/>
                      <w:lang w:eastAsia="zh-CN"/>
                    </w:rPr>
                  </w:pPr>
                  <w:r>
                    <w:rPr>
                      <w:rFonts w:hint="eastAsia"/>
                      <w:sz w:val="21"/>
                      <w:lang w:val="en-US" w:eastAsia="zh-CN"/>
                    </w:rPr>
                    <w:t>3</w:t>
                  </w:r>
                </w:p>
              </w:tc>
              <w:tc>
                <w:tcPr>
                  <w:tcW w:w="152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D982F19">
                  <w:pPr>
                    <w:pStyle w:val="5"/>
                    <w:jc w:val="center"/>
                  </w:pPr>
                  <w:r>
                    <w:rPr>
                      <w:sz w:val="21"/>
                    </w:rPr>
                    <w:t>运行跟踪评价</w:t>
                  </w:r>
                </w:p>
              </w:tc>
              <w:tc>
                <w:tcPr>
                  <w:tcW w:w="410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2A69878">
                  <w:pPr>
                    <w:pStyle w:val="5"/>
                  </w:pPr>
                  <w:r>
                    <w:rPr>
                      <w:rFonts w:hint="eastAsia"/>
                      <w:lang w:eastAsia="zh-Hans"/>
                    </w:rPr>
                    <w:t>主要针对交通治理的前后做实时效果监测和评价，包括运行效率、出行延误、拥堵里程等详细诊断指标，锁定路口问题点并提出可行性解决方案</w:t>
                  </w:r>
                </w:p>
              </w:tc>
            </w:tr>
            <w:tr w14:paraId="5C1815F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453BEF50">
                  <w:pPr>
                    <w:pStyle w:val="5"/>
                    <w:jc w:val="center"/>
                    <w:rPr>
                      <w:rFonts w:hint="eastAsia" w:eastAsiaTheme="minorEastAsia"/>
                      <w:lang w:eastAsia="zh-CN"/>
                    </w:rPr>
                  </w:pPr>
                  <w:r>
                    <w:rPr>
                      <w:rFonts w:hint="eastAsia"/>
                      <w:sz w:val="21"/>
                      <w:lang w:val="en-US" w:eastAsia="zh-CN"/>
                    </w:rPr>
                    <w:t>4</w:t>
                  </w:r>
                </w:p>
              </w:tc>
              <w:tc>
                <w:tcPr>
                  <w:tcW w:w="1528" w:type="dxa"/>
                  <w:tcBorders>
                    <w:top w:val="nil"/>
                    <w:left w:val="nil"/>
                    <w:bottom w:val="single" w:color="auto" w:sz="4" w:space="0"/>
                    <w:right w:val="single" w:color="000000" w:sz="4" w:space="0"/>
                  </w:tcBorders>
                  <w:tcMar>
                    <w:top w:w="0" w:type="dxa"/>
                    <w:left w:w="105" w:type="dxa"/>
                    <w:bottom w:w="0" w:type="dxa"/>
                    <w:right w:w="105" w:type="dxa"/>
                  </w:tcMar>
                  <w:vAlign w:val="center"/>
                </w:tcPr>
                <w:p w14:paraId="1DC51680">
                  <w:pPr>
                    <w:pStyle w:val="5"/>
                    <w:jc w:val="center"/>
                  </w:pPr>
                  <w:r>
                    <w:rPr>
                      <w:sz w:val="21"/>
                    </w:rPr>
                    <w:t>工具组件分析</w:t>
                  </w:r>
                </w:p>
              </w:tc>
              <w:tc>
                <w:tcPr>
                  <w:tcW w:w="410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60423EB">
                  <w:pPr>
                    <w:pStyle w:val="5"/>
                  </w:pPr>
                  <w:r>
                    <w:rPr>
                      <w:rFonts w:hint="eastAsia" w:asciiTheme="minorEastAsia" w:hAnsiTheme="minorEastAsia" w:eastAsiaTheme="minorEastAsia" w:cstheme="minorEastAsia"/>
                      <w:lang w:eastAsia="zh-Hans"/>
                    </w:rPr>
                    <w:t>诊治服务系统的核心工具组件分析包括任意路段OD溯源、任意路段过饱和度分析和强吸引点&amp;停车强需挖掘等功能，通过灵活的分析工具挖掘出路段</w:t>
                  </w:r>
                  <w:r>
                    <w:rPr>
                      <w:rFonts w:hint="eastAsia" w:asciiTheme="minorEastAsia" w:hAnsiTheme="minorEastAsia" w:eastAsiaTheme="minorEastAsia" w:cstheme="minorEastAsia"/>
                    </w:rPr>
                    <w:t>OD、路段饱和度和停车强需求等指标数据</w:t>
                  </w:r>
                  <w:r>
                    <w:rPr>
                      <w:rFonts w:hint="eastAsia" w:asciiTheme="minorEastAsia" w:hAnsiTheme="minorEastAsia" w:eastAsiaTheme="minorEastAsia" w:cstheme="minorEastAsia"/>
                      <w:lang w:eastAsia="zh-Hans"/>
                    </w:rPr>
                    <w:t>，为交通治理提供数据参考。主要从宏观的路网基础诊治、交通运行诊治，中观的通勤走廊诊治、AOI强吸引点诊治、路段诊治来分析，微观层面会从路口的精细化诊治来展开分析</w:t>
                  </w:r>
                </w:p>
              </w:tc>
            </w:tr>
          </w:tbl>
          <w:p w14:paraId="5E011375">
            <w:pPr>
              <w:pStyle w:val="5"/>
              <w:jc w:val="left"/>
              <w:rPr>
                <w:b/>
                <w:bCs/>
              </w:rPr>
            </w:pPr>
            <w:r>
              <w:rPr>
                <w:rFonts w:hint="eastAsia"/>
                <w:b/>
                <w:bCs/>
                <w:sz w:val="21"/>
                <w:szCs w:val="21"/>
                <w:lang w:val="en-US" w:eastAsia="zh-CN"/>
              </w:rPr>
              <w:t>（5）</w:t>
            </w:r>
            <w:r>
              <w:rPr>
                <w:b/>
                <w:bCs/>
                <w:sz w:val="21"/>
              </w:rPr>
              <w:t>其他技术要求：</w:t>
            </w:r>
          </w:p>
          <w:p w14:paraId="610F0DD5">
            <w:pPr>
              <w:pStyle w:val="5"/>
              <w:numPr>
                <w:ilvl w:val="0"/>
                <w:numId w:val="0"/>
              </w:numPr>
              <w:spacing w:line="360" w:lineRule="auto"/>
              <w:jc w:val="left"/>
              <w:rPr>
                <w:rFonts w:hint="eastAsia"/>
                <w:lang w:val="en-US" w:eastAsia="zh-CN"/>
              </w:rPr>
            </w:pPr>
            <w:r>
              <w:rPr>
                <w:rFonts w:hint="eastAsia"/>
                <w:lang w:val="en-US" w:eastAsia="zh-CN"/>
              </w:rPr>
              <w:t>1）供应商提供的平台应具备专业的城市地理空间基础信息的加工分析处理功能，具备大规模多元异构数据的采集、分析和可视化呈现等能力，包括交通出行数据、道路运行数据等，对城市整体交通运行状况、城市交通规划以及人口出行规律具备较强的专业分析能力，整合集成专业的在线分析功能，在线生成专业的交通分析报告。</w:t>
            </w:r>
          </w:p>
          <w:p w14:paraId="5A8D12D0">
            <w:pPr>
              <w:pStyle w:val="5"/>
              <w:numPr>
                <w:ilvl w:val="0"/>
                <w:numId w:val="0"/>
              </w:numPr>
              <w:spacing w:line="360" w:lineRule="auto"/>
              <w:jc w:val="left"/>
              <w:rPr>
                <w:rFonts w:hint="eastAsia"/>
                <w:lang w:val="en-US" w:eastAsia="zh-CN"/>
              </w:rPr>
            </w:pPr>
            <w:r>
              <w:rPr>
                <w:rFonts w:hint="eastAsia"/>
                <w:lang w:val="en-US" w:eastAsia="zh-CN"/>
              </w:rPr>
              <w:t>2）供应商提供的分析平台及数据服务，主要基于对城市交通路段、路口的运行状况，城市通勤人口出行特征的精准、精细评价，因此大规模多元异构数据的融种类应尽可能丰富（种类不少于5种），对城市任意区域通勤人口、通勤时间、通勤距离和通勤方式分布计算数据覆盖度尽可能高（覆盖度大于70%），路口停车次数、排队长度和延误指数等交通运行状况评价指标的精确度尽可能高（大于75%）。</w:t>
            </w:r>
          </w:p>
          <w:p w14:paraId="0AE580FA">
            <w:pPr>
              <w:pStyle w:val="5"/>
              <w:numPr>
                <w:ilvl w:val="0"/>
                <w:numId w:val="0"/>
              </w:numPr>
              <w:jc w:val="left"/>
              <w:rPr>
                <w:rFonts w:hint="eastAsia"/>
                <w:b/>
                <w:bCs/>
                <w:sz w:val="21"/>
                <w:szCs w:val="21"/>
                <w:lang w:val="en-US" w:eastAsia="zh-CN"/>
              </w:rPr>
            </w:pPr>
            <w:r>
              <w:rPr>
                <w:rFonts w:hint="eastAsia"/>
                <w:b/>
                <w:bCs/>
                <w:sz w:val="21"/>
                <w:szCs w:val="21"/>
                <w:lang w:val="en-US" w:eastAsia="zh-CN"/>
              </w:rPr>
              <w:t>3.采购地图接口分析处理轨迹数据服务</w:t>
            </w:r>
          </w:p>
          <w:p w14:paraId="6348C023">
            <w:pPr>
              <w:pStyle w:val="5"/>
              <w:numPr>
                <w:ilvl w:val="0"/>
                <w:numId w:val="0"/>
              </w:numPr>
              <w:jc w:val="left"/>
              <w:rPr>
                <w:rFonts w:hint="eastAsia"/>
                <w:b/>
                <w:bCs/>
                <w:sz w:val="21"/>
                <w:szCs w:val="21"/>
                <w:lang w:val="en-US" w:eastAsia="zh-CN"/>
              </w:rPr>
            </w:pPr>
            <w:r>
              <w:rPr>
                <w:rFonts w:hint="eastAsia"/>
                <w:b/>
                <w:bCs/>
                <w:sz w:val="21"/>
                <w:szCs w:val="21"/>
                <w:lang w:val="en-US" w:eastAsia="zh-Hans"/>
              </w:rPr>
              <w:t>（</w:t>
            </w:r>
            <w:r>
              <w:rPr>
                <w:rFonts w:hint="eastAsia"/>
                <w:b/>
                <w:bCs/>
                <w:sz w:val="21"/>
                <w:szCs w:val="21"/>
                <w:lang w:val="en-US" w:eastAsia="zh-CN"/>
              </w:rPr>
              <w:t>1</w:t>
            </w:r>
            <w:r>
              <w:rPr>
                <w:rFonts w:hint="eastAsia"/>
                <w:b/>
                <w:bCs/>
                <w:sz w:val="21"/>
                <w:szCs w:val="21"/>
                <w:lang w:val="en-US" w:eastAsia="zh-Hans"/>
              </w:rPr>
              <w:t>）</w:t>
            </w:r>
            <w:r>
              <w:rPr>
                <w:rFonts w:hint="eastAsia"/>
                <w:b/>
                <w:bCs/>
                <w:sz w:val="21"/>
                <w:szCs w:val="21"/>
                <w:lang w:val="en-US" w:eastAsia="zh-CN"/>
              </w:rPr>
              <w:t>数据接口服务概述：</w:t>
            </w:r>
          </w:p>
          <w:p w14:paraId="082F1D6B">
            <w:pPr>
              <w:pStyle w:val="5"/>
              <w:numPr>
                <w:ilvl w:val="0"/>
                <w:numId w:val="0"/>
              </w:numPr>
              <w:spacing w:line="360" w:lineRule="auto"/>
              <w:ind w:firstLine="400" w:firstLineChars="200"/>
              <w:jc w:val="left"/>
              <w:rPr>
                <w:rFonts w:hint="eastAsia"/>
                <w:lang w:val="en-US" w:eastAsia="zh-Hans"/>
              </w:rPr>
            </w:pPr>
            <w:r>
              <w:rPr>
                <w:rFonts w:hint="eastAsia"/>
                <w:lang w:val="en-US" w:eastAsia="zh-CN"/>
              </w:rPr>
              <w:t>主要用于公众出行信息服务及交通行车运输车辆</w:t>
            </w:r>
            <w:r>
              <w:rPr>
                <w:rFonts w:hint="eastAsia"/>
                <w:lang w:val="en-US" w:eastAsia="zh-Hans"/>
              </w:rPr>
              <w:t>轨迹管理服务</w:t>
            </w:r>
            <w:r>
              <w:rPr>
                <w:rFonts w:hint="eastAsia"/>
                <w:lang w:val="en-US" w:eastAsia="zh-CN"/>
              </w:rPr>
              <w:t>，主要接口功能包括：</w:t>
            </w:r>
            <w:r>
              <w:rPr>
                <w:rFonts w:hint="eastAsia"/>
                <w:lang w:val="en-US" w:eastAsia="zh-Hans"/>
              </w:rPr>
              <w:t>轨迹管理服务，移动端 SDK 和服务端 API 接入服务，轨迹纠偏绑路、里程计算、行为分析、地理围栏等。</w:t>
            </w:r>
          </w:p>
          <w:p w14:paraId="3D915B7E">
            <w:pPr>
              <w:pStyle w:val="5"/>
              <w:numPr>
                <w:ilvl w:val="0"/>
                <w:numId w:val="0"/>
              </w:numPr>
              <w:jc w:val="left"/>
              <w:rPr>
                <w:rFonts w:hint="eastAsia"/>
                <w:b/>
                <w:bCs/>
                <w:sz w:val="21"/>
                <w:szCs w:val="21"/>
                <w:lang w:val="en-US" w:eastAsia="zh-CN"/>
              </w:rPr>
            </w:pPr>
            <w:r>
              <w:rPr>
                <w:rFonts w:hint="eastAsia"/>
                <w:b/>
                <w:bCs/>
                <w:sz w:val="21"/>
                <w:szCs w:val="21"/>
                <w:lang w:val="en-US" w:eastAsia="zh-Hans"/>
              </w:rPr>
              <w:t>（</w:t>
            </w:r>
            <w:r>
              <w:rPr>
                <w:rFonts w:hint="eastAsia"/>
                <w:b/>
                <w:bCs/>
                <w:sz w:val="21"/>
                <w:szCs w:val="21"/>
                <w:lang w:val="en-US" w:eastAsia="zh-CN"/>
              </w:rPr>
              <w:t>2</w:t>
            </w:r>
            <w:r>
              <w:rPr>
                <w:rFonts w:hint="eastAsia"/>
                <w:b/>
                <w:bCs/>
                <w:sz w:val="21"/>
                <w:szCs w:val="21"/>
                <w:lang w:val="en-US" w:eastAsia="zh-Hans"/>
              </w:rPr>
              <w:t>）</w:t>
            </w:r>
            <w:r>
              <w:rPr>
                <w:rFonts w:hint="eastAsia"/>
                <w:b/>
                <w:bCs/>
                <w:sz w:val="21"/>
                <w:szCs w:val="21"/>
                <w:lang w:val="en-US" w:eastAsia="zh-CN"/>
              </w:rPr>
              <w:t>具体数据分析处理</w:t>
            </w:r>
            <w:r>
              <w:rPr>
                <w:rFonts w:hint="eastAsia"/>
                <w:b/>
                <w:bCs/>
                <w:sz w:val="21"/>
                <w:szCs w:val="21"/>
                <w:lang w:val="en-US" w:eastAsia="zh-Hans"/>
              </w:rPr>
              <w:t>功能：</w:t>
            </w:r>
          </w:p>
          <w:tbl>
            <w:tblPr>
              <w:tblStyle w:val="3"/>
              <w:tblW w:w="0" w:type="auto"/>
              <w:tblInd w:w="1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46"/>
              <w:gridCol w:w="1701"/>
              <w:gridCol w:w="3872"/>
            </w:tblGrid>
            <w:tr w14:paraId="6BEAE3C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tcBorders>
                    <w:top w:val="single" w:color="000000" w:sz="4" w:space="0"/>
                    <w:left w:val="single" w:color="000000" w:sz="4" w:space="0"/>
                    <w:bottom w:val="single" w:color="000000" w:sz="4" w:space="0"/>
                    <w:right w:val="single" w:color="000000" w:sz="4" w:space="0"/>
                  </w:tcBorders>
                  <w:shd w:val="clear" w:color="auto" w:fill="F1F1F1"/>
                  <w:tcMar>
                    <w:top w:w="0" w:type="dxa"/>
                    <w:left w:w="105" w:type="dxa"/>
                    <w:bottom w:w="0" w:type="dxa"/>
                    <w:right w:w="105" w:type="dxa"/>
                  </w:tcMar>
                  <w:vAlign w:val="top"/>
                </w:tcPr>
                <w:p w14:paraId="146D7C5C">
                  <w:pPr>
                    <w:pStyle w:val="5"/>
                    <w:jc w:val="center"/>
                  </w:pPr>
                  <w:r>
                    <w:rPr>
                      <w:b/>
                      <w:sz w:val="19"/>
                    </w:rPr>
                    <w:t>序号</w:t>
                  </w:r>
                </w:p>
              </w:tc>
              <w:tc>
                <w:tcPr>
                  <w:tcW w:w="1701" w:type="dxa"/>
                  <w:tcBorders>
                    <w:top w:val="single" w:color="000000" w:sz="4" w:space="0"/>
                    <w:left w:val="nil"/>
                    <w:bottom w:val="single" w:color="000000" w:sz="4" w:space="0"/>
                    <w:right w:val="single" w:color="000000" w:sz="4" w:space="0"/>
                  </w:tcBorders>
                  <w:shd w:val="clear" w:color="auto" w:fill="F1F1F1"/>
                  <w:tcMar>
                    <w:top w:w="0" w:type="dxa"/>
                    <w:left w:w="105" w:type="dxa"/>
                    <w:bottom w:w="0" w:type="dxa"/>
                    <w:right w:w="105" w:type="dxa"/>
                  </w:tcMar>
                  <w:vAlign w:val="top"/>
                </w:tcPr>
                <w:p w14:paraId="559C4026">
                  <w:pPr>
                    <w:pStyle w:val="5"/>
                    <w:jc w:val="center"/>
                    <w:rPr>
                      <w:rFonts w:hint="default" w:eastAsiaTheme="minorEastAsia"/>
                      <w:lang w:val="en-US" w:eastAsia="zh-CN"/>
                    </w:rPr>
                  </w:pPr>
                  <w:r>
                    <w:rPr>
                      <w:rFonts w:hint="eastAsia"/>
                      <w:b/>
                      <w:bCs/>
                      <w:lang w:val="en-US" w:eastAsia="zh-CN"/>
                    </w:rPr>
                    <w:t>服务模块</w:t>
                  </w:r>
                </w:p>
              </w:tc>
              <w:tc>
                <w:tcPr>
                  <w:tcW w:w="3872" w:type="dxa"/>
                  <w:tcBorders>
                    <w:top w:val="single" w:color="000000" w:sz="4" w:space="0"/>
                    <w:left w:val="nil"/>
                    <w:bottom w:val="single" w:color="000000" w:sz="4" w:space="0"/>
                    <w:right w:val="single" w:color="000000" w:sz="4" w:space="0"/>
                  </w:tcBorders>
                  <w:shd w:val="clear" w:color="auto" w:fill="F1F1F1"/>
                  <w:tcMar>
                    <w:top w:w="0" w:type="dxa"/>
                    <w:left w:w="105" w:type="dxa"/>
                    <w:bottom w:w="0" w:type="dxa"/>
                    <w:right w:w="105" w:type="dxa"/>
                  </w:tcMar>
                  <w:vAlign w:val="top"/>
                </w:tcPr>
                <w:p w14:paraId="70E8E1B4">
                  <w:pPr>
                    <w:pStyle w:val="5"/>
                    <w:jc w:val="center"/>
                  </w:pPr>
                  <w:r>
                    <w:rPr>
                      <w:rFonts w:hint="eastAsia"/>
                      <w:b/>
                      <w:sz w:val="19"/>
                      <w:lang w:val="en-US" w:eastAsia="zh-CN"/>
                    </w:rPr>
                    <w:t>模块</w:t>
                  </w:r>
                  <w:r>
                    <w:rPr>
                      <w:b/>
                      <w:sz w:val="19"/>
                    </w:rPr>
                    <w:t>名称</w:t>
                  </w:r>
                </w:p>
              </w:tc>
            </w:tr>
            <w:tr w14:paraId="24B4B3D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restart"/>
                  <w:tcBorders>
                    <w:top w:val="nil"/>
                    <w:left w:val="single" w:color="000000" w:sz="4" w:space="0"/>
                    <w:bottom w:val="nil"/>
                    <w:right w:val="single" w:color="000000" w:sz="4" w:space="0"/>
                  </w:tcBorders>
                  <w:tcMar>
                    <w:top w:w="0" w:type="dxa"/>
                    <w:left w:w="105" w:type="dxa"/>
                    <w:bottom w:w="0" w:type="dxa"/>
                    <w:right w:w="105" w:type="dxa"/>
                  </w:tcMar>
                  <w:vAlign w:val="center"/>
                </w:tcPr>
                <w:p w14:paraId="1A944A04">
                  <w:pPr>
                    <w:pStyle w:val="5"/>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1701" w:type="dxa"/>
                  <w:vMerge w:val="restart"/>
                  <w:tcBorders>
                    <w:top w:val="nil"/>
                    <w:left w:val="nil"/>
                    <w:bottom w:val="nil"/>
                    <w:right w:val="single" w:color="000000" w:sz="4" w:space="0"/>
                  </w:tcBorders>
                  <w:tcMar>
                    <w:top w:w="0" w:type="dxa"/>
                    <w:left w:w="105" w:type="dxa"/>
                    <w:bottom w:w="0" w:type="dxa"/>
                    <w:right w:w="105" w:type="dxa"/>
                  </w:tcMar>
                  <w:vAlign w:val="center"/>
                </w:tcPr>
                <w:p w14:paraId="5E1FA451">
                  <w:pPr>
                    <w:pStyle w:val="5"/>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搜索类</w:t>
                  </w:r>
                </w:p>
              </w:tc>
              <w:tc>
                <w:tcPr>
                  <w:tcW w:w="387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BAFB667">
                  <w:pPr>
                    <w:pStyle w:val="5"/>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输入提示</w:t>
                  </w:r>
                </w:p>
              </w:tc>
            </w:tr>
            <w:tr w14:paraId="61374D3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top w:val="nil"/>
                    <w:left w:val="single" w:color="000000" w:sz="4" w:space="0"/>
                    <w:bottom w:val="nil"/>
                    <w:right w:val="single" w:color="000000" w:sz="4" w:space="0"/>
                  </w:tcBorders>
                  <w:vAlign w:val="center"/>
                </w:tcPr>
                <w:p w14:paraId="725975D0">
                  <w:pPr>
                    <w:jc w:val="center"/>
                    <w:rPr>
                      <w:rFonts w:hint="eastAsia" w:asciiTheme="minorEastAsia" w:hAnsiTheme="minorEastAsia" w:eastAsiaTheme="minorEastAsia" w:cstheme="minorEastAsia"/>
                      <w:sz w:val="20"/>
                      <w:szCs w:val="20"/>
                    </w:rPr>
                  </w:pPr>
                </w:p>
              </w:tc>
              <w:tc>
                <w:tcPr>
                  <w:tcW w:w="1701" w:type="dxa"/>
                  <w:vMerge w:val="continue"/>
                  <w:tcBorders>
                    <w:top w:val="nil"/>
                    <w:left w:val="nil"/>
                    <w:bottom w:val="nil"/>
                    <w:right w:val="single" w:color="000000" w:sz="4" w:space="0"/>
                  </w:tcBorders>
                  <w:vAlign w:val="center"/>
                </w:tcPr>
                <w:p w14:paraId="261B8EB6">
                  <w:pPr>
                    <w:jc w:val="center"/>
                    <w:rPr>
                      <w:rFonts w:hint="eastAsia" w:asciiTheme="minorEastAsia" w:hAnsiTheme="minorEastAsia" w:eastAsiaTheme="minorEastAsia" w:cstheme="minorEastAsia"/>
                      <w:sz w:val="20"/>
                      <w:szCs w:val="20"/>
                    </w:rPr>
                  </w:pPr>
                </w:p>
              </w:tc>
              <w:tc>
                <w:tcPr>
                  <w:tcW w:w="387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810406E">
                  <w:pPr>
                    <w:pStyle w:val="5"/>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关键字搜索</w:t>
                  </w:r>
                </w:p>
              </w:tc>
            </w:tr>
            <w:tr w14:paraId="5D81654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top w:val="nil"/>
                    <w:left w:val="single" w:color="000000" w:sz="4" w:space="0"/>
                    <w:bottom w:val="nil"/>
                    <w:right w:val="single" w:color="000000" w:sz="4" w:space="0"/>
                  </w:tcBorders>
                  <w:vAlign w:val="center"/>
                </w:tcPr>
                <w:p w14:paraId="2C648C2D">
                  <w:pPr>
                    <w:jc w:val="center"/>
                    <w:rPr>
                      <w:rFonts w:hint="eastAsia" w:asciiTheme="minorEastAsia" w:hAnsiTheme="minorEastAsia" w:eastAsiaTheme="minorEastAsia" w:cstheme="minorEastAsia"/>
                      <w:sz w:val="20"/>
                      <w:szCs w:val="20"/>
                    </w:rPr>
                  </w:pPr>
                </w:p>
              </w:tc>
              <w:tc>
                <w:tcPr>
                  <w:tcW w:w="1701" w:type="dxa"/>
                  <w:vMerge w:val="continue"/>
                  <w:tcBorders>
                    <w:top w:val="nil"/>
                    <w:left w:val="nil"/>
                    <w:bottom w:val="nil"/>
                    <w:right w:val="single" w:color="000000" w:sz="4" w:space="0"/>
                  </w:tcBorders>
                  <w:vAlign w:val="center"/>
                </w:tcPr>
                <w:p w14:paraId="1E206851">
                  <w:pPr>
                    <w:jc w:val="center"/>
                    <w:rPr>
                      <w:rFonts w:hint="eastAsia" w:asciiTheme="minorEastAsia" w:hAnsiTheme="minorEastAsia" w:eastAsiaTheme="minorEastAsia" w:cstheme="minorEastAsia"/>
                      <w:sz w:val="20"/>
                      <w:szCs w:val="20"/>
                    </w:rPr>
                  </w:pPr>
                </w:p>
              </w:tc>
              <w:tc>
                <w:tcPr>
                  <w:tcW w:w="387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0F989EF">
                  <w:pPr>
                    <w:pStyle w:val="5"/>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周边搜索</w:t>
                  </w:r>
                </w:p>
              </w:tc>
            </w:tr>
            <w:tr w14:paraId="35EDFBF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top w:val="nil"/>
                    <w:left w:val="single" w:color="000000" w:sz="4" w:space="0"/>
                    <w:bottom w:val="nil"/>
                    <w:right w:val="single" w:color="000000" w:sz="4" w:space="0"/>
                  </w:tcBorders>
                  <w:vAlign w:val="center"/>
                </w:tcPr>
                <w:p w14:paraId="4673E709">
                  <w:pPr>
                    <w:jc w:val="center"/>
                    <w:rPr>
                      <w:rFonts w:hint="eastAsia" w:asciiTheme="minorEastAsia" w:hAnsiTheme="minorEastAsia" w:eastAsiaTheme="minorEastAsia" w:cstheme="minorEastAsia"/>
                      <w:sz w:val="20"/>
                      <w:szCs w:val="20"/>
                    </w:rPr>
                  </w:pPr>
                </w:p>
              </w:tc>
              <w:tc>
                <w:tcPr>
                  <w:tcW w:w="1701" w:type="dxa"/>
                  <w:vMerge w:val="continue"/>
                  <w:tcBorders>
                    <w:top w:val="nil"/>
                    <w:left w:val="nil"/>
                    <w:bottom w:val="nil"/>
                    <w:right w:val="single" w:color="000000" w:sz="4" w:space="0"/>
                  </w:tcBorders>
                  <w:vAlign w:val="center"/>
                </w:tcPr>
                <w:p w14:paraId="0A52BA1B">
                  <w:pPr>
                    <w:jc w:val="center"/>
                    <w:rPr>
                      <w:rFonts w:hint="eastAsia" w:asciiTheme="minorEastAsia" w:hAnsiTheme="minorEastAsia" w:eastAsiaTheme="minorEastAsia" w:cstheme="minorEastAsia"/>
                      <w:sz w:val="20"/>
                      <w:szCs w:val="20"/>
                    </w:rPr>
                  </w:pPr>
                </w:p>
              </w:tc>
              <w:tc>
                <w:tcPr>
                  <w:tcW w:w="387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7BB61B3">
                  <w:pPr>
                    <w:pStyle w:val="5"/>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ID搜索</w:t>
                  </w:r>
                </w:p>
              </w:tc>
            </w:tr>
            <w:tr w14:paraId="6DF9F6C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top w:val="nil"/>
                    <w:left w:val="single" w:color="000000" w:sz="4" w:space="0"/>
                    <w:bottom w:val="single" w:color="auto" w:sz="4" w:space="0"/>
                    <w:right w:val="single" w:color="000000" w:sz="4" w:space="0"/>
                  </w:tcBorders>
                  <w:vAlign w:val="center"/>
                </w:tcPr>
                <w:p w14:paraId="5C661578">
                  <w:pPr>
                    <w:jc w:val="center"/>
                    <w:rPr>
                      <w:rFonts w:hint="eastAsia" w:asciiTheme="minorEastAsia" w:hAnsiTheme="minorEastAsia" w:eastAsiaTheme="minorEastAsia" w:cstheme="minorEastAsia"/>
                      <w:sz w:val="20"/>
                      <w:szCs w:val="20"/>
                    </w:rPr>
                  </w:pPr>
                </w:p>
              </w:tc>
              <w:tc>
                <w:tcPr>
                  <w:tcW w:w="1701" w:type="dxa"/>
                  <w:vMerge w:val="continue"/>
                  <w:tcBorders>
                    <w:top w:val="nil"/>
                    <w:left w:val="nil"/>
                    <w:bottom w:val="single" w:color="auto" w:sz="4" w:space="0"/>
                    <w:right w:val="single" w:color="000000" w:sz="4" w:space="0"/>
                  </w:tcBorders>
                  <w:vAlign w:val="center"/>
                </w:tcPr>
                <w:p w14:paraId="507E73FA">
                  <w:pPr>
                    <w:jc w:val="center"/>
                    <w:rPr>
                      <w:rFonts w:hint="eastAsia" w:asciiTheme="minorEastAsia" w:hAnsiTheme="minorEastAsia" w:eastAsiaTheme="minorEastAsia" w:cstheme="minorEastAsia"/>
                      <w:sz w:val="20"/>
                      <w:szCs w:val="20"/>
                    </w:rPr>
                  </w:pPr>
                </w:p>
              </w:tc>
              <w:tc>
                <w:tcPr>
                  <w:tcW w:w="3872" w:type="dxa"/>
                  <w:tcBorders>
                    <w:top w:val="nil"/>
                    <w:left w:val="nil"/>
                    <w:bottom w:val="single" w:color="auto" w:sz="4" w:space="0"/>
                    <w:right w:val="single" w:color="000000" w:sz="4" w:space="0"/>
                  </w:tcBorders>
                  <w:tcMar>
                    <w:top w:w="0" w:type="dxa"/>
                    <w:left w:w="105" w:type="dxa"/>
                    <w:bottom w:w="0" w:type="dxa"/>
                    <w:right w:w="105" w:type="dxa"/>
                  </w:tcMar>
                  <w:vAlign w:val="center"/>
                </w:tcPr>
                <w:p w14:paraId="004532FD">
                  <w:pPr>
                    <w:pStyle w:val="5"/>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多边形搜索</w:t>
                  </w:r>
                </w:p>
              </w:tc>
            </w:tr>
            <w:tr w14:paraId="574BC02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restart"/>
                  <w:tcBorders>
                    <w:top w:val="single" w:color="auto" w:sz="4" w:space="0"/>
                    <w:left w:val="single" w:color="000000" w:sz="4" w:space="0"/>
                    <w:bottom w:val="single" w:color="auto" w:sz="4" w:space="0"/>
                    <w:right w:val="single" w:color="000000" w:sz="4" w:space="0"/>
                  </w:tcBorders>
                  <w:tcMar>
                    <w:top w:w="0" w:type="dxa"/>
                    <w:left w:w="105" w:type="dxa"/>
                    <w:bottom w:w="0" w:type="dxa"/>
                    <w:right w:w="105" w:type="dxa"/>
                  </w:tcMar>
                  <w:vAlign w:val="center"/>
                </w:tcPr>
                <w:p w14:paraId="5FB71920">
                  <w:pPr>
                    <w:pStyle w:val="5"/>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1701" w:type="dxa"/>
                  <w:vMerge w:val="restart"/>
                  <w:tcBorders>
                    <w:top w:val="single" w:color="auto" w:sz="4" w:space="0"/>
                    <w:left w:val="nil"/>
                    <w:bottom w:val="single" w:color="auto" w:sz="4" w:space="0"/>
                    <w:right w:val="single" w:color="000000" w:sz="4" w:space="0"/>
                  </w:tcBorders>
                  <w:tcMar>
                    <w:top w:w="0" w:type="dxa"/>
                    <w:left w:w="105" w:type="dxa"/>
                    <w:bottom w:w="0" w:type="dxa"/>
                    <w:right w:w="105" w:type="dxa"/>
                  </w:tcMar>
                  <w:vAlign w:val="center"/>
                </w:tcPr>
                <w:p w14:paraId="78C556C6">
                  <w:pPr>
                    <w:pStyle w:val="5"/>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路线规划类</w:t>
                  </w:r>
                </w:p>
              </w:tc>
              <w:tc>
                <w:tcPr>
                  <w:tcW w:w="3872" w:type="dxa"/>
                  <w:tcBorders>
                    <w:top w:val="single" w:color="auto" w:sz="4" w:space="0"/>
                    <w:left w:val="nil"/>
                    <w:bottom w:val="single" w:color="000000" w:sz="4" w:space="0"/>
                    <w:right w:val="single" w:color="000000" w:sz="4" w:space="0"/>
                  </w:tcBorders>
                  <w:tcMar>
                    <w:top w:w="0" w:type="dxa"/>
                    <w:left w:w="105" w:type="dxa"/>
                    <w:bottom w:w="0" w:type="dxa"/>
                    <w:right w:w="105" w:type="dxa"/>
                  </w:tcMar>
                  <w:vAlign w:val="center"/>
                </w:tcPr>
                <w:p w14:paraId="15E82140">
                  <w:pPr>
                    <w:pStyle w:val="5"/>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驾车路线规划</w:t>
                  </w:r>
                </w:p>
              </w:tc>
            </w:tr>
            <w:tr w14:paraId="0254579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top w:val="single" w:color="auto" w:sz="4" w:space="0"/>
                    <w:left w:val="single" w:color="000000" w:sz="4" w:space="0"/>
                    <w:bottom w:val="single" w:color="auto" w:sz="4" w:space="0"/>
                    <w:right w:val="single" w:color="000000" w:sz="4" w:space="0"/>
                  </w:tcBorders>
                  <w:vAlign w:val="center"/>
                </w:tcPr>
                <w:p w14:paraId="2CE7869D">
                  <w:pPr>
                    <w:jc w:val="center"/>
                    <w:rPr>
                      <w:rFonts w:hint="eastAsia" w:asciiTheme="minorEastAsia" w:hAnsiTheme="minorEastAsia" w:eastAsiaTheme="minorEastAsia" w:cstheme="minorEastAsia"/>
                      <w:sz w:val="20"/>
                      <w:szCs w:val="20"/>
                    </w:rPr>
                  </w:pPr>
                </w:p>
              </w:tc>
              <w:tc>
                <w:tcPr>
                  <w:tcW w:w="1701" w:type="dxa"/>
                  <w:vMerge w:val="continue"/>
                  <w:tcBorders>
                    <w:top w:val="single" w:color="auto" w:sz="4" w:space="0"/>
                    <w:left w:val="nil"/>
                    <w:bottom w:val="single" w:color="auto" w:sz="4" w:space="0"/>
                    <w:right w:val="single" w:color="000000" w:sz="4" w:space="0"/>
                  </w:tcBorders>
                  <w:vAlign w:val="center"/>
                </w:tcPr>
                <w:p w14:paraId="196001C3">
                  <w:pPr>
                    <w:jc w:val="center"/>
                    <w:rPr>
                      <w:rFonts w:hint="eastAsia" w:asciiTheme="minorEastAsia" w:hAnsiTheme="minorEastAsia" w:eastAsiaTheme="minorEastAsia" w:cstheme="minorEastAsia"/>
                      <w:sz w:val="20"/>
                      <w:szCs w:val="20"/>
                    </w:rPr>
                  </w:pPr>
                </w:p>
              </w:tc>
              <w:tc>
                <w:tcPr>
                  <w:tcW w:w="387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30CCBB9">
                  <w:pPr>
                    <w:pStyle w:val="5"/>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步行路线规划</w:t>
                  </w:r>
                </w:p>
              </w:tc>
            </w:tr>
            <w:tr w14:paraId="7007AD0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top w:val="single" w:color="auto" w:sz="4" w:space="0"/>
                    <w:left w:val="single" w:color="000000" w:sz="4" w:space="0"/>
                    <w:bottom w:val="single" w:color="auto" w:sz="4" w:space="0"/>
                    <w:right w:val="single" w:color="000000" w:sz="4" w:space="0"/>
                  </w:tcBorders>
                  <w:vAlign w:val="center"/>
                </w:tcPr>
                <w:p w14:paraId="72DEC75D">
                  <w:pPr>
                    <w:jc w:val="center"/>
                    <w:rPr>
                      <w:rFonts w:hint="eastAsia" w:asciiTheme="minorEastAsia" w:hAnsiTheme="minorEastAsia" w:eastAsiaTheme="minorEastAsia" w:cstheme="minorEastAsia"/>
                      <w:sz w:val="20"/>
                      <w:szCs w:val="20"/>
                    </w:rPr>
                  </w:pPr>
                </w:p>
              </w:tc>
              <w:tc>
                <w:tcPr>
                  <w:tcW w:w="1701" w:type="dxa"/>
                  <w:vMerge w:val="continue"/>
                  <w:tcBorders>
                    <w:top w:val="single" w:color="auto" w:sz="4" w:space="0"/>
                    <w:left w:val="nil"/>
                    <w:bottom w:val="single" w:color="auto" w:sz="4" w:space="0"/>
                    <w:right w:val="single" w:color="000000" w:sz="4" w:space="0"/>
                  </w:tcBorders>
                  <w:vAlign w:val="center"/>
                </w:tcPr>
                <w:p w14:paraId="65A056AA">
                  <w:pPr>
                    <w:jc w:val="center"/>
                    <w:rPr>
                      <w:rFonts w:hint="eastAsia" w:asciiTheme="minorEastAsia" w:hAnsiTheme="minorEastAsia" w:eastAsiaTheme="minorEastAsia" w:cstheme="minorEastAsia"/>
                      <w:sz w:val="20"/>
                      <w:szCs w:val="20"/>
                    </w:rPr>
                  </w:pPr>
                </w:p>
              </w:tc>
              <w:tc>
                <w:tcPr>
                  <w:tcW w:w="387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7413C0A">
                  <w:pPr>
                    <w:pStyle w:val="5"/>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货车路线规划</w:t>
                  </w:r>
                </w:p>
              </w:tc>
            </w:tr>
            <w:tr w14:paraId="034168F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top w:val="single" w:color="auto" w:sz="4" w:space="0"/>
                    <w:left w:val="single" w:color="000000" w:sz="4" w:space="0"/>
                    <w:bottom w:val="single" w:color="auto" w:sz="4" w:space="0"/>
                    <w:right w:val="single" w:color="000000" w:sz="4" w:space="0"/>
                  </w:tcBorders>
                  <w:vAlign w:val="center"/>
                </w:tcPr>
                <w:p w14:paraId="376D634A">
                  <w:pPr>
                    <w:jc w:val="center"/>
                    <w:rPr>
                      <w:rFonts w:hint="eastAsia" w:asciiTheme="minorEastAsia" w:hAnsiTheme="minorEastAsia" w:eastAsiaTheme="minorEastAsia" w:cstheme="minorEastAsia"/>
                      <w:sz w:val="20"/>
                      <w:szCs w:val="20"/>
                    </w:rPr>
                  </w:pPr>
                </w:p>
              </w:tc>
              <w:tc>
                <w:tcPr>
                  <w:tcW w:w="1701" w:type="dxa"/>
                  <w:vMerge w:val="continue"/>
                  <w:tcBorders>
                    <w:top w:val="single" w:color="auto" w:sz="4" w:space="0"/>
                    <w:left w:val="nil"/>
                    <w:bottom w:val="single" w:color="auto" w:sz="4" w:space="0"/>
                    <w:right w:val="single" w:color="000000" w:sz="4" w:space="0"/>
                  </w:tcBorders>
                  <w:vAlign w:val="center"/>
                </w:tcPr>
                <w:p w14:paraId="733542DB">
                  <w:pPr>
                    <w:jc w:val="center"/>
                    <w:rPr>
                      <w:rFonts w:hint="eastAsia" w:asciiTheme="minorEastAsia" w:hAnsiTheme="minorEastAsia" w:eastAsiaTheme="minorEastAsia" w:cstheme="minorEastAsia"/>
                      <w:sz w:val="20"/>
                      <w:szCs w:val="20"/>
                    </w:rPr>
                  </w:pPr>
                </w:p>
              </w:tc>
              <w:tc>
                <w:tcPr>
                  <w:tcW w:w="387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7FA3927">
                  <w:pPr>
                    <w:pStyle w:val="5"/>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骑乘路线规划</w:t>
                  </w:r>
                </w:p>
              </w:tc>
            </w:tr>
            <w:tr w14:paraId="06B95BC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top w:val="single" w:color="auto" w:sz="4" w:space="0"/>
                    <w:left w:val="single" w:color="000000" w:sz="4" w:space="0"/>
                    <w:bottom w:val="single" w:color="auto" w:sz="4" w:space="0"/>
                    <w:right w:val="single" w:color="000000" w:sz="4" w:space="0"/>
                  </w:tcBorders>
                  <w:vAlign w:val="center"/>
                </w:tcPr>
                <w:p w14:paraId="3868DBC5">
                  <w:pPr>
                    <w:jc w:val="center"/>
                    <w:rPr>
                      <w:rFonts w:hint="eastAsia" w:asciiTheme="minorEastAsia" w:hAnsiTheme="minorEastAsia" w:eastAsiaTheme="minorEastAsia" w:cstheme="minorEastAsia"/>
                      <w:sz w:val="20"/>
                      <w:szCs w:val="20"/>
                    </w:rPr>
                  </w:pPr>
                </w:p>
              </w:tc>
              <w:tc>
                <w:tcPr>
                  <w:tcW w:w="1701" w:type="dxa"/>
                  <w:vMerge w:val="continue"/>
                  <w:tcBorders>
                    <w:top w:val="single" w:color="auto" w:sz="4" w:space="0"/>
                    <w:left w:val="nil"/>
                    <w:bottom w:val="single" w:color="auto" w:sz="4" w:space="0"/>
                    <w:right w:val="single" w:color="000000" w:sz="4" w:space="0"/>
                  </w:tcBorders>
                  <w:vAlign w:val="center"/>
                </w:tcPr>
                <w:p w14:paraId="2470D8F3">
                  <w:pPr>
                    <w:jc w:val="center"/>
                    <w:rPr>
                      <w:rFonts w:hint="eastAsia" w:asciiTheme="minorEastAsia" w:hAnsiTheme="minorEastAsia" w:eastAsiaTheme="minorEastAsia" w:cstheme="minorEastAsia"/>
                      <w:sz w:val="20"/>
                      <w:szCs w:val="20"/>
                    </w:rPr>
                  </w:pPr>
                </w:p>
              </w:tc>
              <w:tc>
                <w:tcPr>
                  <w:tcW w:w="387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94B727C">
                  <w:pPr>
                    <w:pStyle w:val="5"/>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公交路线规划</w:t>
                  </w:r>
                </w:p>
              </w:tc>
            </w:tr>
            <w:tr w14:paraId="28E21D7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restart"/>
                  <w:tcBorders>
                    <w:top w:val="single" w:color="auto" w:sz="4" w:space="0"/>
                    <w:left w:val="single" w:color="000000" w:sz="4" w:space="0"/>
                    <w:bottom w:val="single" w:color="auto" w:sz="4" w:space="0"/>
                    <w:right w:val="single" w:color="000000" w:sz="4" w:space="0"/>
                  </w:tcBorders>
                  <w:tcMar>
                    <w:top w:w="0" w:type="dxa"/>
                    <w:left w:w="105" w:type="dxa"/>
                    <w:bottom w:w="0" w:type="dxa"/>
                    <w:right w:w="105" w:type="dxa"/>
                  </w:tcMar>
                  <w:vAlign w:val="center"/>
                </w:tcPr>
                <w:p w14:paraId="3A3ADC33">
                  <w:pPr>
                    <w:pStyle w:val="5"/>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c>
                <w:tcPr>
                  <w:tcW w:w="1701" w:type="dxa"/>
                  <w:vMerge w:val="restart"/>
                  <w:tcBorders>
                    <w:top w:val="single" w:color="auto" w:sz="4" w:space="0"/>
                    <w:left w:val="nil"/>
                    <w:bottom w:val="single" w:color="auto" w:sz="4" w:space="0"/>
                    <w:right w:val="single" w:color="000000" w:sz="4" w:space="0"/>
                  </w:tcBorders>
                  <w:tcMar>
                    <w:top w:w="0" w:type="dxa"/>
                    <w:left w:w="105" w:type="dxa"/>
                    <w:bottom w:w="0" w:type="dxa"/>
                    <w:right w:w="105" w:type="dxa"/>
                  </w:tcMar>
                  <w:vAlign w:val="center"/>
                </w:tcPr>
                <w:p w14:paraId="62F77AA3">
                  <w:pPr>
                    <w:pStyle w:val="5"/>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地址类</w:t>
                  </w:r>
                </w:p>
              </w:tc>
              <w:tc>
                <w:tcPr>
                  <w:tcW w:w="387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2C2739D">
                  <w:pPr>
                    <w:pStyle w:val="5"/>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行政区划查询</w:t>
                  </w:r>
                </w:p>
              </w:tc>
            </w:tr>
            <w:tr w14:paraId="593979D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top w:val="single" w:color="auto" w:sz="4" w:space="0"/>
                    <w:left w:val="single" w:color="000000" w:sz="4" w:space="0"/>
                    <w:bottom w:val="single" w:color="auto" w:sz="4" w:space="0"/>
                    <w:right w:val="single" w:color="000000" w:sz="4" w:space="0"/>
                  </w:tcBorders>
                  <w:vAlign w:val="center"/>
                </w:tcPr>
                <w:p w14:paraId="2614E9E3">
                  <w:pPr>
                    <w:jc w:val="center"/>
                    <w:rPr>
                      <w:rFonts w:hint="eastAsia" w:asciiTheme="minorEastAsia" w:hAnsiTheme="minorEastAsia" w:eastAsiaTheme="minorEastAsia" w:cstheme="minorEastAsia"/>
                      <w:sz w:val="20"/>
                      <w:szCs w:val="20"/>
                    </w:rPr>
                  </w:pPr>
                </w:p>
              </w:tc>
              <w:tc>
                <w:tcPr>
                  <w:tcW w:w="1701" w:type="dxa"/>
                  <w:vMerge w:val="continue"/>
                  <w:tcBorders>
                    <w:top w:val="single" w:color="auto" w:sz="4" w:space="0"/>
                    <w:left w:val="nil"/>
                    <w:bottom w:val="single" w:color="auto" w:sz="4" w:space="0"/>
                    <w:right w:val="single" w:color="000000" w:sz="4" w:space="0"/>
                  </w:tcBorders>
                  <w:vAlign w:val="center"/>
                </w:tcPr>
                <w:p w14:paraId="386AF321">
                  <w:pPr>
                    <w:jc w:val="center"/>
                    <w:rPr>
                      <w:rFonts w:hint="eastAsia" w:asciiTheme="minorEastAsia" w:hAnsiTheme="minorEastAsia" w:eastAsiaTheme="minorEastAsia" w:cstheme="minorEastAsia"/>
                      <w:sz w:val="20"/>
                      <w:szCs w:val="20"/>
                    </w:rPr>
                  </w:pPr>
                </w:p>
              </w:tc>
              <w:tc>
                <w:tcPr>
                  <w:tcW w:w="387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6C9F23B">
                  <w:pPr>
                    <w:pStyle w:val="5"/>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地理编码</w:t>
                  </w:r>
                </w:p>
              </w:tc>
            </w:tr>
            <w:tr w14:paraId="01857DF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top w:val="single" w:color="auto" w:sz="4" w:space="0"/>
                    <w:left w:val="single" w:color="000000" w:sz="4" w:space="0"/>
                    <w:bottom w:val="single" w:color="auto" w:sz="4" w:space="0"/>
                    <w:right w:val="single" w:color="000000" w:sz="4" w:space="0"/>
                  </w:tcBorders>
                  <w:vAlign w:val="center"/>
                </w:tcPr>
                <w:p w14:paraId="37455E0B">
                  <w:pPr>
                    <w:jc w:val="center"/>
                    <w:rPr>
                      <w:rFonts w:hint="eastAsia" w:asciiTheme="minorEastAsia" w:hAnsiTheme="minorEastAsia" w:eastAsiaTheme="minorEastAsia" w:cstheme="minorEastAsia"/>
                      <w:sz w:val="20"/>
                      <w:szCs w:val="20"/>
                    </w:rPr>
                  </w:pPr>
                </w:p>
              </w:tc>
              <w:tc>
                <w:tcPr>
                  <w:tcW w:w="1701" w:type="dxa"/>
                  <w:vMerge w:val="continue"/>
                  <w:tcBorders>
                    <w:top w:val="single" w:color="auto" w:sz="4" w:space="0"/>
                    <w:left w:val="nil"/>
                    <w:bottom w:val="single" w:color="auto" w:sz="4" w:space="0"/>
                    <w:right w:val="single" w:color="000000" w:sz="4" w:space="0"/>
                  </w:tcBorders>
                  <w:vAlign w:val="center"/>
                </w:tcPr>
                <w:p w14:paraId="3278EE22">
                  <w:pPr>
                    <w:jc w:val="center"/>
                    <w:rPr>
                      <w:rFonts w:hint="eastAsia" w:asciiTheme="minorEastAsia" w:hAnsiTheme="minorEastAsia" w:eastAsiaTheme="minorEastAsia" w:cstheme="minorEastAsia"/>
                      <w:sz w:val="20"/>
                      <w:szCs w:val="20"/>
                    </w:rPr>
                  </w:pPr>
                </w:p>
              </w:tc>
              <w:tc>
                <w:tcPr>
                  <w:tcW w:w="387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C5A043A">
                  <w:pPr>
                    <w:pStyle w:val="5"/>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逆地理编码</w:t>
                  </w:r>
                </w:p>
              </w:tc>
            </w:tr>
            <w:tr w14:paraId="1A59EC1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top w:val="single" w:color="auto" w:sz="4" w:space="0"/>
                    <w:left w:val="single" w:color="000000" w:sz="4" w:space="0"/>
                    <w:bottom w:val="single" w:color="auto" w:sz="4" w:space="0"/>
                    <w:right w:val="single" w:color="000000" w:sz="4" w:space="0"/>
                  </w:tcBorders>
                  <w:vAlign w:val="center"/>
                </w:tcPr>
                <w:p w14:paraId="54EAD23F">
                  <w:pPr>
                    <w:jc w:val="center"/>
                    <w:rPr>
                      <w:rFonts w:hint="eastAsia" w:asciiTheme="minorEastAsia" w:hAnsiTheme="minorEastAsia" w:eastAsiaTheme="minorEastAsia" w:cstheme="minorEastAsia"/>
                      <w:sz w:val="20"/>
                      <w:szCs w:val="20"/>
                    </w:rPr>
                  </w:pPr>
                </w:p>
              </w:tc>
              <w:tc>
                <w:tcPr>
                  <w:tcW w:w="1701" w:type="dxa"/>
                  <w:vMerge w:val="continue"/>
                  <w:tcBorders>
                    <w:top w:val="single" w:color="auto" w:sz="4" w:space="0"/>
                    <w:left w:val="nil"/>
                    <w:bottom w:val="single" w:color="auto" w:sz="4" w:space="0"/>
                    <w:right w:val="single" w:color="000000" w:sz="4" w:space="0"/>
                  </w:tcBorders>
                  <w:vAlign w:val="center"/>
                </w:tcPr>
                <w:p w14:paraId="2E606B6E">
                  <w:pPr>
                    <w:jc w:val="center"/>
                    <w:rPr>
                      <w:rFonts w:hint="eastAsia" w:asciiTheme="minorEastAsia" w:hAnsiTheme="minorEastAsia" w:eastAsiaTheme="minorEastAsia" w:cstheme="minorEastAsia"/>
                      <w:sz w:val="20"/>
                      <w:szCs w:val="20"/>
                    </w:rPr>
                  </w:pPr>
                </w:p>
              </w:tc>
              <w:tc>
                <w:tcPr>
                  <w:tcW w:w="387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121AC7C">
                  <w:pPr>
                    <w:pStyle w:val="5"/>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坐标转换</w:t>
                  </w:r>
                </w:p>
              </w:tc>
            </w:tr>
            <w:tr w14:paraId="2FFA0D4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restart"/>
                  <w:tcBorders>
                    <w:top w:val="single" w:color="auto" w:sz="4" w:space="0"/>
                    <w:left w:val="single" w:color="000000" w:sz="4" w:space="0"/>
                    <w:bottom w:val="single" w:color="auto" w:sz="4" w:space="0"/>
                    <w:right w:val="single" w:color="000000" w:sz="4" w:space="0"/>
                  </w:tcBorders>
                  <w:tcMar>
                    <w:top w:w="0" w:type="dxa"/>
                    <w:left w:w="105" w:type="dxa"/>
                    <w:bottom w:w="0" w:type="dxa"/>
                    <w:right w:w="105" w:type="dxa"/>
                  </w:tcMar>
                  <w:vAlign w:val="center"/>
                </w:tcPr>
                <w:p w14:paraId="0F7FFCC3">
                  <w:pPr>
                    <w:pStyle w:val="5"/>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w:t>
                  </w:r>
                </w:p>
              </w:tc>
              <w:tc>
                <w:tcPr>
                  <w:tcW w:w="1701" w:type="dxa"/>
                  <w:vMerge w:val="restart"/>
                  <w:tcBorders>
                    <w:top w:val="single" w:color="auto" w:sz="4" w:space="0"/>
                    <w:left w:val="nil"/>
                    <w:bottom w:val="single" w:color="auto" w:sz="4" w:space="0"/>
                    <w:right w:val="single" w:color="000000" w:sz="4" w:space="0"/>
                  </w:tcBorders>
                  <w:tcMar>
                    <w:top w:w="0" w:type="dxa"/>
                    <w:left w:w="105" w:type="dxa"/>
                    <w:bottom w:w="0" w:type="dxa"/>
                    <w:right w:w="105" w:type="dxa"/>
                  </w:tcMar>
                  <w:vAlign w:val="center"/>
                </w:tcPr>
                <w:p w14:paraId="4114416F">
                  <w:pPr>
                    <w:pStyle w:val="5"/>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地图与定位类</w:t>
                  </w:r>
                </w:p>
              </w:tc>
              <w:tc>
                <w:tcPr>
                  <w:tcW w:w="387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54FC351">
                  <w:pPr>
                    <w:pStyle w:val="5"/>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坐标转换</w:t>
                  </w:r>
                </w:p>
              </w:tc>
            </w:tr>
            <w:tr w14:paraId="07FD7F7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left w:val="single" w:color="000000" w:sz="4" w:space="0"/>
                    <w:right w:val="single" w:color="000000" w:sz="4" w:space="0"/>
                  </w:tcBorders>
                  <w:tcMar>
                    <w:top w:w="0" w:type="dxa"/>
                    <w:left w:w="105" w:type="dxa"/>
                    <w:bottom w:w="0" w:type="dxa"/>
                    <w:right w:w="105" w:type="dxa"/>
                  </w:tcMar>
                  <w:vAlign w:val="center"/>
                </w:tcPr>
                <w:p w14:paraId="51DE1ABE">
                  <w:pPr>
                    <w:pStyle w:val="5"/>
                    <w:jc w:val="center"/>
                    <w:rPr>
                      <w:rFonts w:hint="eastAsia" w:asciiTheme="minorEastAsia" w:hAnsiTheme="minorEastAsia" w:eastAsiaTheme="minorEastAsia" w:cstheme="minorEastAsia"/>
                      <w:sz w:val="20"/>
                      <w:szCs w:val="20"/>
                    </w:rPr>
                  </w:pPr>
                </w:p>
              </w:tc>
              <w:tc>
                <w:tcPr>
                  <w:tcW w:w="1701" w:type="dxa"/>
                  <w:vMerge w:val="continue"/>
                  <w:tcBorders>
                    <w:left w:val="nil"/>
                    <w:right w:val="single" w:color="000000" w:sz="4" w:space="0"/>
                  </w:tcBorders>
                  <w:tcMar>
                    <w:top w:w="0" w:type="dxa"/>
                    <w:left w:w="105" w:type="dxa"/>
                    <w:bottom w:w="0" w:type="dxa"/>
                    <w:right w:w="105" w:type="dxa"/>
                  </w:tcMar>
                  <w:vAlign w:val="center"/>
                </w:tcPr>
                <w:p w14:paraId="4954CE04">
                  <w:pPr>
                    <w:pStyle w:val="5"/>
                    <w:jc w:val="center"/>
                    <w:rPr>
                      <w:rFonts w:hint="eastAsia" w:asciiTheme="minorEastAsia" w:hAnsiTheme="minorEastAsia" w:eastAsiaTheme="minorEastAsia" w:cstheme="minorEastAsia"/>
                      <w:sz w:val="20"/>
                      <w:szCs w:val="20"/>
                    </w:rPr>
                  </w:pPr>
                </w:p>
              </w:tc>
              <w:tc>
                <w:tcPr>
                  <w:tcW w:w="387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3201AA8">
                  <w:pPr>
                    <w:pStyle w:val="5"/>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行政区域查询</w:t>
                  </w:r>
                </w:p>
              </w:tc>
            </w:tr>
            <w:tr w14:paraId="1C9C118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left w:val="single" w:color="000000" w:sz="4" w:space="0"/>
                    <w:right w:val="single" w:color="000000" w:sz="4" w:space="0"/>
                  </w:tcBorders>
                  <w:tcMar>
                    <w:top w:w="0" w:type="dxa"/>
                    <w:left w:w="105" w:type="dxa"/>
                    <w:bottom w:w="0" w:type="dxa"/>
                    <w:right w:w="105" w:type="dxa"/>
                  </w:tcMar>
                  <w:vAlign w:val="center"/>
                </w:tcPr>
                <w:p w14:paraId="3EDF6126">
                  <w:pPr>
                    <w:pStyle w:val="5"/>
                    <w:jc w:val="center"/>
                    <w:rPr>
                      <w:rFonts w:hint="eastAsia" w:asciiTheme="minorEastAsia" w:hAnsiTheme="minorEastAsia" w:eastAsiaTheme="minorEastAsia" w:cstheme="minorEastAsia"/>
                      <w:sz w:val="20"/>
                      <w:szCs w:val="20"/>
                    </w:rPr>
                  </w:pPr>
                </w:p>
              </w:tc>
              <w:tc>
                <w:tcPr>
                  <w:tcW w:w="1701" w:type="dxa"/>
                  <w:vMerge w:val="continue"/>
                  <w:tcBorders>
                    <w:left w:val="nil"/>
                    <w:right w:val="single" w:color="000000" w:sz="4" w:space="0"/>
                  </w:tcBorders>
                  <w:tcMar>
                    <w:top w:w="0" w:type="dxa"/>
                    <w:left w:w="105" w:type="dxa"/>
                    <w:bottom w:w="0" w:type="dxa"/>
                    <w:right w:w="105" w:type="dxa"/>
                  </w:tcMar>
                  <w:vAlign w:val="center"/>
                </w:tcPr>
                <w:p w14:paraId="699E47F3">
                  <w:pPr>
                    <w:pStyle w:val="5"/>
                    <w:jc w:val="center"/>
                    <w:rPr>
                      <w:rFonts w:hint="eastAsia" w:asciiTheme="minorEastAsia" w:hAnsiTheme="minorEastAsia" w:eastAsiaTheme="minorEastAsia" w:cstheme="minorEastAsia"/>
                      <w:sz w:val="20"/>
                      <w:szCs w:val="20"/>
                    </w:rPr>
                  </w:pPr>
                </w:p>
              </w:tc>
              <w:tc>
                <w:tcPr>
                  <w:tcW w:w="387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A48199A">
                  <w:pPr>
                    <w:pStyle w:val="5"/>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地理编码</w:t>
                  </w:r>
                </w:p>
              </w:tc>
            </w:tr>
            <w:tr w14:paraId="789F4E4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left w:val="single" w:color="000000" w:sz="4" w:space="0"/>
                    <w:right w:val="single" w:color="000000" w:sz="4" w:space="0"/>
                  </w:tcBorders>
                  <w:tcMar>
                    <w:top w:w="0" w:type="dxa"/>
                    <w:left w:w="105" w:type="dxa"/>
                    <w:bottom w:w="0" w:type="dxa"/>
                    <w:right w:w="105" w:type="dxa"/>
                  </w:tcMar>
                  <w:vAlign w:val="center"/>
                </w:tcPr>
                <w:p w14:paraId="03A9B5FC">
                  <w:pPr>
                    <w:pStyle w:val="5"/>
                    <w:jc w:val="center"/>
                    <w:rPr>
                      <w:rFonts w:hint="eastAsia" w:asciiTheme="minorEastAsia" w:hAnsiTheme="minorEastAsia" w:eastAsiaTheme="minorEastAsia" w:cstheme="minorEastAsia"/>
                      <w:sz w:val="20"/>
                      <w:szCs w:val="20"/>
                    </w:rPr>
                  </w:pPr>
                </w:p>
              </w:tc>
              <w:tc>
                <w:tcPr>
                  <w:tcW w:w="1701" w:type="dxa"/>
                  <w:vMerge w:val="continue"/>
                  <w:tcBorders>
                    <w:left w:val="nil"/>
                    <w:right w:val="single" w:color="000000" w:sz="4" w:space="0"/>
                  </w:tcBorders>
                  <w:tcMar>
                    <w:top w:w="0" w:type="dxa"/>
                    <w:left w:w="105" w:type="dxa"/>
                    <w:bottom w:w="0" w:type="dxa"/>
                    <w:right w:w="105" w:type="dxa"/>
                  </w:tcMar>
                  <w:vAlign w:val="center"/>
                </w:tcPr>
                <w:p w14:paraId="0B3BD86A">
                  <w:pPr>
                    <w:pStyle w:val="5"/>
                    <w:jc w:val="center"/>
                    <w:rPr>
                      <w:rFonts w:hint="eastAsia" w:asciiTheme="minorEastAsia" w:hAnsiTheme="minorEastAsia" w:eastAsiaTheme="minorEastAsia" w:cstheme="minorEastAsia"/>
                      <w:sz w:val="20"/>
                      <w:szCs w:val="20"/>
                    </w:rPr>
                  </w:pPr>
                </w:p>
              </w:tc>
              <w:tc>
                <w:tcPr>
                  <w:tcW w:w="387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EDE0537">
                  <w:pPr>
                    <w:pStyle w:val="5"/>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逆地理编码</w:t>
                  </w:r>
                </w:p>
              </w:tc>
            </w:tr>
            <w:tr w14:paraId="70A6837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left w:val="single" w:color="000000" w:sz="4" w:space="0"/>
                    <w:right w:val="single" w:color="000000" w:sz="4" w:space="0"/>
                  </w:tcBorders>
                  <w:tcMar>
                    <w:top w:w="0" w:type="dxa"/>
                    <w:left w:w="105" w:type="dxa"/>
                    <w:bottom w:w="0" w:type="dxa"/>
                    <w:right w:w="105" w:type="dxa"/>
                  </w:tcMar>
                  <w:vAlign w:val="center"/>
                </w:tcPr>
                <w:p w14:paraId="1E6FB4F9">
                  <w:pPr>
                    <w:pStyle w:val="5"/>
                    <w:jc w:val="center"/>
                    <w:rPr>
                      <w:rFonts w:hint="eastAsia" w:asciiTheme="minorEastAsia" w:hAnsiTheme="minorEastAsia" w:eastAsiaTheme="minorEastAsia" w:cstheme="minorEastAsia"/>
                      <w:sz w:val="20"/>
                      <w:szCs w:val="20"/>
                    </w:rPr>
                  </w:pPr>
                </w:p>
              </w:tc>
              <w:tc>
                <w:tcPr>
                  <w:tcW w:w="1701" w:type="dxa"/>
                  <w:vMerge w:val="continue"/>
                  <w:tcBorders>
                    <w:left w:val="nil"/>
                    <w:right w:val="single" w:color="000000" w:sz="4" w:space="0"/>
                  </w:tcBorders>
                  <w:tcMar>
                    <w:top w:w="0" w:type="dxa"/>
                    <w:left w:w="105" w:type="dxa"/>
                    <w:bottom w:w="0" w:type="dxa"/>
                    <w:right w:w="105" w:type="dxa"/>
                  </w:tcMar>
                  <w:vAlign w:val="center"/>
                </w:tcPr>
                <w:p w14:paraId="03F32FDB">
                  <w:pPr>
                    <w:pStyle w:val="5"/>
                    <w:jc w:val="center"/>
                    <w:rPr>
                      <w:rFonts w:hint="eastAsia" w:asciiTheme="minorEastAsia" w:hAnsiTheme="minorEastAsia" w:eastAsiaTheme="minorEastAsia" w:cstheme="minorEastAsia"/>
                      <w:sz w:val="20"/>
                      <w:szCs w:val="20"/>
                    </w:rPr>
                  </w:pPr>
                </w:p>
              </w:tc>
              <w:tc>
                <w:tcPr>
                  <w:tcW w:w="387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9A7C4B9">
                  <w:pPr>
                    <w:pStyle w:val="5"/>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IP定位</w:t>
                  </w:r>
                </w:p>
              </w:tc>
            </w:tr>
            <w:tr w14:paraId="3FD4AA5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top w:val="single" w:color="auto" w:sz="4" w:space="0"/>
                    <w:left w:val="single" w:color="000000" w:sz="4" w:space="0"/>
                    <w:bottom w:val="single" w:color="auto" w:sz="4" w:space="0"/>
                    <w:right w:val="single" w:color="000000" w:sz="4" w:space="0"/>
                  </w:tcBorders>
                  <w:vAlign w:val="center"/>
                </w:tcPr>
                <w:p w14:paraId="1252B6E7">
                  <w:pPr>
                    <w:jc w:val="center"/>
                    <w:rPr>
                      <w:rFonts w:hint="eastAsia" w:asciiTheme="minorEastAsia" w:hAnsiTheme="minorEastAsia" w:eastAsiaTheme="minorEastAsia" w:cstheme="minorEastAsia"/>
                      <w:sz w:val="20"/>
                      <w:szCs w:val="20"/>
                    </w:rPr>
                  </w:pPr>
                </w:p>
              </w:tc>
              <w:tc>
                <w:tcPr>
                  <w:tcW w:w="1701" w:type="dxa"/>
                  <w:vMerge w:val="continue"/>
                  <w:tcBorders>
                    <w:top w:val="single" w:color="auto" w:sz="4" w:space="0"/>
                    <w:left w:val="nil"/>
                    <w:bottom w:val="single" w:color="auto" w:sz="4" w:space="0"/>
                    <w:right w:val="single" w:color="000000" w:sz="4" w:space="0"/>
                  </w:tcBorders>
                  <w:vAlign w:val="center"/>
                </w:tcPr>
                <w:p w14:paraId="1F708798">
                  <w:pPr>
                    <w:jc w:val="center"/>
                    <w:rPr>
                      <w:rFonts w:hint="eastAsia" w:asciiTheme="minorEastAsia" w:hAnsiTheme="minorEastAsia" w:eastAsiaTheme="minorEastAsia" w:cstheme="minorEastAsia"/>
                      <w:sz w:val="20"/>
                      <w:szCs w:val="20"/>
                    </w:rPr>
                  </w:pPr>
                </w:p>
              </w:tc>
              <w:tc>
                <w:tcPr>
                  <w:tcW w:w="3872" w:type="dxa"/>
                  <w:tcBorders>
                    <w:top w:val="nil"/>
                    <w:left w:val="nil"/>
                    <w:bottom w:val="single" w:color="auto" w:sz="4" w:space="0"/>
                    <w:right w:val="single" w:color="000000" w:sz="4" w:space="0"/>
                  </w:tcBorders>
                  <w:tcMar>
                    <w:top w:w="0" w:type="dxa"/>
                    <w:left w:w="105" w:type="dxa"/>
                    <w:bottom w:w="0" w:type="dxa"/>
                    <w:right w:w="105" w:type="dxa"/>
                  </w:tcMar>
                  <w:vAlign w:val="center"/>
                </w:tcPr>
                <w:p w14:paraId="0DB184DC">
                  <w:pPr>
                    <w:pStyle w:val="5"/>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静态地图</w:t>
                  </w:r>
                </w:p>
              </w:tc>
            </w:tr>
            <w:tr w14:paraId="315EA39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tcBorders>
                    <w:top w:val="single" w:color="auto" w:sz="4" w:space="0"/>
                    <w:left w:val="single" w:color="000000" w:sz="4" w:space="0"/>
                    <w:bottom w:val="single" w:color="auto" w:sz="4" w:space="0"/>
                    <w:right w:val="single" w:color="000000" w:sz="4" w:space="0"/>
                  </w:tcBorders>
                  <w:vAlign w:val="center"/>
                </w:tcPr>
                <w:p w14:paraId="3098C4A3">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w:t>
                  </w:r>
                </w:p>
              </w:tc>
              <w:tc>
                <w:tcPr>
                  <w:tcW w:w="1701" w:type="dxa"/>
                  <w:tcBorders>
                    <w:top w:val="single" w:color="auto" w:sz="4" w:space="0"/>
                    <w:left w:val="nil"/>
                    <w:bottom w:val="single" w:color="auto" w:sz="4" w:space="0"/>
                    <w:right w:val="single" w:color="000000" w:sz="4" w:space="0"/>
                  </w:tcBorders>
                  <w:vAlign w:val="center"/>
                </w:tcPr>
                <w:p w14:paraId="58395773">
                  <w:pPr>
                    <w:pStyle w:val="5"/>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其他</w:t>
                  </w:r>
                </w:p>
              </w:tc>
              <w:tc>
                <w:tcPr>
                  <w:tcW w:w="3872" w:type="dxa"/>
                  <w:tcBorders>
                    <w:top w:val="single" w:color="auto" w:sz="4" w:space="0"/>
                    <w:left w:val="nil"/>
                    <w:bottom w:val="single" w:color="000000" w:sz="4" w:space="0"/>
                    <w:right w:val="single" w:color="000000" w:sz="4" w:space="0"/>
                  </w:tcBorders>
                  <w:tcMar>
                    <w:top w:w="0" w:type="dxa"/>
                    <w:left w:w="105" w:type="dxa"/>
                    <w:bottom w:w="0" w:type="dxa"/>
                    <w:right w:w="105" w:type="dxa"/>
                  </w:tcMar>
                  <w:vAlign w:val="center"/>
                </w:tcPr>
                <w:p w14:paraId="21CD0416">
                  <w:pPr>
                    <w:pStyle w:val="5"/>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天气、智能硬件定位</w:t>
                  </w:r>
                </w:p>
              </w:tc>
            </w:tr>
          </w:tbl>
          <w:p w14:paraId="6B06D178">
            <w:pPr>
              <w:pStyle w:val="5"/>
              <w:spacing w:before="135"/>
            </w:pPr>
            <w:r>
              <w:rPr>
                <w:b/>
                <w:sz w:val="21"/>
              </w:rPr>
              <w:t>五、供应商提供的资料内容如下：</w:t>
            </w:r>
          </w:p>
          <w:tbl>
            <w:tblPr>
              <w:tblStyle w:val="3"/>
              <w:tblW w:w="0" w:type="auto"/>
              <w:tblInd w:w="1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89"/>
              <w:gridCol w:w="1875"/>
              <w:gridCol w:w="818"/>
              <w:gridCol w:w="2864"/>
            </w:tblGrid>
            <w:tr w14:paraId="0C2A497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CA3C87C">
                  <w:pPr>
                    <w:pStyle w:val="5"/>
                    <w:jc w:val="center"/>
                  </w:pPr>
                  <w:r>
                    <w:rPr>
                      <w:b/>
                      <w:sz w:val="19"/>
                    </w:rPr>
                    <w:t>序号</w:t>
                  </w:r>
                </w:p>
              </w:tc>
              <w:tc>
                <w:tcPr>
                  <w:tcW w:w="187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45CA89C">
                  <w:pPr>
                    <w:pStyle w:val="5"/>
                    <w:jc w:val="center"/>
                  </w:pPr>
                  <w:r>
                    <w:rPr>
                      <w:b/>
                      <w:sz w:val="19"/>
                    </w:rPr>
                    <w:t>文件名称</w:t>
                  </w:r>
                </w:p>
              </w:tc>
              <w:tc>
                <w:tcPr>
                  <w:tcW w:w="81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47233D4">
                  <w:pPr>
                    <w:pStyle w:val="5"/>
                    <w:jc w:val="center"/>
                  </w:pPr>
                  <w:r>
                    <w:rPr>
                      <w:b/>
                      <w:color w:val="000000"/>
                      <w:sz w:val="20"/>
                    </w:rPr>
                    <w:t>数量</w:t>
                  </w:r>
                </w:p>
              </w:tc>
              <w:tc>
                <w:tcPr>
                  <w:tcW w:w="286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DB1D7F8">
                  <w:pPr>
                    <w:pStyle w:val="5"/>
                    <w:jc w:val="center"/>
                  </w:pPr>
                  <w:r>
                    <w:rPr>
                      <w:b/>
                      <w:color w:val="000000"/>
                      <w:sz w:val="20"/>
                    </w:rPr>
                    <w:t>备注</w:t>
                  </w:r>
                </w:p>
              </w:tc>
            </w:tr>
            <w:tr w14:paraId="7EB9630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FA50CF">
                  <w:pPr>
                    <w:pStyle w:val="5"/>
                    <w:jc w:val="center"/>
                  </w:pPr>
                  <w:r>
                    <w:rPr>
                      <w:sz w:val="21"/>
                    </w:rPr>
                    <w:t>1</w:t>
                  </w:r>
                </w:p>
              </w:tc>
              <w:tc>
                <w:tcPr>
                  <w:tcW w:w="18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63ED7C">
                  <w:pPr>
                    <w:pStyle w:val="5"/>
                    <w:jc w:val="center"/>
                  </w:pPr>
                  <w:r>
                    <w:rPr>
                      <w:sz w:val="19"/>
                    </w:rPr>
                    <w:t>佛山交通路况运行数据</w:t>
                  </w:r>
                </w:p>
              </w:tc>
              <w:tc>
                <w:tcPr>
                  <w:tcW w:w="8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B85CB6">
                  <w:pPr>
                    <w:pStyle w:val="5"/>
                    <w:jc w:val="center"/>
                  </w:pPr>
                  <w:r>
                    <w:rPr>
                      <w:sz w:val="19"/>
                    </w:rPr>
                    <w:t>1年</w:t>
                  </w:r>
                </w:p>
              </w:tc>
              <w:tc>
                <w:tcPr>
                  <w:tcW w:w="28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8B4A76">
                  <w:pPr>
                    <w:pStyle w:val="5"/>
                    <w:rPr>
                      <w:rFonts w:hint="eastAsia" w:eastAsiaTheme="minorEastAsia"/>
                      <w:sz w:val="19"/>
                      <w:lang w:eastAsia="zh-CN"/>
                    </w:rPr>
                  </w:pPr>
                  <w:r>
                    <w:rPr>
                      <w:rFonts w:hint="eastAsia" w:asciiTheme="minorEastAsia" w:hAnsiTheme="minorEastAsia" w:eastAsiaTheme="minorEastAsia" w:cstheme="minorEastAsia"/>
                    </w:rPr>
                    <w:t>本项目建设所得的数据资源，将统一编码、入库、存储于市政务云资源上，并按要求进行编目、交换和共享，以支撑佛山市政务中台及“一网统管”专题建设和应用相关工作</w:t>
                  </w:r>
                  <w:r>
                    <w:rPr>
                      <w:rFonts w:hint="eastAsia" w:asciiTheme="minorEastAsia" w:hAnsiTheme="minorEastAsia" w:cstheme="minorEastAsia"/>
                      <w:lang w:eastAsia="zh-CN"/>
                    </w:rPr>
                    <w:t>。</w:t>
                  </w:r>
                </w:p>
              </w:tc>
            </w:tr>
            <w:tr w14:paraId="4FABAAC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C46571">
                  <w:pPr>
                    <w:pStyle w:val="5"/>
                    <w:jc w:val="center"/>
                  </w:pPr>
                  <w:r>
                    <w:rPr>
                      <w:sz w:val="21"/>
                    </w:rPr>
                    <w:t>2</w:t>
                  </w:r>
                </w:p>
              </w:tc>
              <w:tc>
                <w:tcPr>
                  <w:tcW w:w="18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40D842">
                  <w:pPr>
                    <w:pStyle w:val="5"/>
                    <w:jc w:val="center"/>
                    <w:rPr>
                      <w:rFonts w:hint="eastAsia" w:eastAsiaTheme="minorEastAsia"/>
                      <w:lang w:val="en-US" w:eastAsia="zh-CN"/>
                    </w:rPr>
                  </w:pPr>
                  <w:r>
                    <w:rPr>
                      <w:sz w:val="19"/>
                    </w:rPr>
                    <w:t>城市交通路况运行分析</w:t>
                  </w:r>
                  <w:r>
                    <w:rPr>
                      <w:rFonts w:hint="eastAsia"/>
                      <w:sz w:val="19"/>
                      <w:lang w:val="en-US" w:eastAsia="zh-CN"/>
                    </w:rPr>
                    <w:t>报告</w:t>
                  </w:r>
                </w:p>
              </w:tc>
              <w:tc>
                <w:tcPr>
                  <w:tcW w:w="8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B54D9B">
                  <w:pPr>
                    <w:pStyle w:val="5"/>
                    <w:jc w:val="center"/>
                  </w:pPr>
                  <w:r>
                    <w:rPr>
                      <w:sz w:val="19"/>
                    </w:rPr>
                    <w:t>1份</w:t>
                  </w:r>
                </w:p>
              </w:tc>
              <w:tc>
                <w:tcPr>
                  <w:tcW w:w="28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D361C1">
                  <w:pPr>
                    <w:pStyle w:val="5"/>
                  </w:pPr>
                </w:p>
              </w:tc>
            </w:tr>
            <w:tr w14:paraId="49B6C2C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A2C744">
                  <w:pPr>
                    <w:pStyle w:val="5"/>
                    <w:jc w:val="center"/>
                  </w:pPr>
                  <w:r>
                    <w:rPr>
                      <w:sz w:val="21"/>
                    </w:rPr>
                    <w:t>3</w:t>
                  </w:r>
                </w:p>
              </w:tc>
              <w:tc>
                <w:tcPr>
                  <w:tcW w:w="18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D8364E">
                  <w:pPr>
                    <w:pStyle w:val="5"/>
                    <w:jc w:val="center"/>
                  </w:pPr>
                  <w:r>
                    <w:rPr>
                      <w:sz w:val="19"/>
                    </w:rPr>
                    <w:t>轨迹管理地图接口文档</w:t>
                  </w:r>
                </w:p>
              </w:tc>
              <w:tc>
                <w:tcPr>
                  <w:tcW w:w="8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651F72">
                  <w:pPr>
                    <w:pStyle w:val="5"/>
                    <w:jc w:val="center"/>
                  </w:pPr>
                  <w:r>
                    <w:rPr>
                      <w:sz w:val="19"/>
                    </w:rPr>
                    <w:t>1份</w:t>
                  </w:r>
                </w:p>
              </w:tc>
              <w:tc>
                <w:tcPr>
                  <w:tcW w:w="28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D5662E">
                  <w:pPr>
                    <w:pStyle w:val="5"/>
                  </w:pPr>
                </w:p>
              </w:tc>
            </w:tr>
          </w:tbl>
          <w:p w14:paraId="500E3151">
            <w:pPr>
              <w:pStyle w:val="5"/>
              <w:spacing w:before="135"/>
            </w:pPr>
            <w:r>
              <w:rPr>
                <w:b/>
                <w:sz w:val="21"/>
              </w:rPr>
              <w:t>六、技术与规范要求</w:t>
            </w:r>
          </w:p>
          <w:p w14:paraId="6DA1786B">
            <w:pPr>
              <w:pStyle w:val="5"/>
              <w:jc w:val="left"/>
              <w:rPr>
                <w:rFonts w:hint="eastAsia"/>
                <w:sz w:val="21"/>
              </w:rPr>
            </w:pPr>
            <w:r>
              <w:rPr>
                <w:rFonts w:hint="eastAsia"/>
                <w:sz w:val="21"/>
              </w:rPr>
              <w:t>本项目的建设方案主要依据如下：</w:t>
            </w:r>
          </w:p>
          <w:p w14:paraId="7B00FBEA">
            <w:pPr>
              <w:pStyle w:val="5"/>
              <w:jc w:val="left"/>
              <w:rPr>
                <w:rFonts w:hint="eastAsia"/>
                <w:sz w:val="21"/>
              </w:rPr>
            </w:pPr>
            <w:r>
              <w:rPr>
                <w:rFonts w:hint="eastAsia"/>
                <w:sz w:val="21"/>
              </w:rPr>
              <w:t>1.《中华人民共和国道路交通安全法》</w:t>
            </w:r>
          </w:p>
          <w:p w14:paraId="4380D2F0">
            <w:pPr>
              <w:pStyle w:val="5"/>
              <w:jc w:val="left"/>
              <w:rPr>
                <w:rFonts w:hint="eastAsia"/>
                <w:sz w:val="21"/>
              </w:rPr>
            </w:pPr>
            <w:r>
              <w:rPr>
                <w:rFonts w:hint="eastAsia"/>
                <w:sz w:val="21"/>
              </w:rPr>
              <w:t>2.《中华人民共和国道路交通安全法实施条例》</w:t>
            </w:r>
          </w:p>
          <w:p w14:paraId="429623F8">
            <w:pPr>
              <w:pStyle w:val="5"/>
              <w:jc w:val="left"/>
              <w:rPr>
                <w:rFonts w:hint="eastAsia"/>
                <w:sz w:val="21"/>
              </w:rPr>
            </w:pPr>
            <w:r>
              <w:rPr>
                <w:rFonts w:hint="eastAsia"/>
                <w:sz w:val="21"/>
              </w:rPr>
              <w:t>3.《城市道路交通管理评价指标体系》</w:t>
            </w:r>
          </w:p>
          <w:p w14:paraId="35FF6750">
            <w:pPr>
              <w:pStyle w:val="5"/>
              <w:jc w:val="left"/>
              <w:rPr>
                <w:rFonts w:hint="eastAsia"/>
                <w:sz w:val="21"/>
              </w:rPr>
            </w:pPr>
            <w:r>
              <w:rPr>
                <w:rFonts w:hint="eastAsia"/>
                <w:sz w:val="21"/>
              </w:rPr>
              <w:t>4.《城市综合交通体系规划标准》（GB/T51328-2018）</w:t>
            </w:r>
          </w:p>
          <w:p w14:paraId="3C3DBDAC">
            <w:pPr>
              <w:pStyle w:val="5"/>
              <w:jc w:val="left"/>
              <w:rPr>
                <w:rFonts w:hint="eastAsia"/>
                <w:sz w:val="21"/>
              </w:rPr>
            </w:pPr>
            <w:r>
              <w:rPr>
                <w:rFonts w:hint="eastAsia"/>
                <w:sz w:val="21"/>
              </w:rPr>
              <w:t>5.《城市公共交通水平评价指标体系》（GB/35654-2017）</w:t>
            </w:r>
          </w:p>
          <w:p w14:paraId="6D3F44C9">
            <w:pPr>
              <w:pStyle w:val="5"/>
              <w:jc w:val="left"/>
              <w:rPr>
                <w:rFonts w:hint="eastAsia"/>
                <w:sz w:val="21"/>
              </w:rPr>
            </w:pPr>
            <w:r>
              <w:rPr>
                <w:rFonts w:hint="eastAsia"/>
                <w:sz w:val="21"/>
              </w:rPr>
              <w:t>6.《城市道路单向交通组织原则》（GA/T 486-2015）</w:t>
            </w:r>
          </w:p>
          <w:p w14:paraId="29CB9084">
            <w:pPr>
              <w:pStyle w:val="5"/>
              <w:jc w:val="left"/>
              <w:rPr>
                <w:rFonts w:hint="eastAsia"/>
                <w:sz w:val="21"/>
              </w:rPr>
            </w:pPr>
            <w:r>
              <w:rPr>
                <w:rFonts w:hint="eastAsia"/>
                <w:sz w:val="21"/>
              </w:rPr>
              <w:t>7.《城市道路交通组织设计规范》（GB/T 36670-2018）</w:t>
            </w:r>
          </w:p>
          <w:p w14:paraId="513591C0">
            <w:pPr>
              <w:pStyle w:val="5"/>
              <w:jc w:val="left"/>
              <w:rPr>
                <w:rFonts w:hint="eastAsia"/>
                <w:sz w:val="21"/>
              </w:rPr>
            </w:pPr>
            <w:r>
              <w:rPr>
                <w:rFonts w:hint="eastAsia"/>
                <w:sz w:val="21"/>
              </w:rPr>
              <w:t>8.《城市综合交通调查技术标准》（GB/T 51334-2018）</w:t>
            </w:r>
          </w:p>
          <w:p w14:paraId="54709D1F">
            <w:pPr>
              <w:pStyle w:val="5"/>
              <w:jc w:val="left"/>
              <w:rPr>
                <w:rFonts w:hint="eastAsia"/>
                <w:sz w:val="21"/>
              </w:rPr>
            </w:pPr>
            <w:r>
              <w:rPr>
                <w:rFonts w:hint="eastAsia"/>
                <w:sz w:val="21"/>
              </w:rPr>
              <w:t>9.《道路交通拥堵度评价方法》（公安部）（GA/T 115-2020）</w:t>
            </w:r>
          </w:p>
          <w:p w14:paraId="31536D01">
            <w:pPr>
              <w:pStyle w:val="5"/>
              <w:jc w:val="left"/>
              <w:rPr>
                <w:rFonts w:hint="eastAsia"/>
                <w:sz w:val="21"/>
              </w:rPr>
            </w:pPr>
            <w:r>
              <w:rPr>
                <w:rFonts w:hint="eastAsia"/>
                <w:sz w:val="21"/>
              </w:rPr>
              <w:t>10.《信息系统安全等级保护实施指南》</w:t>
            </w:r>
          </w:p>
          <w:p w14:paraId="4037F348">
            <w:pPr>
              <w:pStyle w:val="5"/>
              <w:jc w:val="left"/>
              <w:rPr>
                <w:rFonts w:hint="eastAsia"/>
                <w:sz w:val="21"/>
              </w:rPr>
            </w:pPr>
            <w:r>
              <w:rPr>
                <w:rFonts w:hint="eastAsia"/>
                <w:sz w:val="21"/>
              </w:rPr>
              <w:t>11.《信息系统安全等级保护测评过程指南》</w:t>
            </w:r>
          </w:p>
          <w:p w14:paraId="2411F623">
            <w:pPr>
              <w:pStyle w:val="5"/>
              <w:jc w:val="left"/>
              <w:rPr>
                <w:rFonts w:hint="eastAsia"/>
                <w:sz w:val="21"/>
              </w:rPr>
            </w:pPr>
            <w:r>
              <w:rPr>
                <w:rFonts w:hint="eastAsia"/>
                <w:sz w:val="21"/>
              </w:rPr>
              <w:t>12.《网络安全等级保护测评要求》</w:t>
            </w:r>
          </w:p>
          <w:p w14:paraId="5C6332BE">
            <w:pPr>
              <w:pStyle w:val="5"/>
              <w:jc w:val="left"/>
              <w:rPr>
                <w:rFonts w:hint="eastAsia"/>
                <w:sz w:val="21"/>
              </w:rPr>
            </w:pPr>
            <w:r>
              <w:rPr>
                <w:rFonts w:hint="eastAsia"/>
                <w:sz w:val="21"/>
              </w:rPr>
              <w:t>1</w:t>
            </w:r>
            <w:r>
              <w:rPr>
                <w:rFonts w:hint="eastAsia"/>
                <w:sz w:val="21"/>
                <w:lang w:val="en-US" w:eastAsia="zh-CN"/>
              </w:rPr>
              <w:t>3</w:t>
            </w:r>
            <w:r>
              <w:rPr>
                <w:rFonts w:hint="eastAsia"/>
                <w:sz w:val="21"/>
              </w:rPr>
              <w:t>.《交通运输信息化标准体系(2019 年)》</w:t>
            </w:r>
          </w:p>
          <w:p w14:paraId="7C7B8BC1">
            <w:pPr>
              <w:pStyle w:val="5"/>
              <w:jc w:val="left"/>
              <w:rPr>
                <w:rFonts w:hint="eastAsia"/>
                <w:sz w:val="21"/>
              </w:rPr>
            </w:pPr>
            <w:r>
              <w:rPr>
                <w:rFonts w:hint="eastAsia"/>
                <w:sz w:val="21"/>
                <w:lang w:val="en-US" w:eastAsia="zh-CN"/>
              </w:rPr>
              <w:t>14</w:t>
            </w:r>
            <w:r>
              <w:rPr>
                <w:rFonts w:hint="eastAsia"/>
                <w:sz w:val="21"/>
              </w:rPr>
              <w:t>.《智能交通系统 视频交通事件检测器》GB/T 28569-2012)</w:t>
            </w:r>
          </w:p>
          <w:p w14:paraId="74BC1ADF">
            <w:pPr>
              <w:pStyle w:val="5"/>
              <w:jc w:val="left"/>
              <w:rPr>
                <w:rFonts w:hint="eastAsia"/>
                <w:sz w:val="21"/>
              </w:rPr>
            </w:pPr>
            <w:r>
              <w:rPr>
                <w:rFonts w:hint="eastAsia"/>
                <w:sz w:val="21"/>
                <w:lang w:val="en-US" w:eastAsia="zh-CN"/>
              </w:rPr>
              <w:t>15</w:t>
            </w:r>
            <w:r>
              <w:rPr>
                <w:rFonts w:hint="eastAsia"/>
                <w:sz w:val="21"/>
              </w:rPr>
              <w:t>.《城市交通运行状况评价规范》3171 -2016)(GB/T 3</w:t>
            </w:r>
          </w:p>
          <w:p w14:paraId="2508C0D9">
            <w:pPr>
              <w:pStyle w:val="5"/>
              <w:jc w:val="left"/>
              <w:rPr>
                <w:rFonts w:hint="eastAsia"/>
                <w:sz w:val="21"/>
              </w:rPr>
            </w:pPr>
            <w:r>
              <w:rPr>
                <w:rFonts w:hint="eastAsia"/>
                <w:sz w:val="21"/>
                <w:lang w:val="en-US" w:eastAsia="zh-CN"/>
              </w:rPr>
              <w:t>16</w:t>
            </w:r>
            <w:r>
              <w:rPr>
                <w:rFonts w:hint="eastAsia"/>
                <w:sz w:val="21"/>
              </w:rPr>
              <w:t>.《城市智能交通管理系统技术规范》(GI/T 35648-2017)</w:t>
            </w:r>
          </w:p>
          <w:p w14:paraId="257550D5">
            <w:pPr>
              <w:pStyle w:val="5"/>
              <w:jc w:val="left"/>
              <w:rPr>
                <w:rFonts w:hint="eastAsia"/>
                <w:sz w:val="21"/>
              </w:rPr>
            </w:pPr>
            <w:r>
              <w:rPr>
                <w:rFonts w:hint="eastAsia"/>
                <w:sz w:val="21"/>
                <w:lang w:val="en-US" w:eastAsia="zh-CN"/>
              </w:rPr>
              <w:t>17</w:t>
            </w:r>
            <w:r>
              <w:rPr>
                <w:rFonts w:hint="eastAsia"/>
                <w:sz w:val="21"/>
              </w:rPr>
              <w:t>.《交通信息服务数据结构》(GB/T 345192017)</w:t>
            </w:r>
          </w:p>
          <w:p w14:paraId="61D5996F">
            <w:pPr>
              <w:pStyle w:val="5"/>
              <w:jc w:val="left"/>
              <w:rPr>
                <w:rFonts w:hint="eastAsia"/>
                <w:sz w:val="21"/>
              </w:rPr>
            </w:pPr>
            <w:r>
              <w:rPr>
                <w:rFonts w:hint="eastAsia"/>
                <w:sz w:val="21"/>
                <w:lang w:val="en-US" w:eastAsia="zh-CN"/>
              </w:rPr>
              <w:t>18.</w:t>
            </w:r>
            <w:r>
              <w:rPr>
                <w:rFonts w:hint="eastAsia"/>
                <w:sz w:val="21"/>
              </w:rPr>
              <w:t>《佛山市政务数据资源共享管理办法（试行）》</w:t>
            </w:r>
          </w:p>
          <w:p w14:paraId="3C7B5BA0">
            <w:pPr>
              <w:pStyle w:val="5"/>
              <w:jc w:val="left"/>
              <w:rPr>
                <w:rFonts w:hint="eastAsia"/>
                <w:sz w:val="21"/>
              </w:rPr>
            </w:pPr>
            <w:r>
              <w:rPr>
                <w:rFonts w:hint="eastAsia"/>
                <w:sz w:val="21"/>
              </w:rPr>
              <w:t>备注：</w:t>
            </w:r>
          </w:p>
          <w:p w14:paraId="05FAC624">
            <w:pPr>
              <w:pStyle w:val="5"/>
              <w:jc w:val="left"/>
              <w:rPr>
                <w:rFonts w:hint="eastAsia"/>
                <w:sz w:val="21"/>
              </w:rPr>
            </w:pPr>
            <w:r>
              <w:rPr>
                <w:rFonts w:hint="eastAsia"/>
                <w:sz w:val="21"/>
                <w:lang w:eastAsia="zh-CN"/>
              </w:rPr>
              <w:t>（</w:t>
            </w:r>
            <w:r>
              <w:rPr>
                <w:rFonts w:hint="eastAsia"/>
                <w:sz w:val="21"/>
                <w:lang w:val="en-US" w:eastAsia="zh-CN"/>
              </w:rPr>
              <w:t>1</w:t>
            </w:r>
            <w:r>
              <w:rPr>
                <w:rFonts w:hint="eastAsia"/>
                <w:sz w:val="21"/>
                <w:lang w:eastAsia="zh-CN"/>
              </w:rPr>
              <w:t>）</w:t>
            </w:r>
            <w:r>
              <w:rPr>
                <w:rFonts w:hint="eastAsia"/>
                <w:sz w:val="21"/>
              </w:rPr>
              <w:t>以上清单中的内容为基本要求，供应商应根据自身的深化设计方案，在完全满足以上功能要求的基础上提供更为详细的方案。</w:t>
            </w:r>
          </w:p>
          <w:p w14:paraId="75C89A32">
            <w:pPr>
              <w:pStyle w:val="5"/>
              <w:jc w:val="left"/>
            </w:pPr>
            <w:r>
              <w:rPr>
                <w:rFonts w:hint="eastAsia"/>
                <w:sz w:val="21"/>
                <w:lang w:eastAsia="zh-CN"/>
              </w:rPr>
              <w:t>（</w:t>
            </w:r>
            <w:r>
              <w:rPr>
                <w:rFonts w:hint="eastAsia"/>
                <w:sz w:val="21"/>
                <w:lang w:val="en-US" w:eastAsia="zh-CN"/>
              </w:rPr>
              <w:t>2</w:t>
            </w:r>
            <w:r>
              <w:rPr>
                <w:rFonts w:hint="eastAsia"/>
                <w:sz w:val="21"/>
                <w:lang w:eastAsia="zh-CN"/>
              </w:rPr>
              <w:t>）</w:t>
            </w:r>
            <w:r>
              <w:rPr>
                <w:rFonts w:hint="eastAsia"/>
                <w:sz w:val="21"/>
              </w:rPr>
              <w:t>上述涉及具体技术参数的产品或服务，仅作为项目质量水平与系统配置的参考，在不低于此基准且评委会可合理接受的前提下，供应商可以更优的同类产品或服务替代，低于此基准时评委会经过综合评议可认定为无效投标。</w:t>
            </w:r>
          </w:p>
        </w:tc>
      </w:tr>
      <w:tr w14:paraId="471830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4" w:type="dxa"/>
          </w:tcPr>
          <w:p w14:paraId="37783F98">
            <w:pPr>
              <w:pStyle w:val="5"/>
            </w:pPr>
            <w:r>
              <w:t>说明</w:t>
            </w:r>
          </w:p>
        </w:tc>
        <w:tc>
          <w:tcPr>
            <w:tcW w:w="7172" w:type="dxa"/>
            <w:gridSpan w:val="2"/>
          </w:tcPr>
          <w:p w14:paraId="4EC28C27">
            <w:pPr>
              <w:pStyle w:val="5"/>
              <w:jc w:val="left"/>
            </w:pPr>
            <w:r>
              <w:t xml:space="preserve">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6F313A15">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AC20DC"/>
    <w:rsid w:val="6EAC2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jc w:val="left"/>
    </w:pPr>
    <w:rPr>
      <w:rFonts w:ascii="仿宋_GB2312" w:hAnsi="仿宋_GB2312" w:cs="仿宋_GB2312"/>
      <w:kern w:val="0"/>
      <w:szCs w:val="32"/>
      <w:lang w:val="zh-CN" w:bidi="zh-CN"/>
    </w:rPr>
  </w:style>
  <w:style w:type="paragraph" w:customStyle="1" w:styleId="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2025-08-27T03:03:00Z</dcterms:created>
  <dc:creator>刚刚好</dc:creator>
  <cp:lastModifiedBy>刚刚好</cp:lastModifiedBy>
  <dcterms:modified xsi:type="dcterms:W3CDTF">2025-08-27T03:04:55Z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1818EE9ABE2249F8BF73D106E4BFF26F_11</vt:lpwstr>
  </property>
  <property fmtid="{D5CDD505-2E9C-101B-9397-08002B2CF9AE}" pid="4" name="KSOTemplateDocerSaveRecord">
    <vt:lpwstr>eyJoZGlkIjoiYTkzOTU0M2M0MTdjY2E4MjZiOGRiZWE2OTM3MWU0Y2IiLCJ1c2VySWQiOiIxMTIzMTkwMTkwIn0=</vt:lpwstr>
  </property>
</Properties>
</file>