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440606-2023-11021</w:t>
      </w:r>
    </w:p>
    <w:p>
      <w:pPr>
        <w:jc w:val="center"/>
      </w:pPr>
      <w:r>
        <w:rPr>
          <w:b/>
          <w:sz w:val="24"/>
        </w:rPr>
        <w:t>采购项目编号：</w:t>
      </w:r>
      <w:r>
        <w:rPr>
          <w:b/>
          <w:sz w:val="24"/>
        </w:rPr>
        <w:t>440606-2023-11021</w:t>
      </w:r>
    </w:p>
    <w:p>
      <w:pPr>
        <w:jc w:val="center"/>
      </w:pPr>
      <w:r>
        <w:rPr>
          <w:b/>
          <w:sz w:val="24"/>
        </w:rPr>
        <w:t>项目名称：</w:t>
      </w:r>
      <w:r>
        <w:rPr>
          <w:b/>
          <w:sz w:val="24"/>
        </w:rPr>
        <w:t>2023-2025年度容桂街道零散市政设施破损修复维护项目</w:t>
      </w:r>
    </w:p>
    <w:p>
      <w:pPr>
        <w:jc w:val="center"/>
      </w:pPr>
      <w:r>
        <w:rPr>
          <w:b/>
          <w:sz w:val="24"/>
        </w:rPr>
        <w:t>采购人：</w:t>
      </w:r>
      <w:r>
        <w:rPr>
          <w:b/>
          <w:sz w:val="24"/>
        </w:rPr>
        <w:t>佛山市顺德区容桂街道综合行政执法办公室</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第一章投标邀请</w:t>
      </w:r>
    </w:p>
    <w:p>
      <w:pPr>
        <w:ind w:firstLine="480"/>
      </w:pPr>
      <w:r>
        <w:rPr/>
        <w:t>广东华伦招标有限公司</w:t>
      </w:r>
      <w:r>
        <w:rPr/>
        <w:t>受</w:t>
      </w:r>
      <w:r>
        <w:rPr/>
        <w:t>佛山市顺德区容桂街道综合行政执法办公室</w:t>
      </w:r>
      <w:r>
        <w:rPr/>
        <w:t>的委托，采用</w:t>
      </w:r>
      <w:r>
        <w:rPr/>
        <w:t>公开招标</w:t>
      </w:r>
      <w:r>
        <w:rPr/>
        <w:t>方式组织采购</w:t>
      </w:r>
      <w:r>
        <w:rPr/>
        <w:t>2023-2025年度容桂街道零散市政设施破损修复维护项目</w:t>
      </w:r>
      <w:r>
        <w:rPr/>
        <w:t>。欢迎符合资格条件的国内供应商参加投标。</w:t>
      </w:r>
    </w:p>
    <w:p>
      <w:r>
        <w:rPr>
          <w:b/>
          <w:sz w:val="28"/>
        </w:rPr>
        <w:t>一.项目概述</w:t>
      </w:r>
    </w:p>
    <w:p>
      <w:r>
        <w:rPr>
          <w:b/>
          <w:sz w:val="24"/>
        </w:rPr>
        <w:t>1.名称与编号</w:t>
      </w:r>
    </w:p>
    <w:p>
      <w:pPr>
        <w:ind w:firstLine="480"/>
      </w:pPr>
      <w:r>
        <w:rPr/>
        <w:t>项目名称：</w:t>
      </w:r>
      <w:r>
        <w:rPr/>
        <w:t>2023-2025年度容桂街道零散市政设施破损修复维护项目</w:t>
      </w:r>
    </w:p>
    <w:p>
      <w:pPr>
        <w:ind w:firstLine="480"/>
      </w:pPr>
      <w:r>
        <w:rPr/>
        <w:t>采购计划编号：</w:t>
      </w:r>
      <w:r>
        <w:rPr/>
        <w:t>440606-2023-11021</w:t>
      </w:r>
    </w:p>
    <w:p>
      <w:pPr>
        <w:ind w:firstLine="480"/>
      </w:pPr>
      <w:r>
        <w:rPr/>
        <w:t>采购项目编号：</w:t>
      </w:r>
      <w:r>
        <w:rPr/>
        <w:t>440606-2023-11021</w:t>
      </w:r>
    </w:p>
    <w:p>
      <w:pPr>
        <w:ind w:firstLine="480"/>
      </w:pPr>
      <w:r>
        <w:rPr/>
        <w:t>采购方式：</w:t>
      </w:r>
      <w:r>
        <w:rPr/>
        <w:t>公开招标</w:t>
      </w:r>
    </w:p>
    <w:p>
      <w:pPr>
        <w:ind w:firstLine="480"/>
      </w:pPr>
      <w:r>
        <w:rPr/>
        <w:t>预算金额：</w:t>
      </w:r>
      <w:r>
        <w:rPr/>
        <w:t>10,000,000.00</w:t>
      </w:r>
      <w:r>
        <w:rPr/>
        <w:t>元</w:t>
      </w:r>
    </w:p>
    <w:p>
      <w:r>
        <w:rPr>
          <w:b/>
          <w:sz w:val="24"/>
        </w:rPr>
        <w:t>2.项目内容及需求情况（采购项目技术规格、参数及要求）</w:t>
      </w:r>
    </w:p>
    <w:p>
      <w:pPr>
        <w:ind w:firstLine="480"/>
      </w:pPr>
    </w:p>
    <w:p/>
    <w:p>
      <w:r>
        <w:rPr/>
        <w:t>采购包1(2023-2025年度容桂街道零散市政设施破损修复维护项目):</w:t>
      </w:r>
    </w:p>
    <w:p>
      <w:r>
        <w:rPr/>
        <w:t>采购包预算金额：2,500,000.00元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市政公用设施管理服务</w:t>
            </w:r>
          </w:p>
        </w:tc>
        <w:tc>
          <w:tcPr>
            <w:tcW w:type="dxa" w:w="2052"/>
          </w:tcPr>
          <w:p>
            <w:r>
              <w:rPr/>
              <w:t>2023-2025年度容桂街道零散市政设施破损修复维护项目（A片区）</w:t>
            </w:r>
          </w:p>
        </w:tc>
        <w:tc>
          <w:tcPr>
            <w:tcW w:type="dxa" w:w="977"/>
          </w:tcPr>
          <w:p>
            <w:r>
              <w:rPr/>
              <w:t>1.00(项)</w:t>
            </w:r>
          </w:p>
        </w:tc>
        <w:tc>
          <w:tcPr>
            <w:tcW w:type="dxa" w:w="977"/>
          </w:tcPr>
          <w:p>
            <w:r>
              <w:rPr/>
              <w:t>详见第二章</w:t>
            </w:r>
          </w:p>
        </w:tc>
        <w:tc>
          <w:tcPr>
            <w:tcW w:type="dxa" w:w="977"/>
          </w:tcPr>
          <w:p>
            <w:r>
              <w:rPr/>
              <w:t>2,500,000.00</w:t>
            </w:r>
          </w:p>
        </w:tc>
        <w:tc>
          <w:tcPr>
            <w:tcW w:type="dxa" w:w="977"/>
          </w:tcPr>
          <w:p>
            <w:r>
              <w:rPr/>
              <w:t>否</w:t>
            </w:r>
          </w:p>
        </w:tc>
      </w:tr>
    </w:tbl>
    <w:p/>
    <w:p>
      <w:r>
        <w:rPr/>
        <w:t>本采购包不接受联合体投标</w:t>
      </w:r>
    </w:p>
    <w:p/>
    <w:p>
      <w:r>
        <w:rPr/>
        <w:t>合同履行期限：合同签订之日起两年，服务期内预算金额使用完合同终止。</w:t>
      </w:r>
    </w:p>
    <w:p/>
    <w:p>
      <w:r>
        <w:rPr/>
        <w:t>采购包2(2023-2025年度容桂街道零散市政设施破损修复维护项目):</w:t>
      </w:r>
    </w:p>
    <w:p>
      <w:r>
        <w:rPr/>
        <w:t>采购包预算金额：3,500,000.00元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市政公用设施管理服务</w:t>
            </w:r>
          </w:p>
        </w:tc>
        <w:tc>
          <w:tcPr>
            <w:tcW w:type="dxa" w:w="2052"/>
          </w:tcPr>
          <w:p>
            <w:r>
              <w:rPr/>
              <w:t>2023-2025年度容桂街道零散市政设施破损修复维护项目（B片区）</w:t>
            </w:r>
          </w:p>
        </w:tc>
        <w:tc>
          <w:tcPr>
            <w:tcW w:type="dxa" w:w="977"/>
          </w:tcPr>
          <w:p>
            <w:r>
              <w:rPr/>
              <w:t>1.00(项)</w:t>
            </w:r>
          </w:p>
        </w:tc>
        <w:tc>
          <w:tcPr>
            <w:tcW w:type="dxa" w:w="977"/>
          </w:tcPr>
          <w:p>
            <w:r>
              <w:rPr/>
              <w:t>详见第二章</w:t>
            </w:r>
          </w:p>
        </w:tc>
        <w:tc>
          <w:tcPr>
            <w:tcW w:type="dxa" w:w="977"/>
          </w:tcPr>
          <w:p>
            <w:r>
              <w:rPr/>
              <w:t>3,500,000.00</w:t>
            </w:r>
          </w:p>
        </w:tc>
        <w:tc>
          <w:tcPr>
            <w:tcW w:type="dxa" w:w="977"/>
          </w:tcPr>
          <w:p>
            <w:r>
              <w:rPr/>
              <w:t>否</w:t>
            </w:r>
          </w:p>
        </w:tc>
      </w:tr>
    </w:tbl>
    <w:p/>
    <w:p>
      <w:r>
        <w:rPr/>
        <w:t>本采购包不接受联合体投标</w:t>
      </w:r>
    </w:p>
    <w:p/>
    <w:p>
      <w:r>
        <w:rPr/>
        <w:t>合同履行期限：合同签订之日起两年，服务期内预算金额使用完合同终止。</w:t>
      </w:r>
    </w:p>
    <w:p/>
    <w:p>
      <w:r>
        <w:rPr/>
        <w:t>采购包3(2023-2025年度容桂街道零散市政设施破损修复维护项目):</w:t>
      </w:r>
    </w:p>
    <w:p>
      <w:r>
        <w:rPr/>
        <w:t>采购包预算金额：4,000,000.00元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市政公用设施管理服务</w:t>
            </w:r>
          </w:p>
        </w:tc>
        <w:tc>
          <w:tcPr>
            <w:tcW w:type="dxa" w:w="2052"/>
          </w:tcPr>
          <w:p>
            <w:r>
              <w:rPr/>
              <w:t>2023-2025年度容桂街道零散市政设施破损修复维护项目（C片区）</w:t>
            </w:r>
          </w:p>
        </w:tc>
        <w:tc>
          <w:tcPr>
            <w:tcW w:type="dxa" w:w="977"/>
          </w:tcPr>
          <w:p>
            <w:r>
              <w:rPr/>
              <w:t>1.00(项)</w:t>
            </w:r>
          </w:p>
        </w:tc>
        <w:tc>
          <w:tcPr>
            <w:tcW w:type="dxa" w:w="977"/>
          </w:tcPr>
          <w:p>
            <w:r>
              <w:rPr/>
              <w:t>详见第二章</w:t>
            </w:r>
          </w:p>
        </w:tc>
        <w:tc>
          <w:tcPr>
            <w:tcW w:type="dxa" w:w="977"/>
          </w:tcPr>
          <w:p>
            <w:r>
              <w:rPr/>
              <w:t>4,000,000.00</w:t>
            </w:r>
          </w:p>
        </w:tc>
        <w:tc>
          <w:tcPr>
            <w:tcW w:type="dxa" w:w="977"/>
          </w:tcPr>
          <w:p>
            <w:r>
              <w:rPr/>
              <w:t>否</w:t>
            </w:r>
          </w:p>
        </w:tc>
      </w:tr>
    </w:tbl>
    <w:p/>
    <w:p>
      <w:r>
        <w:rPr/>
        <w:t>本采购包不接受联合体投标</w:t>
      </w:r>
    </w:p>
    <w:p/>
    <w:p>
      <w:r>
        <w:rPr/>
        <w:t>合同履行期限：合同签订之日起两年，服务期内预算金额使用完合同终止。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
      <w:r>
        <w:rPr/>
        <w:t>3）具有良好的商业信誉和健全的财务会计制度：供应商必须具有良好的商业信誉和健全的财务会计制度（提供2022年度财务状况报告或基本开户行出具的资信证明或提供《政府采购供应商资格信用承诺函》（承诺函格式见采购公告附件））。</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采购包1（2023-2025年度容桂街道零散市政设施破损修复维护项目）：</w:t>
      </w:r>
      <w:r>
        <w:rPr/>
        <w:t>本采购包整体专门面向小微企业，参与投标的供应商须为小微企业。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须提供有效的中小企业声明函（或残疾人福利性单位声明函或监狱企业证明文件）。本项目所属行业为建筑业。</w:t>
      </w:r>
    </w:p>
    <w:p>
      <w:pPr>
        <w:jc w:val="left"/>
      </w:pPr>
    </w:p>
    <w:p>
      <w:r>
        <w:rPr/>
        <w:t>采购包2（2023-2025年度容桂街道零散市政设施破损修复维护项目）：</w:t>
      </w:r>
      <w:r>
        <w:rPr/>
        <w:t>本采购包整体专门面向小微企业，参与投标的供应商须为小微企业。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须提供有效的中小企业声明函（或残疾人福利性单位声明函或监狱企业证明文件）。本项目所属行业为建筑业。</w:t>
      </w:r>
    </w:p>
    <w:p>
      <w:pPr>
        <w:jc w:val="left"/>
      </w:pPr>
    </w:p>
    <w:p>
      <w:r>
        <w:rPr/>
        <w:t>采购包3（2023-2025年度容桂街道零散市政设施破损修复维护项目）：</w:t>
      </w:r>
      <w:r>
        <w:rPr/>
        <w:t>本采购包整体专门面向小微企业，参与投标的供应商须为小微企业。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须提供有效的中小企业声明函（或残疾人福利性单位声明函或监狱企业证明文件）。本项目所属行业为建筑业。</w:t>
      </w:r>
    </w:p>
    <w:p/>
    <w:p>
      <w:r>
        <w:rPr>
          <w:b/>
          <w:sz w:val="24"/>
        </w:rPr>
        <w:t>3.本项目特定的资格要求：</w:t>
      </w:r>
    </w:p>
    <w:p>
      <w:pPr>
        <w:ind w:firstLine="480"/>
      </w:pPr>
    </w:p>
    <w:p/>
    <w:p>
      <w:r>
        <w:rPr/>
        <w:t>采购包1（2023-2025年度容桂街道零散市政设施破损修复维护项目）：</w:t>
      </w:r>
    </w:p>
    <w:p/>
    <w:p>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3)具有承接本项目所需的市政公用工程施工总承包三级或以上资质。 [注：关于建设工程企业资质延续有关事项按《住房和城乡建设部办公厅关于建设工程企业资质有关事宜的通知》（建办市函〔2022〕361号）、《广东省住房和城乡建设厅关于建设工程企业资质有关事宜的通知》（粤建许函〔2022〕846号）执行。]</w:t>
      </w:r>
    </w:p>
    <w:p/>
    <w:p>
      <w:r>
        <w:rPr/>
        <w:t>4)具有建设主管部门颁发的有效安全生产许可证。</w:t>
      </w:r>
    </w:p>
    <w:p/>
    <w:p>
      <w:r>
        <w:rPr/>
        <w:t>5)本项目不接受联合体投标。</w:t>
      </w:r>
    </w:p>
    <w:p/>
    <w:p>
      <w:r>
        <w:rPr/>
        <w:t>采购包2（2023-2025年度容桂街道零散市政设施破损修复维护项目）：</w:t>
      </w:r>
    </w:p>
    <w:p/>
    <w:p>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3)具有承接本项目所需的市政公用工程施工总承包三级或以上资质。 [注：关于建设工程企业资质延续有关事项按《住房和城乡建设部办公厅关于建设工程企业资质有关事宜的通知》（建办市函〔2022〕361号）、《广东省住房和城乡建设厅关于建设工程企业资质有关事宜的通知》（粤建许函〔2022〕846号）执行。]</w:t>
      </w:r>
    </w:p>
    <w:p/>
    <w:p>
      <w:r>
        <w:rPr/>
        <w:t>4)具有建设主管部门颁发的有效安全生产许可证。</w:t>
      </w:r>
    </w:p>
    <w:p/>
    <w:p>
      <w:r>
        <w:rPr/>
        <w:t>5)本项目不接受联合体投标</w:t>
      </w:r>
    </w:p>
    <w:p/>
    <w:p>
      <w:r>
        <w:rPr/>
        <w:t>采购包3（2023-2025年度容桂街道零散市政设施破损修复维护项目）：</w:t>
      </w:r>
    </w:p>
    <w:p/>
    <w:p>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3)具有承接本项目所需的市政公用工程施工总承包三级或以上资质。 [注：关于建设工程企业资质延续有关事项按《住房和城乡建设部办公厅关于建设工程企业资质有关事宜的通知》（建办市函〔2022〕361号）、《广东省住房和城乡建设厅关于建设工程企业资质有关事宜的通知》（粤建许函〔2022〕846号）执行。]</w:t>
      </w:r>
    </w:p>
    <w:p/>
    <w:p>
      <w:r>
        <w:rPr/>
        <w:t>4)具有建设主管部门颁发的有效安全生产许可证。</w:t>
      </w:r>
    </w:p>
    <w:p/>
    <w:p>
      <w:r>
        <w:rPr/>
        <w:t>5)本项目不接受联合体投标。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佛山市顺德区容桂街道综合行政执法办公室</w:t>
      </w:r>
    </w:p>
    <w:p>
      <w:pPr>
        <w:ind w:firstLine="480"/>
      </w:pPr>
      <w:r>
        <w:rPr/>
        <w:t>地址：</w:t>
      </w:r>
      <w:r>
        <w:rPr/>
        <w:t>佛山市顺德区容桂街道容奇大道中32号</w:t>
      </w:r>
    </w:p>
    <w:p>
      <w:pPr>
        <w:ind w:firstLine="480"/>
      </w:pPr>
      <w:r>
        <w:rPr/>
        <w:t>联系方式：</w:t>
      </w:r>
      <w:r>
        <w:rPr/>
        <w:t>0757- 23610008</w:t>
      </w:r>
    </w:p>
    <w:p>
      <w:r>
        <w:rPr>
          <w:b/>
          <w:sz w:val="24"/>
        </w:rPr>
        <w:t>2.采购代理机构信息</w:t>
      </w:r>
    </w:p>
    <w:p>
      <w:pPr>
        <w:ind w:firstLine="480"/>
      </w:pPr>
      <w:r>
        <w:rPr/>
        <w:t>名称：</w:t>
      </w:r>
      <w:r>
        <w:rPr/>
        <w:t>广东华伦招标有限公司</w:t>
      </w:r>
    </w:p>
    <w:p>
      <w:pPr>
        <w:ind w:firstLine="480"/>
      </w:pPr>
      <w:r>
        <w:rPr/>
        <w:t>地址：</w:t>
      </w:r>
      <w:r>
        <w:rPr/>
        <w:t>佛山市顺德区大良沿江北路121号龙威大厦20楼CD区</w:t>
      </w:r>
    </w:p>
    <w:p>
      <w:pPr>
        <w:ind w:firstLine="480"/>
      </w:pPr>
      <w:r>
        <w:rPr/>
        <w:t>联系方式：</w:t>
      </w:r>
      <w:r>
        <w:rPr/>
        <w:t>0757-22332908</w:t>
      </w:r>
    </w:p>
    <w:p>
      <w:r>
        <w:rPr>
          <w:b/>
          <w:sz w:val="24"/>
        </w:rPr>
        <w:t>3.项目联系方式</w:t>
      </w:r>
    </w:p>
    <w:p>
      <w:pPr>
        <w:ind w:firstLine="480"/>
      </w:pPr>
      <w:r>
        <w:rPr/>
        <w:t>项目联系人：</w:t>
      </w:r>
      <w:r>
        <w:rPr/>
        <w:t>傅先生</w:t>
      </w:r>
    </w:p>
    <w:p>
      <w:pPr>
        <w:ind w:firstLine="480"/>
      </w:pPr>
      <w:r>
        <w:rPr/>
        <w:t>电话：</w:t>
      </w:r>
      <w:r>
        <w:rPr/>
        <w:t>0757-22332908</w:t>
      </w:r>
    </w:p>
    <w:p>
      <w:r>
        <w:rPr>
          <w:b/>
          <w:sz w:val="24"/>
        </w:rPr>
        <w:t>4.技术支持联系方式</w:t>
      </w:r>
    </w:p>
    <w:p>
      <w:pPr>
        <w:ind w:firstLine="480"/>
      </w:pPr>
      <w:r>
        <w:rPr/>
        <w:t>云平台联系方式：020-88696588</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40"/>
        <w:jc w:val="left"/>
      </w:pPr>
      <w:r>
        <w:rPr>
          <w:sz w:val="22"/>
        </w:rPr>
        <w:t>由于市政设施的长期使用，部分破损、损坏的情况时常发生，影响到市民的出行，同时存在一定安全隐患，为更有效率的对零散破损的市政设施进行维护、修复，消除安全隐患，采购人针对</w:t>
      </w:r>
      <w:r>
        <w:rPr>
          <w:sz w:val="22"/>
        </w:rPr>
        <w:t>2023-2025年度容桂街道零散市政设施破损修复维护项目进行公开招标，将零散市政设施破损修复维护项目（以下简称“零散项目”）委托给中标人实施。</w:t>
      </w:r>
    </w:p>
    <w:p>
      <w:pPr>
        <w:ind w:firstLine="440"/>
        <w:jc w:val="left"/>
      </w:pPr>
      <w:r>
        <w:rPr>
          <w:sz w:val="22"/>
        </w:rPr>
        <w:t>本项目分</w:t>
      </w:r>
      <w:r>
        <w:rPr>
          <w:sz w:val="22"/>
        </w:rPr>
        <w:t>3 个片区开展，每个片区为一个采购包，分别是：</w:t>
      </w:r>
    </w:p>
    <w:p>
      <w:pPr>
        <w:ind w:firstLine="440"/>
        <w:jc w:val="left"/>
      </w:pPr>
      <w:r>
        <w:rPr>
          <w:sz w:val="22"/>
        </w:rPr>
        <w:t>（</w:t>
      </w:r>
      <w:r>
        <w:rPr>
          <w:sz w:val="22"/>
        </w:rPr>
        <w:t>1）2023-2025年度容桂街道零散市政设施破损修复维护项目（采购包1）对应范围：</w:t>
      </w:r>
      <w:r>
        <w:rPr>
          <w:sz w:val="22"/>
        </w:rPr>
        <w:t>北至滨河路</w:t>
      </w:r>
      <w:r>
        <w:rPr>
          <w:sz w:val="22"/>
        </w:rPr>
        <w:t>--马冈社区 (金马路) ；南至桂洲大道中；  西至工农路--容桂大道北；东至 105 国道；</w:t>
      </w:r>
    </w:p>
    <w:p>
      <w:pPr>
        <w:ind w:firstLine="440"/>
        <w:jc w:val="left"/>
      </w:pPr>
      <w:r>
        <w:rPr>
          <w:sz w:val="22"/>
        </w:rPr>
        <w:t>（</w:t>
      </w:r>
      <w:r>
        <w:rPr>
          <w:sz w:val="22"/>
        </w:rPr>
        <w:t>2）2023-2025年度容桂街道零散市政设施破损修复维护项目（采购包2）对应范围：</w:t>
      </w:r>
      <w:r>
        <w:rPr>
          <w:sz w:val="22"/>
        </w:rPr>
        <w:t>北至桂洲大道中</w:t>
      </w:r>
      <w:r>
        <w:rPr>
          <w:sz w:val="22"/>
        </w:rPr>
        <w:t>--工农路--西堤 四路--丰业路；南至西提二路；西至伦桂路；东至 105 国道；</w:t>
      </w:r>
    </w:p>
    <w:p>
      <w:r>
        <w:rPr>
          <w:sz w:val="22"/>
        </w:rPr>
        <w:t>（</w:t>
      </w:r>
      <w:r>
        <w:rPr>
          <w:sz w:val="22"/>
        </w:rPr>
        <w:t>3）2023-2025年度容桂街道零散市政设施破损修复维护项目（采购包3）对应范围：</w:t>
      </w:r>
      <w:r>
        <w:rPr>
          <w:sz w:val="22"/>
        </w:rPr>
        <w:t>北至容奇大道东；南至南堤二路；</w:t>
      </w:r>
      <w:r>
        <w:rPr>
          <w:sz w:val="22"/>
        </w:rPr>
        <w:t>西至</w:t>
      </w:r>
      <w:r>
        <w:rPr>
          <w:sz w:val="22"/>
        </w:rPr>
        <w:t>105 国道；东至东堤三路。</w:t>
      </w:r>
    </w:p>
    <w:p>
      <w:r>
        <w:rPr>
          <w:sz w:val="22"/>
        </w:rPr>
        <w:t>合同执行过程中，如存在分工含糊的区域，以采购人的安排为准，最终解释权归采购人所有。</w:t>
      </w:r>
    </w:p>
    <w:p>
      <w:pPr>
        <w:ind w:firstLine="442"/>
        <w:jc w:val="left"/>
      </w:pPr>
      <w:r>
        <w:rPr>
          <w:b/>
          <w:sz w:val="22"/>
        </w:rPr>
        <w:t>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ind w:firstLine="442"/>
        <w:jc w:val="left"/>
      </w:pPr>
      <w:r>
        <w:rPr>
          <w:b/>
          <w:sz w:val="22"/>
        </w:rPr>
        <w:t>根据《佛山市政务服务数据管理局佛山市财政局关于进一步促进公平竞争优化政府采购营商环境的通知》（佛政数函</w:t>
      </w:r>
      <w:r>
        <w:rPr>
          <w:b/>
          <w:sz w:val="22"/>
        </w:rPr>
        <w:t>[2021] 54号），采购文件应当明确告知供应商政府采购合同融资相关政策：参与政府采购的中小微企业可凭借中标(成交)通知书或政府采购合同，利用“省中小融”、“粤信融”、“中征应收账款融资服务平台”等平台向金融机构申请融资，获得无财产抵押贷款。</w:t>
      </w:r>
    </w:p>
    <w:p/>
    <w:p>
      <w:pPr>
        <w:ind w:firstLine="480"/>
      </w:pPr>
    </w:p>
    <w:p/>
    <w:p>
      <w:r>
        <w:rPr/>
        <w:t>采购包1（2023-2025年度容桂街道零散市政设施破损修复维护项目）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合同签订之日起两年，服务期内预算金额使用完合同终止。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1期：支付比例100%,本项目每6个月进行一次结算支付，支付当期金额的100%。 本项目的付款时间为采购人向财政支付部门提出支付申请的时间（不含财政支付部门的审查时间）。若由于财政拨款不到位或该项目相关手续和程序因流转政府采购审批流程及办理手续而造成项目支付进度有所推延的，采购人不承担违约责任，并且此情况不能成为中标人拒绝提供服务的理由。</w:t>
            </w:r>
          </w:p>
        </w:tc>
      </w:tr>
      <w:tr>
        <w:tc>
          <w:tcPr>
            <w:tcW w:type="dxa" w:w="4153"/>
          </w:tcPr>
          <w:p>
            <w:r>
              <w:rPr/>
              <w:t>验收要求</w:t>
            </w:r>
          </w:p>
        </w:tc>
        <w:tc>
          <w:tcPr>
            <w:tcW w:type="dxa" w:w="4153"/>
          </w:tcPr>
          <w:p/>
          <w:p/>
          <w:p/>
          <w:p>
            <w:r>
              <w:rPr/>
              <w:t>1期：质量标准按执行国家、省或行业现行的标准及规范，确保项目质量达到合格或以上验收质量等级标准。保证项目一次性验收合格，否则中标人必须按《考核标准及细则》承担违约责任并采取补救或返工措施，直到达到承诺的项目质量验收标准为止，补救或返工所需费用由中标人承担。如经过补救或返工措施仍未达到合格质量标准的，采购人有权将该部分项目委托给其他单位实施。</w:t>
            </w:r>
          </w:p>
        </w:tc>
      </w:tr>
      <w:tr>
        <w:tc>
          <w:tcPr>
            <w:tcW w:type="dxa" w:w="4153"/>
          </w:tcPr>
          <w:p>
            <w:r>
              <w:rPr/>
              <w:t>履约保证金</w:t>
            </w:r>
          </w:p>
        </w:tc>
        <w:tc>
          <w:tcPr>
            <w:tcW w:type="dxa" w:w="4153"/>
          </w:tcPr>
          <w:p/>
          <w:p/>
          <w:p/>
          <w:p/>
          <w:p>
            <w:r>
              <w:rPr/>
              <w:t>收取比例：5%,说明：1、中标人须自合同签订之日起15个工作日内，以支票、汇票、本票或者金融机构、担保机构出具的保函等非现金形式向采购人交纳履约保证金，履约保证金金额为中标金额（即采购包预算金额的5%），四舍五入到分。 2、采用保函时，保函须为见索即付、不可撤销的保函，履约担保期限：自合同签订生效之日起至合同期满后90个日历日止，且必须包含以下内容： （1）采购人名称、项目名称、中标人名称、担保金额、担保期限； （2）保证方式为连带责任保证； （3）在采购人向银行提出索赔时，银行将不要求采购人先向中标人提出索赔或要求采购人提供其他任何证明材料； （4）如在履约担保期限内，中标人自行解除合同或违反合同有关规定被采购人解除合同的，则履约担保金归采购人所有； （5）采购人可在担保限额内要求多次赔付； （6）因本保函发生的纠纷，由采购人和中标人协商解决，协商不成的，任意一方均有权将争议提交项目所在地有管辖权的人民法院诉讼解决； （7）中标人在提供履约担保时所发生的一切费用由中标人承担。 3、合同履行期间，履约担保被扣除、没收或履约保函过期的，中标人应于15个工作日内向采购人补足被扣除部分或按本合同约定重新出具合法有效的履约保函。自逾期之日起，中标人应每日以履约担保不足部分为基数按银行同期贷款利率向采购人支付滞纳金。逾期超过30个工作的，中标人除应每日以履约担保不足部分为基数按银行同期贷款利率向年方支付滞纳金外，还应向采购人支付与本合同履约保证金同等金额的违约金，同时采购人有权单方解除合同。 4、在中标人按合同要求全部完成规定的项目内容工作后，如中标人无违约行为的，中标人向采购人提出后，采购人于合同期满后90个日历日后15个工作日内退还给中标人。 5、因采购人原因单方解除合同的，采购人于合同解除之日起90个日历天后15个工作日内不计利息退还履约保证金给中标人。</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兼投不兼中，1、“采购包1”、“采购包2”、“采购包3”三个采购包兼投不兼中，投标人可以参与多个采购包的投标，但是最多只能被确定为1个采购包的第一中标候选人。本项目的评审顺序为：先“采购包1”，再“采购包2”，最后“采购包3”。 3、已被推荐为任一采购包的第一中标候选人的投标人将不再参与其余采购包的评审（视为其余采购包的符合性评审不通过），且不具有其余采购包的第一中标候选人推荐资格。依此类推。 4、本项目评审结束后，如“采购包1”、或“采购包2”、或“采购包3”出现改变排序或者重新评审或重新招标等改变中标结果的情形，其余采购包的排序和评审结果均不作任何调整（如前述改变中标结果导致同一单位在多个子包排名第一的，则优先保持其余采购包的排序和评审结果不变，前述改变中标结果的采购包按照投标人排名推荐下一名次的投标人为第一中标候选人），且其余采购包的第一中标候选人不得再参与该采购包的重新评审或重新招标、且不具有中标候选人推荐资格。</w:t>
            </w:r>
          </w:p>
          <w:p/>
          <w:p>
            <w:r>
              <w:rPr/>
              <w:t>报价说明，1、本项目各采购包的预算金额作为对应的暂时约定签约合同总金额，服务期限内根据中标人完成的业务数量按实结算，采购人支付给中标人的费用总额不超过采购包的预算金额。 2、本项目采用“折扣率”形式进行报价，投标人在招标文件技术标准与要求的“单方指标价”基础上整体报折扣率，折扣率必须为固定报价，不接受区间报价，折扣率有效报价范围：0＜折扣率≤100%（对百分号前面数字保留的小数位数不作要求），投标人的投标报价不得超过以上报价范围，否则视为无效投标。 3、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 4、承包方式：本项目由中标人根据采购人及招标文件的要求，包工、包料、包质量、包工期、包安全、包文明施工、包资料移交（归档）、包验收及整理验收资料。投标报价已包括完成本项目的成本、利润、税金、各项措施费、大型机械进出场费、风险费、人员工资、社会保险费、住房公积金、定额测定费、建筑企业管理费、排污费、安全、文明施工、防尘、施工噪声排污费、招标代理费、意外保险费及政策性文件规定费用等所有费用。  5、本项目合同为固定折率承包合同；项目综合单价已包垃圾清运、包完工清场、包水电费用、包运输、包装卸、包安装、包调试、包检验、包检测等中标人履行本合同项下义务所必需的的一切费用、支出、成本和利润。 6、特别说明：①由于零散项目的统筹安排、立项审批等存在不确定因素，本项目采购人对协议生效期限内的任务数量不作任何承诺或保证，即采购人不保证有足够的任务以满足中标人获得合同的中标金额；②采购人在服务期内有权对特殊应急零散项目进行定向发包（承包方非中标人）。投标人在投标前对上述情况有足够的风险认识，一经投标，即视为投标人愿意无条件承担上述有关风险并放弃一切与此相关的求偿权利。</w:t>
            </w:r>
          </w:p>
          <w:p/>
          <w:p>
            <w:r>
              <w:rPr/>
              <w:t>结算及支付说明，1、结算方式：单次零散项目施工完成并在验收合格后，中标人向采购人提供相关结算材料、付款申请书，经采购人核实无误后，采购人在收到中标人开具的发票后一个月内将应支付金额提交政府财政支出部门办理支付申请，具体资金支付方式及到账时间以政府财政部门审批为准。单项零散项目的收费金额＝零散项目结算价×中标下浮系数。 2、结算原则：服务量按实结算，综合单价按照招标文件技术标准与要求的“单方指标价”执行，中标人若对结算金额有异议可在收到中介机构编制的结算报告后3个工作日内提出。“单方指标价”没有的价格统一以施工期间顺德工程造价信息公布的相关价格并经采购人或采购人委托的中介机构审核后为计算依据（如顺德工程造价信息中没有的价格则参考佛山市工程造价信息公布为依据）。 3、如当期的项目款结算价大于合同上限金额时，超过部分不予支付，中标人在实施过程中自行评估并承担此风险。 4、税金按照实际缴纳比例进行结算。 5、中标人应当按照有关法律法规的规定缴纳增值税、企业所得税等税费。如中标人所在地为非零散项目所在地的，应先到零散项目所在地税务部门办理跨地区经营涉税事项报告，并按规定在零散项目所在地预缴税款。申请支付项目款时，应提供预缴税款的申报表、缴税凭证、合法有效的发票。中标人未能向采购人提供符合要求的发票等资料时，采购人有权拒绝付款且不承担迟延付款的责任，所造成的一切后果由中标人自负。 6、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 7、如财政资金没能及时全额支付当期项目款时，中标人须确保不发生拖欠工人工资维稳事件，中标人对此知悉并同意。</w:t>
            </w:r>
          </w:p>
          <w:p/>
          <w:p>
            <w:r>
              <w:rPr/>
              <w:t>服务响应要求，1、中标人须提供常设全天候24小时热线服务，能快速、及时、有效地响应采购人需求。中标人于协议生效期间，在接到采购人以电话、邮件、微信等形式发出的零散项目需求时，应在4小时内响应，并按规定时间内到达指定地点进行施工。 2、对采购人委托的紧急项目或迎接上级部门的检查，中标人应无条件响应。 3、对采购人的其他预约服务，要求到达指定地点的应按其要求准时到达。 4、中标人应为本项目安排固定的联系人，若因特殊情况需变更联系人，应当及时以书面形式通知采购人，并说明情况，获得采购人同意。签订合同的同时中标人需附联系人的身份证明、联系方式及授权委托。</w:t>
            </w:r>
          </w:p>
          <w:p/>
          <w:p>
            <w:r>
              <w:rPr/>
              <w:t>质保期，单项零散项目的质保期均为自验收合格之日起的1年。如质保期内双方的服务期限届满且没有续签合同的，中标人仍需继续承担质保责任，直至质保期届满为止。</w:t>
            </w:r>
          </w:p>
          <w:p/>
          <w:p>
            <w:r>
              <w:rPr/>
              <w:t>合同签订，在中标（成交）通知书发出之日起20日内，中标（成交）供应商须与采购人签订政府采购合同。</w:t>
            </w:r>
          </w:p>
          <w:p/>
          <w:p>
            <w:r>
              <w:rPr/>
              <w:t>双方权利、责任及义务，1、采购人权利与责任 （1）采购人对中标人实施统筹管理； （2）采购人如发现中标人经办人不按合同约定履行其职责，有权要求中标人更换经办人员或终止合同； （3）如中标人在工作中遇到需要协调的问题，采购人应给与配合，协助中标人解决； （4）采购人按合同约定支付服务费用。 2、中标人责任与义务 （1）中标人必须严格按照协议书和具体项目合同约定完成全部工作内容，未经采购人批准不得分包及转包，实施期间不得更换项目负责人。 （2）由采购人制定《考核标准及细则》，中标人应严格执行。 （3）中标人应在自身业务资质范围内承接施工业务，若存在项目规模超过中标人业务资质承接范围的情况时，应当及时报告采购人，采购人有权将该项目直接委派本项目另一中标单位实施。 （4）中标人的企业资质等级发生变化的，应当及时报告采购人。如果中标人资质等级条件不再满足本项目的资格要求，采购人有权取消该中标人的中标资格。 （5）中标人应当履行下列义务： 1）没有违反有关法律法规，受到有关行政主管部门吊销其营业执照、取消或暂停其资质、限制其市场准入资格等处罚的； 2）没有因违规违纪行为，受到行业监督管理部门通报、查处的； 3）遵守有关安全生产规定和施工规范，不得造成重大质量问题或安全事故、环保事故或引发群体性事件（如拖欠工人工资等）受到政府相关部门处罚的； 4）在组织项目实施过程中不得违反相关法律法规或出现重大失误造成恶劣影响的； 5）必须按采购人要求提供真实有效信息； 6）诚实信用和遵守投标承诺，严格执行相关质量、服务和收费标准； 7）必须接受相关部门监督和检查的； 8）不得采用非法手段进行不正当竞争的，造成恶劣影响的； 9）在施工过程中不得非法获取与项目有关的任何非法利益的； 10）中标人单位的资质条件发生变化，不适合承建服务相关零散项目或已不符合资格条件的，须及时报告采购人的； 11）遵守本省、市、区及街道政府的相关管理规定的； 12）每次均接受发包价格及单项服务合同条款（违约处罚、履约保证金等）承接零散项目。</w:t>
            </w:r>
          </w:p>
          <w:p/>
          <w:p>
            <w:r>
              <w:rPr/>
              <w:t>其他要求，1.合同响应要求：响应招标文件的合同文本或合同条款。 2.投标人及其投标文件中无法律、法规和招标文件规定的其他无效情形。 3.本项目商务要求所涉及的条款均为不可负偏离条款，如投标人对任一条款出现负偏离，视为无效投标，对该投标人作无效投标处理。 4.其他要求详见招标文件第四部分《合同书范本》的规定。</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市政公用设施管理服务</w:t>
            </w:r>
          </w:p>
        </w:tc>
        <w:tc>
          <w:tcPr>
            <w:tcW w:type="dxa" w:w="831"/>
          </w:tcPr>
          <w:p>
            <w:pPr>
              <w:jc w:val="left"/>
            </w:pPr>
            <w:r>
              <w:rPr/>
              <w:t>2023-2025年度容桂街道零散市政设施破损修复维护项目（A片区）</w:t>
            </w:r>
          </w:p>
        </w:tc>
        <w:tc>
          <w:tcPr>
            <w:tcW w:type="dxa" w:w="831"/>
          </w:tcPr>
          <w:p>
            <w:pPr>
              <w:jc w:val="left"/>
            </w:pPr>
            <w:r>
              <w:rPr/>
              <w:t>项</w:t>
            </w:r>
          </w:p>
        </w:tc>
        <w:tc>
          <w:tcPr>
            <w:tcW w:type="dxa" w:w="831"/>
          </w:tcPr>
          <w:p>
            <w:pPr>
              <w:jc w:val="right"/>
            </w:pPr>
            <w:r>
              <w:rPr/>
              <w:t>1.00</w:t>
            </w:r>
          </w:p>
        </w:tc>
        <w:tc>
          <w:tcPr>
            <w:tcW w:type="dxa" w:w="831"/>
          </w:tcPr>
          <w:p>
            <w:pPr>
              <w:jc w:val="right"/>
            </w:pPr>
            <w:r>
              <w:rPr/>
              <w:t>2,500,000.00</w:t>
            </w:r>
          </w:p>
        </w:tc>
        <w:tc>
          <w:tcPr>
            <w:tcW w:type="dxa" w:w="831"/>
          </w:tcPr>
          <w:p>
            <w:pPr>
              <w:jc w:val="right"/>
            </w:pPr>
            <w:r>
              <w:rPr/>
              <w:t>2,500,000.00</w:t>
            </w:r>
          </w:p>
        </w:tc>
        <w:tc>
          <w:tcPr>
            <w:tcW w:type="dxa" w:w="831"/>
          </w:tcPr>
          <w:p>
            <w:r>
              <w:rPr/>
              <w:t>100.0</w:t>
            </w:r>
          </w:p>
        </w:tc>
        <w:tc>
          <w:tcPr>
            <w:tcW w:type="dxa" w:w="831"/>
          </w:tcPr>
          <w:p>
            <w:r>
              <w:rPr/>
              <w:t>建筑业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2023-2025年度容桂街道零散市政设施破损修复维护项目（A片区）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2"/>
              </w:rPr>
              <w:t>项目内容</w:t>
            </w:r>
          </w:p>
          <w:p>
            <w:pPr>
              <w:jc w:val="both"/>
            </w:pPr>
            <w:r>
              <w:rPr>
                <w:sz w:val="22"/>
              </w:rPr>
              <w:t>零散市政设施的破损修复维护项目</w:t>
            </w:r>
            <w:r>
              <w:rPr>
                <w:sz w:val="22"/>
              </w:rPr>
              <w:t>的内容：包括</w:t>
            </w:r>
            <w:r>
              <w:rPr>
                <w:sz w:val="22"/>
              </w:rPr>
              <w:t>路面拆除、路面修复、下水道、检查井边拆除及修复、标线、下水道管道、检查井及雨水井、临水护栏、倒车挡杆、新建伸缩缝、路长制牌、更换井盖、更换标志牌、翻新桥面栏杆、防撞柱、新建路名牌、新建沥青混凝土面层、铣刨路面、抬高雨水检查井、电缆井</w:t>
            </w:r>
            <w:r>
              <w:rPr>
                <w:sz w:val="22"/>
              </w:rPr>
              <w:t>等零散项目。</w:t>
            </w:r>
          </w:p>
          <w:p>
            <w:pPr>
              <w:jc w:val="both"/>
            </w:pPr>
            <w:r>
              <w:rPr>
                <w:sz w:val="22"/>
              </w:rPr>
              <w:t>服务量清单及单项服务最高上限价详见附件。</w:t>
            </w:r>
          </w:p>
        </w:tc>
      </w:tr>
      <w:tr>
        <w:tc>
          <w:tcPr>
            <w:tcW w:type="dxa" w:w="2076"/>
          </w:tcPr>
          <w:p/>
        </w:tc>
        <w:tc>
          <w:tcPr>
            <w:tcW w:type="dxa" w:w="415"/>
          </w:tcPr>
          <w:p>
            <w:r>
              <w:rPr/>
              <w:t>2</w:t>
            </w:r>
          </w:p>
        </w:tc>
        <w:tc>
          <w:tcPr>
            <w:tcW w:type="dxa" w:w="5814"/>
          </w:tcPr>
          <w:p>
            <w:pPr>
              <w:jc w:val="both"/>
            </w:pPr>
            <w:r>
              <w:rPr>
                <w:b/>
                <w:sz w:val="22"/>
              </w:rPr>
              <w:t>零散</w:t>
            </w:r>
            <w:r>
              <w:rPr>
                <w:b/>
                <w:sz w:val="22"/>
              </w:rPr>
              <w:t>项目的工期要求</w:t>
            </w:r>
          </w:p>
          <w:p>
            <w:pPr>
              <w:ind w:firstLine="630"/>
              <w:jc w:val="both"/>
            </w:pPr>
            <w:r>
              <w:rPr>
                <w:sz w:val="22"/>
              </w:rPr>
              <w:t>项目</w:t>
            </w:r>
            <w:r>
              <w:rPr>
                <w:sz w:val="22"/>
              </w:rPr>
              <w:t>内容：以采购人在每个合同期期间安排的零散项目为准，中标人必须按采购人发出的工作联系单、按质、按量、按时独立完成，以采购人发出具体项目的施工图纸或</w:t>
            </w:r>
            <w:r>
              <w:rPr>
                <w:sz w:val="22"/>
              </w:rPr>
              <w:t>项目</w:t>
            </w:r>
            <w:r>
              <w:rPr>
                <w:sz w:val="22"/>
              </w:rPr>
              <w:t>内容为准，并在通过验收后向发包单位办理移交手续。</w:t>
            </w:r>
          </w:p>
          <w:p>
            <w:pPr>
              <w:jc w:val="both"/>
            </w:pPr>
            <w:r>
              <w:rPr>
                <w:sz w:val="22"/>
              </w:rPr>
              <w:t>中标人必须按采购人确认的进度计划组织施工，接受采购人对进度的检查、监督。</w:t>
            </w:r>
            <w:r>
              <w:rPr>
                <w:sz w:val="22"/>
              </w:rPr>
              <w:t>项目</w:t>
            </w:r>
            <w:r>
              <w:rPr>
                <w:sz w:val="22"/>
              </w:rPr>
              <w:t>实际进度与经确认的进度计划不符时，中标人应无条件地按采购人的要求提出改进措施，经采购人确认后执行，确保</w:t>
            </w:r>
            <w:r>
              <w:rPr>
                <w:sz w:val="22"/>
              </w:rPr>
              <w:t>项目</w:t>
            </w:r>
            <w:r>
              <w:rPr>
                <w:sz w:val="22"/>
              </w:rPr>
              <w:t>的施工进度。如为保证在工期内完工，采购人认为有必要采取赶工措施的，中标人应该积极配合，因赶工而增加的费用由中标人自行承担。</w:t>
            </w:r>
          </w:p>
        </w:tc>
      </w:tr>
      <w:tr>
        <w:tc>
          <w:tcPr>
            <w:tcW w:type="dxa" w:w="2076"/>
          </w:tcPr>
          <w:p/>
        </w:tc>
        <w:tc>
          <w:tcPr>
            <w:tcW w:type="dxa" w:w="415"/>
          </w:tcPr>
          <w:p>
            <w:r>
              <w:rPr/>
              <w:t>3</w:t>
            </w:r>
          </w:p>
        </w:tc>
        <w:tc>
          <w:tcPr>
            <w:tcW w:type="dxa" w:w="5814"/>
          </w:tcPr>
          <w:p>
            <w:pPr>
              <w:jc w:val="both"/>
            </w:pPr>
            <w:r>
              <w:rPr>
                <w:b/>
                <w:sz w:val="22"/>
              </w:rPr>
              <w:t>本项目采购预算及</w:t>
            </w:r>
            <w:r>
              <w:rPr>
                <w:b/>
                <w:sz w:val="22"/>
              </w:rPr>
              <w:t>项目</w:t>
            </w:r>
            <w:r>
              <w:rPr>
                <w:b/>
                <w:sz w:val="22"/>
              </w:rPr>
              <w:t>金额确定及发包流程</w:t>
            </w:r>
          </w:p>
          <w:p>
            <w:pPr>
              <w:ind w:firstLine="420"/>
              <w:jc w:val="both"/>
            </w:pPr>
            <w:r>
              <w:rPr>
                <w:sz w:val="22"/>
              </w:rPr>
              <w:t>（一）</w:t>
            </w:r>
            <w:r>
              <w:rPr>
                <w:sz w:val="22"/>
              </w:rPr>
              <w:t>单宗零散项目金额确定：按《建设工程工程量清单计价规范》</w:t>
            </w:r>
            <w:r>
              <w:rPr>
                <w:sz w:val="22"/>
              </w:rPr>
              <w:t>(GB50500—2013)、2018年《广东省建设工程计价依据》、《通用安装工程工程量计算规范》(GB50858-2013)、《广东省市政工程综合定额(2018)》、《广东省通用安装工程综合定额(2018)》、《广东省建设工程施工机具台班费用编制规则(2018)》等相关国家、省、市标准为依据（如有新的规范等则按最新的执行），并按项目有关的资料进行计量编制，其中人工、材料、机械价格以单宗零散项目实施起当月的佛山市工程造价管理机构发布的信息价格（简称信息价）进行组价，信息价缺价的，采用施工当地市场价格。本项目不调价差。</w:t>
            </w:r>
          </w:p>
          <w:p>
            <w:pPr>
              <w:ind w:firstLine="630"/>
              <w:jc w:val="both"/>
            </w:pPr>
            <w:r>
              <w:rPr>
                <w:sz w:val="22"/>
              </w:rPr>
              <w:t>（二）采购人根据实际需要与中标人签订一份具体的单宗</w:t>
            </w:r>
            <w:r>
              <w:rPr>
                <w:sz w:val="22"/>
              </w:rPr>
              <w:t>零散项目</w:t>
            </w:r>
            <w:r>
              <w:rPr>
                <w:sz w:val="22"/>
              </w:rPr>
              <w:t>服务委派单，确定</w:t>
            </w:r>
            <w:r>
              <w:rPr>
                <w:sz w:val="22"/>
              </w:rPr>
              <w:t>零散</w:t>
            </w:r>
            <w:r>
              <w:rPr>
                <w:sz w:val="22"/>
              </w:rPr>
              <w:t>项目金额上限价结算办法，承包单位须无条件接受。有关发包</w:t>
            </w:r>
            <w:r>
              <w:rPr>
                <w:sz w:val="22"/>
              </w:rPr>
              <w:t>零散</w:t>
            </w:r>
            <w:r>
              <w:rPr>
                <w:sz w:val="22"/>
              </w:rPr>
              <w:t>项目的价款及结算价款的确定办法如下：</w:t>
            </w:r>
          </w:p>
          <w:p>
            <w:pPr>
              <w:ind w:firstLine="420"/>
              <w:jc w:val="both"/>
            </w:pPr>
            <w:r>
              <w:rPr>
                <w:sz w:val="22"/>
              </w:rPr>
              <w:t>（</w:t>
            </w:r>
            <w:r>
              <w:rPr>
                <w:sz w:val="22"/>
              </w:rPr>
              <w:t>1）发包前，采购人根据资金立项情况，签订服务委派单上限金额；</w:t>
            </w:r>
          </w:p>
          <w:p>
            <w:pPr>
              <w:ind w:firstLine="420"/>
              <w:jc w:val="both"/>
            </w:pPr>
            <w:r>
              <w:rPr>
                <w:sz w:val="22"/>
              </w:rPr>
              <w:t>（</w:t>
            </w:r>
            <w:r>
              <w:rPr>
                <w:sz w:val="22"/>
              </w:rPr>
              <w:t>2）发包时，采购人在服务委派单期期间安排零散项目，中标人按采购人提出的</w:t>
            </w:r>
            <w:r>
              <w:rPr>
                <w:sz w:val="22"/>
              </w:rPr>
              <w:t>零散</w:t>
            </w:r>
            <w:r>
              <w:rPr>
                <w:sz w:val="22"/>
              </w:rPr>
              <w:t>项目按质、按量、按时独立完成，并通过采购人的验收，单宗零散项目竣工结算按中介（造价公司）核算的结算金额为依据。</w:t>
            </w:r>
          </w:p>
          <w:p>
            <w:pPr>
              <w:ind w:firstLine="420"/>
              <w:jc w:val="both"/>
            </w:pPr>
            <w:r>
              <w:rPr>
                <w:sz w:val="22"/>
              </w:rPr>
              <w:t>即：单宗零散项目结算价＝中介（造价公司）核算的结算金额</w:t>
            </w:r>
            <w:r>
              <w:rPr>
                <w:sz w:val="22"/>
              </w:rPr>
              <w:t>×中标折扣率。</w:t>
            </w:r>
          </w:p>
          <w:p>
            <w:pPr>
              <w:ind w:firstLine="420"/>
              <w:jc w:val="both"/>
            </w:pPr>
            <w:r>
              <w:rPr>
                <w:sz w:val="22"/>
              </w:rPr>
              <w:t>（</w:t>
            </w:r>
            <w:r>
              <w:rPr>
                <w:sz w:val="22"/>
              </w:rPr>
              <w:t>3）要求中标人按发包服务委派单总价对发包</w:t>
            </w:r>
            <w:r>
              <w:rPr>
                <w:sz w:val="22"/>
              </w:rPr>
              <w:t>零散</w:t>
            </w:r>
            <w:r>
              <w:rPr>
                <w:sz w:val="22"/>
              </w:rPr>
              <w:t>项目的服务量清单或相关资料所涵括的全部项目内容进行承包施工（包施工、包材料、包工期、包安全、包质量、包文明施工），合同价格应包括施工费、利润、各项税费等完成发包项目的全部费用。</w:t>
            </w:r>
          </w:p>
          <w:p>
            <w:pPr>
              <w:ind w:firstLine="420"/>
              <w:jc w:val="both"/>
            </w:pPr>
            <w:r>
              <w:rPr>
                <w:sz w:val="22"/>
              </w:rPr>
              <w:t>（</w:t>
            </w:r>
            <w:r>
              <w:rPr>
                <w:sz w:val="22"/>
              </w:rPr>
              <w:t>4）在施工过程中如遇有设计变更、现场签证等事件时，有关的措施项目费用及服务委派单总价按合同专用条款、通用条款或相关约定进行调整，合同结算以造价咨询单位审核并经采购人确认的结论为准。</w:t>
            </w:r>
          </w:p>
          <w:p>
            <w:pPr>
              <w:ind w:firstLine="420"/>
              <w:jc w:val="both"/>
            </w:pPr>
            <w:r>
              <w:rPr>
                <w:sz w:val="22"/>
              </w:rPr>
              <w:t>（</w:t>
            </w:r>
            <w:r>
              <w:rPr>
                <w:sz w:val="22"/>
              </w:rPr>
              <w:t>5）结算时，中标人需向采购人提交结算文件及申请资料，由采购人委托造价咨询机构进行结算审核。最终的合同结算价以经采购人审核确认的项目结算造价乘以中标折扣率的计算值为准。</w:t>
            </w:r>
          </w:p>
          <w:p>
            <w:pPr>
              <w:ind w:firstLine="440"/>
              <w:jc w:val="both"/>
            </w:pPr>
            <w:r>
              <w:rPr>
                <w:sz w:val="22"/>
              </w:rPr>
              <w:t>（</w:t>
            </w:r>
            <w:r>
              <w:rPr>
                <w:sz w:val="22"/>
              </w:rPr>
              <w:t>6）投标人在填报投标报价时，应根据企业自身的成本核算情况，采购文件、主要合同条款、街道内道路交通环境及市场情况、充分考虑风险因素等进行自主报价。中标后，中标折扣率不得调整。一经投标，即认为该投标人已充分考虑有关风险，愿意承担因这些风险所造成的一切经济损失，并放弃因此造成的损失求偿权。</w:t>
            </w:r>
          </w:p>
          <w:p>
            <w:pPr>
              <w:ind w:firstLine="630"/>
              <w:jc w:val="both"/>
            </w:pPr>
            <w:r>
              <w:rPr>
                <w:sz w:val="22"/>
              </w:rPr>
              <w:t>（三）项目发包流程</w:t>
            </w:r>
          </w:p>
          <w:p>
            <w:pPr>
              <w:jc w:val="both"/>
            </w:pPr>
            <w:r>
              <w:rPr>
                <w:sz w:val="22"/>
              </w:rPr>
              <w:t>采购人单宗发包的零散项目，将与中标人签订一个</w:t>
            </w:r>
            <w:r>
              <w:rPr>
                <w:sz w:val="22"/>
              </w:rPr>
              <w:t>服务</w:t>
            </w:r>
            <w:r>
              <w:rPr>
                <w:sz w:val="22"/>
              </w:rPr>
              <w:t>委派单。</w:t>
            </w:r>
          </w:p>
        </w:tc>
      </w:tr>
      <w:tr>
        <w:tc>
          <w:tcPr>
            <w:tcW w:type="dxa" w:w="2076"/>
          </w:tcPr>
          <w:p/>
        </w:tc>
        <w:tc>
          <w:tcPr>
            <w:tcW w:type="dxa" w:w="415"/>
          </w:tcPr>
          <w:p>
            <w:r>
              <w:rPr/>
              <w:t>4</w:t>
            </w:r>
          </w:p>
        </w:tc>
        <w:tc>
          <w:tcPr>
            <w:tcW w:type="dxa" w:w="5814"/>
          </w:tcPr>
          <w:p>
            <w:pPr>
              <w:jc w:val="both"/>
            </w:pPr>
            <w:r>
              <w:rPr>
                <w:b/>
                <w:sz w:val="22"/>
              </w:rPr>
              <w:t>有关</w:t>
            </w:r>
            <w:r>
              <w:rPr>
                <w:b/>
                <w:sz w:val="22"/>
              </w:rPr>
              <w:t>零散</w:t>
            </w:r>
            <w:r>
              <w:rPr>
                <w:b/>
                <w:sz w:val="22"/>
              </w:rPr>
              <w:t>项目任务的施工管理要求</w:t>
            </w:r>
          </w:p>
          <w:p>
            <w:pPr>
              <w:ind w:firstLine="420"/>
              <w:jc w:val="both"/>
            </w:pPr>
            <w:r>
              <w:rPr>
                <w:sz w:val="22"/>
              </w:rPr>
              <w:t>（</w:t>
            </w:r>
            <w:r>
              <w:rPr>
                <w:sz w:val="22"/>
              </w:rPr>
              <w:t>1）中标人在承包</w:t>
            </w:r>
            <w:r>
              <w:rPr>
                <w:sz w:val="22"/>
              </w:rPr>
              <w:t>零散</w:t>
            </w:r>
            <w:r>
              <w:rPr>
                <w:sz w:val="22"/>
              </w:rPr>
              <w:t>项目任务时应</w:t>
            </w:r>
            <w:r>
              <w:rPr>
                <w:sz w:val="22"/>
              </w:rPr>
              <w:t>遵守</w:t>
            </w:r>
            <w:r>
              <w:rPr>
                <w:sz w:val="22"/>
              </w:rPr>
              <w:t>项目所在地建设管理部门的相关管理规定</w:t>
            </w:r>
            <w:r>
              <w:rPr>
                <w:sz w:val="22"/>
              </w:rPr>
              <w:t>。</w:t>
            </w:r>
          </w:p>
          <w:p>
            <w:pPr>
              <w:ind w:firstLine="420"/>
              <w:jc w:val="both"/>
            </w:pPr>
            <w:r>
              <w:rPr>
                <w:sz w:val="22"/>
              </w:rPr>
              <w:t>（</w:t>
            </w:r>
            <w:r>
              <w:rPr>
                <w:sz w:val="22"/>
              </w:rPr>
              <w:t>2</w:t>
            </w:r>
            <w:r>
              <w:rPr>
                <w:sz w:val="22"/>
              </w:rPr>
              <w:t>）中标人在承包</w:t>
            </w:r>
            <w:r>
              <w:rPr>
                <w:sz w:val="22"/>
              </w:rPr>
              <w:t>零散</w:t>
            </w:r>
            <w:r>
              <w:rPr>
                <w:sz w:val="22"/>
              </w:rPr>
              <w:t>项目任务时，对</w:t>
            </w:r>
            <w:r>
              <w:rPr>
                <w:sz w:val="22"/>
              </w:rPr>
              <w:t>项目</w:t>
            </w:r>
            <w:r>
              <w:rPr>
                <w:sz w:val="22"/>
              </w:rPr>
              <w:t>所投入的材料及设备均须采用符合国家相关质量标准的合格产品（有质量等级分类的，应采用最高质量等级或采购人认可的质量等级的产品），并提供样品经采购人认可封板后才可实施材料采购，采购到货后须经采购人初验核查满意并确认后方可投入施工。否则，采购人有权要求中标人无条件进行返工，直至符合要求为止，所产生的一切费用及工期延误均由中标人自行承担。</w:t>
            </w:r>
          </w:p>
          <w:p>
            <w:pPr>
              <w:ind w:firstLine="420"/>
              <w:jc w:val="both"/>
            </w:pPr>
            <w:r>
              <w:rPr>
                <w:sz w:val="22"/>
              </w:rPr>
              <w:t>（</w:t>
            </w:r>
            <w:r>
              <w:rPr>
                <w:sz w:val="22"/>
              </w:rPr>
              <w:t>3</w:t>
            </w:r>
            <w:r>
              <w:rPr>
                <w:sz w:val="22"/>
              </w:rPr>
              <w:t>）中标人在项目组织施工时，须做好施工现场地下管线和邻近建筑物、构筑物、邻近道路、加油站、地下管道、线缆的保护工作并避免损坏道路，因保护不当或施工原因造成的损失，均由中标人自行承担赔偿责任；由此造成采购人经济损失的，采购人有权向中标人追偿。</w:t>
            </w:r>
          </w:p>
          <w:p>
            <w:pPr>
              <w:ind w:firstLine="420"/>
              <w:jc w:val="both"/>
            </w:pPr>
            <w:r>
              <w:rPr>
                <w:sz w:val="22"/>
              </w:rPr>
              <w:t>（</w:t>
            </w:r>
            <w:r>
              <w:rPr>
                <w:sz w:val="22"/>
              </w:rPr>
              <w:t>4</w:t>
            </w:r>
            <w:r>
              <w:rPr>
                <w:sz w:val="22"/>
              </w:rPr>
              <w:t>）中标人在已竣工项目未交付采购人之前，中标人须负责已完项目的成品保护工作以及存于工地的设备、材料的保管工作。保护、保管期间发生损坏、遗失的，中标人须负责予以修复和补充，并承担由此发生的费用，如因此造成的公共危险须由中标人负责。</w:t>
            </w:r>
          </w:p>
          <w:p>
            <w:pPr>
              <w:ind w:firstLine="420"/>
              <w:jc w:val="both"/>
            </w:pPr>
            <w:r>
              <w:rPr>
                <w:sz w:val="22"/>
              </w:rPr>
              <w:t>（</w:t>
            </w:r>
            <w:r>
              <w:rPr>
                <w:sz w:val="22"/>
              </w:rPr>
              <w:t>5</w:t>
            </w:r>
            <w:r>
              <w:rPr>
                <w:sz w:val="22"/>
              </w:rPr>
              <w:t>）中标人须负责施工及竣工验收资料的收集、整理和完善，并须按《城市建设档案管理规定》的要求向采购人移交经验收合格的档案资料。否则，采购人有权不予支付剩余进度款。</w:t>
            </w:r>
          </w:p>
          <w:p>
            <w:pPr>
              <w:ind w:firstLine="420"/>
              <w:jc w:val="both"/>
            </w:pPr>
            <w:r>
              <w:rPr>
                <w:sz w:val="22"/>
              </w:rPr>
              <w:t>（</w:t>
            </w:r>
            <w:r>
              <w:rPr>
                <w:sz w:val="22"/>
              </w:rPr>
              <w:t>6</w:t>
            </w:r>
            <w:r>
              <w:rPr>
                <w:sz w:val="22"/>
              </w:rPr>
              <w:t>）在本协议签订生效并承担零散项目任务后，中标人须组织足够的人力物力进行施工，确保零散项目按采购人发包时约定的工期、质量按时完工交付。如发生非采购人原因导致的误期，则采购人将按</w:t>
            </w:r>
            <w:r>
              <w:rPr>
                <w:sz w:val="22"/>
              </w:rPr>
              <w:t>合同</w:t>
            </w:r>
            <w:r>
              <w:rPr>
                <w:sz w:val="22"/>
              </w:rPr>
              <w:t>的约定对中标人进行处罚。</w:t>
            </w:r>
          </w:p>
          <w:p>
            <w:pPr>
              <w:ind w:firstLine="420"/>
              <w:jc w:val="both"/>
            </w:pPr>
            <w:r>
              <w:rPr>
                <w:sz w:val="22"/>
              </w:rPr>
              <w:t>（</w:t>
            </w:r>
            <w:r>
              <w:rPr>
                <w:sz w:val="22"/>
              </w:rPr>
              <w:t>7</w:t>
            </w:r>
            <w:r>
              <w:rPr>
                <w:sz w:val="22"/>
              </w:rPr>
              <w:t>）中标人于本协议生效期间，在接到采购人发出的零散项目需求时，应在</w:t>
            </w:r>
            <w:r>
              <w:rPr>
                <w:sz w:val="22"/>
              </w:rPr>
              <w:t>2小时内响应，并按规定时间内到达指定地点进行项目承包分配程序并确认分配结果；中标人承接零散项目后，应在采购人规定的时间内完成相应的任务，并严格执行施工规范、安全操作规程、防火安全规定、环境保护规定进行施工，确保项目质量达到合格或以上验收标准，并保质、保量、按期完成施工任务并组织竣工验收。</w:t>
            </w:r>
          </w:p>
          <w:p>
            <w:pPr>
              <w:ind w:firstLine="420"/>
              <w:jc w:val="both"/>
            </w:pPr>
            <w:r>
              <w:rPr>
                <w:sz w:val="22"/>
              </w:rPr>
              <w:t>（</w:t>
            </w:r>
            <w:r>
              <w:rPr>
                <w:sz w:val="22"/>
              </w:rPr>
              <w:t>8</w:t>
            </w:r>
            <w:r>
              <w:rPr>
                <w:sz w:val="22"/>
              </w:rPr>
              <w:t>）扬尘污染防治费和用工实名管理费，该费不得挪作他用，中标人按照佛山市顺德区国土城建和水利局关于建设工程施工扬尘污染防治措施和用工实名管理费用计价有关事项的通知《顺建函〔</w:t>
            </w:r>
            <w:r>
              <w:rPr>
                <w:sz w:val="22"/>
              </w:rPr>
              <w:t>2018〕1045号》执行，否则将按有关通知的处罚条款依法进行扣罚违约金及追究法律责任。</w:t>
            </w:r>
          </w:p>
          <w:p>
            <w:pPr>
              <w:ind w:firstLine="420"/>
              <w:jc w:val="both"/>
            </w:pPr>
            <w:r>
              <w:rPr>
                <w:sz w:val="22"/>
              </w:rPr>
              <w:t>（</w:t>
            </w:r>
            <w:r>
              <w:rPr>
                <w:sz w:val="22"/>
              </w:rPr>
              <w:t>9</w:t>
            </w:r>
            <w:r>
              <w:rPr>
                <w:sz w:val="22"/>
              </w:rPr>
              <w:t>）施工过程中中标人应采取有效措施对施工范围内的绿化或设施进行管养（管理），费用包含或视为已包含在合同总价中。施工过程中若因施工原因造成损坏，中标人须负责原貌恢复，一切费用均由中标人负责。</w:t>
            </w:r>
          </w:p>
          <w:p>
            <w:pPr>
              <w:ind w:firstLine="420"/>
              <w:jc w:val="both"/>
            </w:pPr>
            <w:r>
              <w:rPr>
                <w:sz w:val="22"/>
              </w:rPr>
              <w:t>（</w:t>
            </w:r>
            <w:r>
              <w:rPr>
                <w:sz w:val="22"/>
              </w:rPr>
              <w:t>10</w:t>
            </w:r>
            <w:r>
              <w:rPr>
                <w:sz w:val="22"/>
              </w:rPr>
              <w:t>）本项目实施过程必须做好安全围蔽措施及交通疏导措施。严格按照《佛山市顺德区国土城建和水利局关于进一步规范我区建筑工地现场围挡设置的通知》顺建函</w:t>
            </w:r>
            <w:r>
              <w:rPr>
                <w:sz w:val="22"/>
              </w:rPr>
              <w:t>[2019]421号要求进行围蔽（围挡应设置项目概况、文明施工、安全质量、公益宣传等广告，所需费用中标人应综合考虑在报价内）。交通疏导方案须得到学校、道路主管部门及交警部门的审批后实施。上述发生的费用采购人不再另行支付，由投标人在投标报价中综合考虑。施工过程中发生的交通事故或安全事故，由中标单位负责其责任及费用。施工围蔽必须按照采购人要求设置。</w:t>
            </w:r>
          </w:p>
          <w:p>
            <w:pPr>
              <w:jc w:val="both"/>
            </w:pPr>
            <w:r>
              <w:rPr>
                <w:sz w:val="22"/>
              </w:rPr>
              <w:t>（</w:t>
            </w:r>
            <w:r>
              <w:rPr>
                <w:sz w:val="22"/>
              </w:rPr>
              <w:t>1</w:t>
            </w:r>
            <w:r>
              <w:rPr>
                <w:sz w:val="22"/>
              </w:rPr>
              <w:t>1</w:t>
            </w:r>
            <w:r>
              <w:rPr>
                <w:sz w:val="22"/>
              </w:rPr>
              <w:t>）中标人须负责施工及竣工验收资料的收集、整理和完善，并须按采购人的要求向采购人移交经验收合格的档案资料。否则，采购人有权不予支付结算款。</w:t>
            </w:r>
          </w:p>
        </w:tc>
      </w:tr>
      <w:tr>
        <w:tc>
          <w:tcPr>
            <w:tcW w:type="dxa" w:w="2076"/>
          </w:tcPr>
          <w:p/>
        </w:tc>
        <w:tc>
          <w:tcPr>
            <w:tcW w:type="dxa" w:w="415"/>
          </w:tcPr>
          <w:p>
            <w:r>
              <w:rPr/>
              <w:t>5</w:t>
            </w:r>
          </w:p>
        </w:tc>
        <w:tc>
          <w:tcPr>
            <w:tcW w:type="dxa" w:w="5814"/>
          </w:tcPr>
          <w:p>
            <w:pPr>
              <w:jc w:val="both"/>
            </w:pPr>
            <w:r>
              <w:rPr>
                <w:b/>
                <w:sz w:val="22"/>
              </w:rPr>
              <w:t>违约责任</w:t>
            </w:r>
          </w:p>
          <w:p>
            <w:pPr>
              <w:jc w:val="both"/>
            </w:pPr>
            <w:r>
              <w:rPr>
                <w:sz w:val="22"/>
              </w:rPr>
              <w:t>中标人合同服务期间，如有以下行为之一的，将视为中标人违约，采购人有权解除或终止合同，不合格</w:t>
            </w:r>
            <w:r>
              <w:rPr>
                <w:sz w:val="22"/>
              </w:rPr>
              <w:t>零散</w:t>
            </w:r>
            <w:r>
              <w:rPr>
                <w:sz w:val="22"/>
              </w:rPr>
              <w:t>项目的结算款项将不再支付，并全额没收该中标人的履约保证金；同时，采购人将上报街道监管部门，将其不良行为记入信誉档案；情节严重者，将上报区相关主管部门依法作进一步处罚：</w:t>
            </w:r>
          </w:p>
          <w:p>
            <w:pPr>
              <w:jc w:val="both"/>
            </w:pPr>
            <w:r>
              <w:rPr>
                <w:sz w:val="22"/>
              </w:rPr>
              <w:t>（</w:t>
            </w:r>
            <w:r>
              <w:rPr>
                <w:sz w:val="22"/>
              </w:rPr>
              <w:t>1）中标人违反有关法律法规，受到有关行政主管部门吊销其营业执照、取消或暂停其资质、限制其市场准入资格等处罚的；</w:t>
            </w:r>
          </w:p>
          <w:p>
            <w:pPr>
              <w:jc w:val="both"/>
            </w:pPr>
            <w:r>
              <w:rPr>
                <w:sz w:val="22"/>
              </w:rPr>
              <w:t>（</w:t>
            </w:r>
            <w:r>
              <w:rPr>
                <w:sz w:val="22"/>
              </w:rPr>
              <w:t>2）中标人因违规违纪行为，受到行业监督管理部门通报、查处的；</w:t>
            </w:r>
          </w:p>
          <w:p>
            <w:pPr>
              <w:jc w:val="both"/>
            </w:pPr>
            <w:r>
              <w:rPr>
                <w:sz w:val="22"/>
              </w:rPr>
              <w:t>（</w:t>
            </w:r>
            <w:r>
              <w:rPr>
                <w:sz w:val="22"/>
              </w:rPr>
              <w:t>3）中标人违反有关安全生产规定和施工规范，造成重大质量问题或安全事故的；</w:t>
            </w:r>
          </w:p>
          <w:p>
            <w:pPr>
              <w:jc w:val="both"/>
            </w:pPr>
            <w:r>
              <w:rPr>
                <w:sz w:val="22"/>
              </w:rPr>
              <w:t>（</w:t>
            </w:r>
            <w:r>
              <w:rPr>
                <w:sz w:val="22"/>
              </w:rPr>
              <w:t>4）中标人在组织</w:t>
            </w:r>
            <w:r>
              <w:rPr>
                <w:sz w:val="22"/>
              </w:rPr>
              <w:t>零散</w:t>
            </w:r>
            <w:r>
              <w:rPr>
                <w:sz w:val="22"/>
              </w:rPr>
              <w:t>项目实施过程中违反相关法律法规或出现重大失误造成恶劣影响的；</w:t>
            </w:r>
          </w:p>
          <w:p>
            <w:pPr>
              <w:jc w:val="both"/>
            </w:pPr>
            <w:r>
              <w:rPr>
                <w:sz w:val="22"/>
              </w:rPr>
              <w:t>（</w:t>
            </w:r>
            <w:r>
              <w:rPr>
                <w:sz w:val="22"/>
              </w:rPr>
              <w:t>5）中标人所承包</w:t>
            </w:r>
            <w:r>
              <w:rPr>
                <w:sz w:val="22"/>
              </w:rPr>
              <w:t>零散</w:t>
            </w:r>
            <w:r>
              <w:rPr>
                <w:sz w:val="22"/>
              </w:rPr>
              <w:t>项目验收不合格且拒不积极采取措施进行补救或返工，给采购人造成经济损失和不良影响的；</w:t>
            </w:r>
          </w:p>
          <w:p>
            <w:pPr>
              <w:jc w:val="both"/>
            </w:pPr>
            <w:r>
              <w:rPr>
                <w:sz w:val="22"/>
              </w:rPr>
              <w:t>（</w:t>
            </w:r>
            <w:r>
              <w:rPr>
                <w:sz w:val="22"/>
              </w:rPr>
              <w:t>6）中标人工作态度不端正，被采购人提出书面整改（或警告）通知仍未采取有效措施进行改善达2次以上的；</w:t>
            </w:r>
          </w:p>
          <w:p>
            <w:pPr>
              <w:jc w:val="both"/>
            </w:pPr>
            <w:r>
              <w:rPr>
                <w:sz w:val="22"/>
              </w:rPr>
              <w:t>（</w:t>
            </w:r>
            <w:r>
              <w:rPr>
                <w:sz w:val="22"/>
              </w:rPr>
              <w:t>7）除前款规定的特殊情况外，中标人无故推托或拒绝接受</w:t>
            </w:r>
            <w:r>
              <w:rPr>
                <w:sz w:val="22"/>
              </w:rPr>
              <w:t>零散</w:t>
            </w:r>
            <w:r>
              <w:rPr>
                <w:sz w:val="22"/>
              </w:rPr>
              <w:t>项目或申请放弃</w:t>
            </w:r>
            <w:r>
              <w:rPr>
                <w:sz w:val="22"/>
              </w:rPr>
              <w:t>零散</w:t>
            </w:r>
            <w:r>
              <w:rPr>
                <w:sz w:val="22"/>
              </w:rPr>
              <w:t>项目的；</w:t>
            </w:r>
          </w:p>
          <w:p>
            <w:pPr>
              <w:jc w:val="both"/>
            </w:pPr>
            <w:r>
              <w:rPr>
                <w:sz w:val="22"/>
              </w:rPr>
              <w:t>（</w:t>
            </w:r>
            <w:r>
              <w:rPr>
                <w:sz w:val="22"/>
              </w:rPr>
              <w:t>8）中标人提供虚假信息，误导或欺骗采购人，以谋取非法利益的；</w:t>
            </w:r>
          </w:p>
          <w:p>
            <w:pPr>
              <w:jc w:val="both"/>
            </w:pPr>
            <w:r>
              <w:rPr>
                <w:sz w:val="22"/>
              </w:rPr>
              <w:t>（</w:t>
            </w:r>
            <w:r>
              <w:rPr>
                <w:sz w:val="22"/>
              </w:rPr>
              <w:t>9）中标人违反了诚实信用和投标承诺，没有严格执行相关质量、服务和收费标准，损害采购人利益的；</w:t>
            </w:r>
          </w:p>
          <w:p>
            <w:pPr>
              <w:jc w:val="both"/>
            </w:pPr>
            <w:r>
              <w:rPr>
                <w:sz w:val="22"/>
              </w:rPr>
              <w:t>（</w:t>
            </w:r>
            <w:r>
              <w:rPr>
                <w:sz w:val="22"/>
              </w:rPr>
              <w:t>10）中标人拒绝接受相关部门监督和检查的；</w:t>
            </w:r>
          </w:p>
          <w:p>
            <w:pPr>
              <w:jc w:val="both"/>
            </w:pPr>
            <w:r>
              <w:rPr>
                <w:sz w:val="22"/>
              </w:rPr>
              <w:t>（</w:t>
            </w:r>
            <w:r>
              <w:rPr>
                <w:sz w:val="22"/>
              </w:rPr>
              <w:t>11）中标人出现信用危机、财务危机、经营危机甚至破产、倒闭，无法继续履行合同的；</w:t>
            </w:r>
          </w:p>
          <w:p>
            <w:pPr>
              <w:jc w:val="both"/>
            </w:pPr>
            <w:r>
              <w:rPr>
                <w:sz w:val="22"/>
              </w:rPr>
              <w:t>（</w:t>
            </w:r>
            <w:r>
              <w:rPr>
                <w:sz w:val="22"/>
              </w:rPr>
              <w:t>12）中标人采用非法手段进行不正当竞争的，造成恶劣影响的；</w:t>
            </w:r>
          </w:p>
          <w:p>
            <w:pPr>
              <w:jc w:val="both"/>
            </w:pPr>
            <w:r>
              <w:rPr>
                <w:sz w:val="22"/>
              </w:rPr>
              <w:t>（</w:t>
            </w:r>
            <w:r>
              <w:rPr>
                <w:sz w:val="22"/>
              </w:rPr>
              <w:t>13）中标人在施工过程中非法获取与项目有关的任何非法利益的；</w:t>
            </w:r>
          </w:p>
          <w:p>
            <w:pPr>
              <w:jc w:val="both"/>
            </w:pPr>
            <w:r>
              <w:rPr>
                <w:sz w:val="22"/>
              </w:rPr>
              <w:t>（</w:t>
            </w:r>
            <w:r>
              <w:rPr>
                <w:sz w:val="22"/>
              </w:rPr>
              <w:t>14）中标人在施工过程中与</w:t>
            </w:r>
            <w:r>
              <w:rPr>
                <w:sz w:val="22"/>
              </w:rPr>
              <w:t>零散</w:t>
            </w:r>
            <w:r>
              <w:rPr>
                <w:sz w:val="22"/>
              </w:rPr>
              <w:t>项目相关方串通，非法影响</w:t>
            </w:r>
            <w:r>
              <w:rPr>
                <w:sz w:val="22"/>
              </w:rPr>
              <w:t>零散</w:t>
            </w:r>
            <w:r>
              <w:rPr>
                <w:sz w:val="22"/>
              </w:rPr>
              <w:t>项目质量、损害采购人利益的；</w:t>
            </w:r>
          </w:p>
          <w:p>
            <w:pPr>
              <w:jc w:val="both"/>
            </w:pPr>
            <w:r>
              <w:rPr>
                <w:sz w:val="22"/>
              </w:rPr>
              <w:t>（</w:t>
            </w:r>
            <w:r>
              <w:rPr>
                <w:sz w:val="22"/>
              </w:rPr>
              <w:t>15）中标人违反省、市、区及街道政府的相关管理规定的；</w:t>
            </w:r>
          </w:p>
          <w:p>
            <w:pPr>
              <w:jc w:val="both"/>
            </w:pPr>
            <w:r>
              <w:rPr>
                <w:sz w:val="22"/>
              </w:rPr>
              <w:t>中标人在服务期间，如发生上述</w:t>
            </w:r>
            <w:r>
              <w:rPr>
                <w:sz w:val="22"/>
              </w:rPr>
              <w:t>违约</w:t>
            </w:r>
            <w:r>
              <w:rPr>
                <w:sz w:val="22"/>
              </w:rPr>
              <w:t>情形，采购人有权单方发出解除或终止合同通知书。</w:t>
            </w:r>
          </w:p>
        </w:tc>
      </w:tr>
      <w:tr>
        <w:tc>
          <w:tcPr>
            <w:tcW w:type="dxa" w:w="2076"/>
          </w:tcPr>
          <w:p/>
        </w:tc>
        <w:tc>
          <w:tcPr>
            <w:tcW w:type="dxa" w:w="415"/>
          </w:tcPr>
          <w:p>
            <w:r>
              <w:rPr/>
              <w:t>6</w:t>
            </w:r>
          </w:p>
        </w:tc>
        <w:tc>
          <w:tcPr>
            <w:tcW w:type="dxa" w:w="5814"/>
          </w:tcPr>
          <w:p>
            <w:pPr>
              <w:jc w:val="both"/>
            </w:pPr>
            <w:r>
              <w:rPr>
                <w:b/>
                <w:sz w:val="22"/>
              </w:rPr>
              <w:t>项目团队</w:t>
            </w:r>
          </w:p>
          <w:p>
            <w:pPr>
              <w:jc w:val="both"/>
            </w:pPr>
            <w:r>
              <w:rPr>
                <w:sz w:val="22"/>
              </w:rPr>
              <w:t>1、招标人可根据项目建设需要，对中标人的拟派单宗</w:t>
            </w:r>
            <w:r>
              <w:rPr>
                <w:sz w:val="22"/>
              </w:rPr>
              <w:t>零散项目</w:t>
            </w:r>
            <w:r>
              <w:rPr>
                <w:sz w:val="22"/>
              </w:rPr>
              <w:t>负责人提出相应的资格要求，中标人需无条件服从。</w:t>
            </w:r>
          </w:p>
          <w:p>
            <w:pPr>
              <w:jc w:val="both"/>
            </w:pPr>
            <w:r>
              <w:rPr>
                <w:sz w:val="22"/>
              </w:rPr>
              <w:t>2、拟任项目团队中管理人员：配备施工员、质量员、材料员、资料员、劳务员、机械员、安全员各1名。</w:t>
            </w:r>
          </w:p>
        </w:tc>
      </w:tr>
      <w:tr>
        <w:tc>
          <w:tcPr>
            <w:tcW w:type="dxa" w:w="2076"/>
          </w:tcPr>
          <w:p/>
        </w:tc>
        <w:tc>
          <w:tcPr>
            <w:tcW w:type="dxa" w:w="415"/>
          </w:tcPr>
          <w:p>
            <w:r>
              <w:rPr/>
              <w:t>7</w:t>
            </w:r>
          </w:p>
        </w:tc>
        <w:tc>
          <w:tcPr>
            <w:tcW w:type="dxa" w:w="5814"/>
          </w:tcPr>
          <w:p>
            <w:pPr>
              <w:jc w:val="both"/>
            </w:pPr>
            <w:r>
              <w:rPr>
                <w:b/>
                <w:sz w:val="22"/>
              </w:rPr>
              <w:t>投标人拟投入本项目最低的施工机械设备</w:t>
            </w:r>
          </w:p>
          <w:p>
            <w:pPr>
              <w:jc w:val="both"/>
            </w:pPr>
            <w:r>
              <w:rPr>
                <w:sz w:val="22"/>
              </w:rPr>
              <w:t>1、核定载质量为</w:t>
            </w:r>
            <w:r>
              <w:rPr>
                <w:sz w:val="22"/>
              </w:rPr>
              <w:t>3吨或以上</w:t>
            </w:r>
            <w:r>
              <w:rPr>
                <w:sz w:val="22"/>
              </w:rPr>
              <w:t>的货车</w:t>
            </w:r>
            <w:r>
              <w:rPr>
                <w:sz w:val="22"/>
              </w:rPr>
              <w:t>2</w:t>
            </w:r>
            <w:r>
              <w:rPr>
                <w:sz w:val="22"/>
              </w:rPr>
              <w:t>辆；</w:t>
            </w:r>
          </w:p>
          <w:p>
            <w:pPr>
              <w:jc w:val="both"/>
            </w:pPr>
            <w:r>
              <w:rPr>
                <w:sz w:val="22"/>
              </w:rPr>
              <w:t>2、</w:t>
            </w:r>
            <w:r>
              <w:rPr>
                <w:sz w:val="22"/>
              </w:rPr>
              <w:t>挖掘机</w:t>
            </w:r>
            <w:r>
              <w:rPr>
                <w:sz w:val="22"/>
              </w:rPr>
              <w:t>1台</w:t>
            </w:r>
            <w:r>
              <w:rPr>
                <w:sz w:val="22"/>
              </w:rPr>
              <w:t>；</w:t>
            </w:r>
          </w:p>
          <w:p>
            <w:pPr>
              <w:jc w:val="both"/>
            </w:pPr>
            <w:r>
              <w:rPr>
                <w:sz w:val="22"/>
              </w:rPr>
              <w:t>3、</w:t>
            </w:r>
            <w:r>
              <w:rPr>
                <w:sz w:val="22"/>
              </w:rPr>
              <w:t>吊臂车</w:t>
            </w:r>
            <w:r>
              <w:rPr>
                <w:sz w:val="22"/>
              </w:rPr>
              <w:t>1台</w:t>
            </w:r>
            <w:r>
              <w:rPr>
                <w:sz w:val="22"/>
              </w:rPr>
              <w:t>。</w:t>
            </w:r>
          </w:p>
        </w:tc>
      </w:tr>
      <w:tr>
        <w:tc>
          <w:tcPr>
            <w:tcW w:type="dxa" w:w="2076"/>
          </w:tcPr>
          <w:p/>
        </w:tc>
        <w:tc>
          <w:tcPr>
            <w:tcW w:type="dxa" w:w="415"/>
          </w:tcPr>
          <w:p>
            <w:r>
              <w:rPr/>
              <w:t>8</w:t>
            </w:r>
          </w:p>
        </w:tc>
        <w:tc>
          <w:tcPr>
            <w:tcW w:type="dxa" w:w="5814"/>
          </w:tcPr>
          <w:p>
            <w:pPr>
              <w:jc w:val="both"/>
            </w:pPr>
            <w:r>
              <w:rPr>
                <w:b/>
                <w:sz w:val="22"/>
              </w:rPr>
              <w:t>退出机制</w:t>
            </w:r>
          </w:p>
          <w:p>
            <w:r>
              <w:rPr>
                <w:sz w:val="22"/>
              </w:rPr>
              <w:t>1、采购人将按《考核标准及细则》对中标人进行考核与处罚。在服务期间，采购人有权对《考核标准及细则》进行修改。</w:t>
            </w:r>
          </w:p>
          <w:p>
            <w:r>
              <w:rPr>
                <w:sz w:val="22"/>
              </w:rPr>
              <w:t>2、实行考核评分制。采购人对中标人服务的项目进行考核评分，具体要求如下：</w:t>
            </w:r>
          </w:p>
          <w:p>
            <w:r>
              <w:rPr>
                <w:sz w:val="22"/>
              </w:rPr>
              <w:t>（</w:t>
            </w:r>
            <w:r>
              <w:rPr>
                <w:sz w:val="22"/>
              </w:rPr>
              <w:t>1）采购人对中标人考核每扣1分，则在其履约保证金中扣除5000元。在任何单项服务中，如中标人考评累计扣分达15分，或在服务期内，如中标人考评累计扣分达50分，则采购人有权无条件终止和解除服务合同，没收履约保证金，一切经济和法律责任由中标人承担。如履约保证金不足以弥补中标人给采购人所造成的损失的，采购人有权向中标人作进一步的追讨。</w:t>
            </w:r>
          </w:p>
          <w:p>
            <w:r>
              <w:rPr>
                <w:sz w:val="22"/>
              </w:rPr>
              <w:t>（</w:t>
            </w:r>
            <w:r>
              <w:rPr>
                <w:sz w:val="22"/>
              </w:rPr>
              <w:t>2）2023-2025年度容桂街道零散市政设施破损修复维护项目《考核标准及细则》：</w:t>
            </w:r>
          </w:p>
          <w:tbl>
            <w:tblPr>
              <w:tblInd w:type="dxa" w:w="120"/>
              <w:tblBorders>
                <w:top w:val="none" w:color="000000" w:sz="4"/>
                <w:left w:val="none" w:color="000000" w:sz="4"/>
                <w:bottom w:val="none" w:color="000000" w:sz="4"/>
                <w:right w:val="none" w:color="000000" w:sz="4"/>
                <w:insideH w:val="none"/>
                <w:insideV w:val="none"/>
              </w:tblBorders>
            </w:tblPr>
            <w:tblGrid>
              <w:gridCol w:w="671"/>
              <w:gridCol w:w="1462"/>
              <w:gridCol w:w="3464"/>
            </w:tblGrid>
            <w:tr>
              <w:tc>
                <w:tcPr>
                  <w:tcW w:type="dxa" w:w="671"/>
                  <w:tcBorders>
                    <w:top w:val="single" w:color="000000" w:sz="4"/>
                    <w:left w:val="single" w:color="000000" w:sz="4"/>
                    <w:bottom w:val="single" w:color="000000" w:sz="4"/>
                    <w:right w:val="single" w:color="000000" w:sz="4"/>
                  </w:tcBorders>
                  <w:vAlign w:val="top"/>
                </w:tcPr>
                <w:p>
                  <w:pPr>
                    <w:jc w:val="center"/>
                  </w:pPr>
                  <w:r>
                    <w:rPr>
                      <w:sz w:val="22"/>
                    </w:rPr>
                    <w:t>序号</w:t>
                  </w:r>
                </w:p>
              </w:tc>
              <w:tc>
                <w:tcPr>
                  <w:tcW w:type="dxa" w:w="1462"/>
                  <w:tcBorders>
                    <w:top w:val="single" w:color="000000" w:sz="4"/>
                    <w:left w:val="single" w:color="000000" w:sz="4"/>
                    <w:bottom w:val="single" w:color="000000" w:sz="4"/>
                    <w:right w:val="single" w:color="000000" w:sz="4"/>
                  </w:tcBorders>
                  <w:vAlign w:val="top"/>
                </w:tcPr>
                <w:p>
                  <w:pPr>
                    <w:jc w:val="center"/>
                  </w:pPr>
                  <w:r>
                    <w:rPr>
                      <w:sz w:val="22"/>
                    </w:rPr>
                    <w:t>考评内容</w:t>
                  </w:r>
                </w:p>
              </w:tc>
              <w:tc>
                <w:tcPr>
                  <w:tcW w:type="dxa" w:w="3464"/>
                  <w:tcBorders>
                    <w:top w:val="single" w:color="000000" w:sz="4"/>
                    <w:left w:val="single" w:color="000000" w:sz="4"/>
                    <w:bottom w:val="single" w:color="000000" w:sz="4"/>
                    <w:right w:val="single" w:color="000000" w:sz="4"/>
                  </w:tcBorders>
                  <w:vAlign w:val="top"/>
                </w:tcPr>
                <w:p>
                  <w:pPr>
                    <w:jc w:val="center"/>
                  </w:pPr>
                  <w:r>
                    <w:rPr>
                      <w:sz w:val="22"/>
                    </w:rPr>
                    <w:t>扣分标准</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2"/>
                    </w:rPr>
                    <w:t>1</w:t>
                  </w:r>
                </w:p>
              </w:tc>
              <w:tc>
                <w:tcPr>
                  <w:tcW w:type="dxa" w:w="1462"/>
                  <w:tcBorders>
                    <w:top w:val="none" w:color="000000" w:sz="4"/>
                    <w:left w:val="single" w:color="000000" w:sz="4"/>
                    <w:bottom w:val="single" w:color="000000" w:sz="4"/>
                    <w:right w:val="single" w:color="000000" w:sz="4"/>
                  </w:tcBorders>
                  <w:vAlign w:val="top"/>
                </w:tcPr>
                <w:p>
                  <w:pPr>
                    <w:jc w:val="center"/>
                  </w:pPr>
                  <w:r>
                    <w:rPr>
                      <w:sz w:val="22"/>
                    </w:rPr>
                    <w:t>服务质量问题</w:t>
                  </w:r>
                </w:p>
              </w:tc>
              <w:tc>
                <w:tcPr>
                  <w:tcW w:type="dxa" w:w="3464"/>
                  <w:tcBorders>
                    <w:top w:val="none" w:color="000000" w:sz="4"/>
                    <w:left w:val="single" w:color="000000" w:sz="4"/>
                    <w:bottom w:val="single" w:color="000000" w:sz="4"/>
                    <w:right w:val="single" w:color="000000" w:sz="4"/>
                  </w:tcBorders>
                  <w:vAlign w:val="top"/>
                </w:tcPr>
                <w:p>
                  <w:pPr>
                    <w:jc w:val="center"/>
                  </w:pPr>
                  <w:r>
                    <w:rPr>
                      <w:sz w:val="22"/>
                    </w:rPr>
                    <w:t>服务完成如验收不合格的，扣</w:t>
                  </w:r>
                  <w:r>
                    <w:rPr>
                      <w:sz w:val="22"/>
                    </w:rPr>
                    <w:t>5</w:t>
                  </w:r>
                  <w:r>
                    <w:rPr>
                      <w:sz w:val="22"/>
                    </w:rPr>
                    <w:t>分；服务验收合格后，因质量问题需要返工的，</w:t>
                  </w:r>
                  <w:r>
                    <w:rPr>
                      <w:sz w:val="22"/>
                    </w:rPr>
                    <w:t>返工一次扣</w:t>
                  </w:r>
                  <w:r>
                    <w:rPr>
                      <w:sz w:val="22"/>
                    </w:rPr>
                    <w:t>3</w:t>
                  </w:r>
                  <w:r>
                    <w:rPr>
                      <w:sz w:val="22"/>
                    </w:rPr>
                    <w:t>分。</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2"/>
                    </w:rPr>
                    <w:t>2</w:t>
                  </w:r>
                </w:p>
              </w:tc>
              <w:tc>
                <w:tcPr>
                  <w:tcW w:type="dxa" w:w="1462"/>
                  <w:tcBorders>
                    <w:top w:val="none" w:color="000000" w:sz="4"/>
                    <w:left w:val="single" w:color="000000" w:sz="4"/>
                    <w:bottom w:val="single" w:color="000000" w:sz="4"/>
                    <w:right w:val="single" w:color="000000" w:sz="4"/>
                  </w:tcBorders>
                  <w:vAlign w:val="top"/>
                </w:tcPr>
                <w:p>
                  <w:pPr>
                    <w:jc w:val="center"/>
                  </w:pPr>
                  <w:r>
                    <w:rPr>
                      <w:sz w:val="22"/>
                    </w:rPr>
                    <w:t>服务过程围蔽措施</w:t>
                  </w:r>
                </w:p>
              </w:tc>
              <w:tc>
                <w:tcPr>
                  <w:tcW w:type="dxa" w:w="3464"/>
                  <w:tcBorders>
                    <w:top w:val="none" w:color="000000" w:sz="4"/>
                    <w:left w:val="single" w:color="000000" w:sz="4"/>
                    <w:bottom w:val="single" w:color="000000" w:sz="4"/>
                    <w:right w:val="single" w:color="000000" w:sz="4"/>
                  </w:tcBorders>
                  <w:vAlign w:val="top"/>
                </w:tcPr>
                <w:p>
                  <w:pPr>
                    <w:jc w:val="center"/>
                  </w:pPr>
                  <w:r>
                    <w:rPr>
                      <w:sz w:val="22"/>
                    </w:rPr>
                    <w:t>服务过程中出现围蔽措施不符合全围蔽要求的，每发现一次扣</w:t>
                  </w:r>
                  <w:r>
                    <w:rPr>
                      <w:sz w:val="22"/>
                    </w:rPr>
                    <w:t>1</w:t>
                  </w:r>
                  <w:r>
                    <w:rPr>
                      <w:sz w:val="22"/>
                    </w:rPr>
                    <w:t>分。</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2"/>
                    </w:rPr>
                    <w:t>3</w:t>
                  </w:r>
                </w:p>
              </w:tc>
              <w:tc>
                <w:tcPr>
                  <w:tcW w:type="dxa" w:w="1462"/>
                  <w:tcBorders>
                    <w:top w:val="none" w:color="000000" w:sz="4"/>
                    <w:left w:val="single" w:color="000000" w:sz="4"/>
                    <w:bottom w:val="single" w:color="000000" w:sz="4"/>
                    <w:right w:val="single" w:color="000000" w:sz="4"/>
                  </w:tcBorders>
                  <w:vAlign w:val="top"/>
                </w:tcPr>
                <w:p>
                  <w:pPr>
                    <w:jc w:val="center"/>
                  </w:pPr>
                  <w:r>
                    <w:rPr>
                      <w:sz w:val="22"/>
                    </w:rPr>
                    <w:t>响应采购人任务情况</w:t>
                  </w:r>
                </w:p>
              </w:tc>
              <w:tc>
                <w:tcPr>
                  <w:tcW w:type="dxa" w:w="3464"/>
                  <w:tcBorders>
                    <w:top w:val="none" w:color="000000" w:sz="4"/>
                    <w:left w:val="single" w:color="000000" w:sz="4"/>
                    <w:bottom w:val="single" w:color="000000" w:sz="4"/>
                    <w:right w:val="single" w:color="000000" w:sz="4"/>
                  </w:tcBorders>
                  <w:vAlign w:val="top"/>
                </w:tcPr>
                <w:p>
                  <w:pPr>
                    <w:jc w:val="center"/>
                  </w:pPr>
                  <w:r>
                    <w:rPr>
                      <w:sz w:val="22"/>
                    </w:rPr>
                    <w:t>中标人出现没有按要求时间响应服务要求的情况，每发现一次扣</w:t>
                  </w:r>
                  <w:r>
                    <w:rPr>
                      <w:sz w:val="22"/>
                    </w:rPr>
                    <w:t>1</w:t>
                  </w:r>
                  <w:r>
                    <w:rPr>
                      <w:sz w:val="22"/>
                    </w:rPr>
                    <w:t>分。</w:t>
                  </w:r>
                </w:p>
              </w:tc>
            </w:tr>
            <w:tr>
              <w:tc>
                <w:tcPr>
                  <w:tcW w:type="dxa" w:w="671"/>
                  <w:tcBorders>
                    <w:top w:val="none" w:color="000000" w:sz="4"/>
                    <w:left w:val="single" w:color="000000" w:sz="4"/>
                    <w:bottom w:val="single" w:color="000000" w:sz="4"/>
                    <w:right w:val="single" w:color="000000" w:sz="4"/>
                  </w:tcBorders>
                  <w:vAlign w:val="top"/>
                </w:tcPr>
                <w:p>
                  <w:pPr>
                    <w:jc w:val="center"/>
                  </w:pPr>
                </w:p>
              </w:tc>
              <w:tc>
                <w:tcPr>
                  <w:tcW w:type="dxa" w:w="1462"/>
                  <w:tcBorders>
                    <w:top w:val="none" w:color="000000" w:sz="4"/>
                    <w:left w:val="single" w:color="000000" w:sz="4"/>
                    <w:bottom w:val="single" w:color="000000" w:sz="4"/>
                    <w:right w:val="single" w:color="000000" w:sz="4"/>
                  </w:tcBorders>
                  <w:vAlign w:val="top"/>
                </w:tcPr>
                <w:p>
                  <w:pPr>
                    <w:jc w:val="center"/>
                  </w:pPr>
                  <w:r>
                    <w:rPr>
                      <w:sz w:val="22"/>
                    </w:rPr>
                    <w:t>服务过程的投诉情况</w:t>
                  </w:r>
                </w:p>
              </w:tc>
              <w:tc>
                <w:tcPr>
                  <w:tcW w:type="dxa" w:w="3464"/>
                  <w:tcBorders>
                    <w:top w:val="none" w:color="000000" w:sz="4"/>
                    <w:left w:val="single" w:color="000000" w:sz="4"/>
                    <w:bottom w:val="single" w:color="000000" w:sz="4"/>
                    <w:right w:val="single" w:color="000000" w:sz="4"/>
                  </w:tcBorders>
                  <w:vAlign w:val="top"/>
                </w:tcPr>
                <w:p>
                  <w:pPr>
                    <w:jc w:val="center"/>
                  </w:pPr>
                  <w:r>
                    <w:rPr>
                      <w:sz w:val="22"/>
                    </w:rPr>
                    <w:t>中标人在服务过程中，因服务问题出现群众投诉的，每发现一次扣</w:t>
                  </w:r>
                  <w:r>
                    <w:rPr>
                      <w:sz w:val="22"/>
                    </w:rPr>
                    <w:t>2</w:t>
                  </w:r>
                  <w:r>
                    <w:rPr>
                      <w:sz w:val="22"/>
                    </w:rPr>
                    <w:t>分</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2"/>
                    </w:rPr>
                    <w:t>5</w:t>
                  </w:r>
                </w:p>
              </w:tc>
              <w:tc>
                <w:tcPr>
                  <w:tcW w:type="dxa" w:w="1462"/>
                  <w:tcBorders>
                    <w:top w:val="none" w:color="000000" w:sz="4"/>
                    <w:left w:val="single" w:color="000000" w:sz="4"/>
                    <w:bottom w:val="single" w:color="000000" w:sz="4"/>
                    <w:right w:val="single" w:color="000000" w:sz="4"/>
                  </w:tcBorders>
                  <w:vAlign w:val="top"/>
                </w:tcPr>
                <w:p>
                  <w:pPr>
                    <w:jc w:val="center"/>
                  </w:pPr>
                  <w:r>
                    <w:rPr>
                      <w:sz w:val="22"/>
                    </w:rPr>
                    <w:t>服务过程对美城考核影响情况</w:t>
                  </w:r>
                </w:p>
              </w:tc>
              <w:tc>
                <w:tcPr>
                  <w:tcW w:type="dxa" w:w="3464"/>
                  <w:tcBorders>
                    <w:top w:val="none" w:color="000000" w:sz="4"/>
                    <w:left w:val="single" w:color="000000" w:sz="4"/>
                    <w:bottom w:val="single" w:color="000000" w:sz="4"/>
                    <w:right w:val="single" w:color="000000" w:sz="4"/>
                  </w:tcBorders>
                  <w:vAlign w:val="top"/>
                </w:tcPr>
                <w:p>
                  <w:pPr>
                    <w:jc w:val="center"/>
                  </w:pPr>
                  <w:r>
                    <w:rPr>
                      <w:sz w:val="22"/>
                    </w:rPr>
                    <w:t>如因中标人在服务过程中，因管理不妥出现服务现场混乱，造成美城考</w:t>
                  </w:r>
                  <w:r>
                    <w:rPr>
                      <w:sz w:val="22"/>
                    </w:rPr>
                    <w:t>扣分的，每发现一次扣</w:t>
                  </w:r>
                  <w:r>
                    <w:rPr>
                      <w:sz w:val="22"/>
                    </w:rPr>
                    <w:t>2</w:t>
                  </w:r>
                  <w:r>
                    <w:rPr>
                      <w:sz w:val="22"/>
                    </w:rPr>
                    <w:t>分。</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2"/>
                    </w:rPr>
                    <w:t>6</w:t>
                  </w:r>
                </w:p>
              </w:tc>
              <w:tc>
                <w:tcPr>
                  <w:tcW w:type="dxa" w:w="1462"/>
                  <w:tcBorders>
                    <w:top w:val="none" w:color="000000" w:sz="4"/>
                    <w:left w:val="single" w:color="000000" w:sz="4"/>
                    <w:bottom w:val="single" w:color="000000" w:sz="4"/>
                    <w:right w:val="single" w:color="000000" w:sz="4"/>
                  </w:tcBorders>
                  <w:vAlign w:val="top"/>
                </w:tcPr>
                <w:p>
                  <w:pPr>
                    <w:jc w:val="center"/>
                  </w:pPr>
                  <w:r>
                    <w:rPr>
                      <w:sz w:val="22"/>
                    </w:rPr>
                    <w:t>服务期延误</w:t>
                  </w:r>
                </w:p>
              </w:tc>
              <w:tc>
                <w:tcPr>
                  <w:tcW w:type="dxa" w:w="3464"/>
                  <w:tcBorders>
                    <w:top w:val="none" w:color="000000" w:sz="4"/>
                    <w:left w:val="single" w:color="000000" w:sz="4"/>
                    <w:bottom w:val="single" w:color="000000" w:sz="4"/>
                    <w:right w:val="single" w:color="000000" w:sz="4"/>
                  </w:tcBorders>
                  <w:vAlign w:val="top"/>
                </w:tcPr>
                <w:p>
                  <w:pPr>
                    <w:jc w:val="center"/>
                  </w:pPr>
                  <w:r>
                    <w:rPr>
                      <w:sz w:val="22"/>
                    </w:rPr>
                    <w:t>在任何单项服务中，如没书面申请延期并取得采购人同意的，服务期每延误一日，扣</w:t>
                  </w:r>
                  <w:r>
                    <w:rPr>
                      <w:sz w:val="22"/>
                    </w:rPr>
                    <w:t>2</w:t>
                  </w:r>
                  <w:r>
                    <w:rPr>
                      <w:sz w:val="22"/>
                    </w:rPr>
                    <w:t>分。</w:t>
                  </w:r>
                </w:p>
              </w:tc>
            </w:tr>
            <w:tr>
              <w:tc>
                <w:tcPr>
                  <w:tcW w:type="dxa" w:w="671"/>
                  <w:tcBorders>
                    <w:top w:val="none" w:color="000000" w:sz="4"/>
                    <w:left w:val="single" w:color="000000" w:sz="4"/>
                    <w:bottom w:val="single" w:color="000000" w:sz="4"/>
                    <w:right w:val="single" w:color="000000" w:sz="4"/>
                  </w:tcBorders>
                  <w:vAlign w:val="top"/>
                </w:tcPr>
                <w:p>
                  <w:pPr>
                    <w:jc w:val="center"/>
                  </w:pPr>
                  <w:r>
                    <w:rPr>
                      <w:sz w:val="22"/>
                    </w:rPr>
                    <w:t>7</w:t>
                  </w:r>
                </w:p>
              </w:tc>
              <w:tc>
                <w:tcPr>
                  <w:tcW w:type="dxa" w:w="1462"/>
                  <w:tcBorders>
                    <w:top w:val="none" w:color="000000" w:sz="4"/>
                    <w:left w:val="single" w:color="000000" w:sz="4"/>
                    <w:bottom w:val="single" w:color="000000" w:sz="4"/>
                    <w:right w:val="single" w:color="000000" w:sz="4"/>
                  </w:tcBorders>
                  <w:vAlign w:val="top"/>
                </w:tcPr>
                <w:p>
                  <w:pPr>
                    <w:jc w:val="center"/>
                  </w:pPr>
                  <w:r>
                    <w:rPr>
                      <w:sz w:val="22"/>
                    </w:rPr>
                    <w:t>相关总结报告递交情况</w:t>
                  </w:r>
                </w:p>
              </w:tc>
              <w:tc>
                <w:tcPr>
                  <w:tcW w:type="dxa" w:w="3464"/>
                  <w:tcBorders>
                    <w:top w:val="none" w:color="000000" w:sz="4"/>
                    <w:left w:val="single" w:color="000000" w:sz="4"/>
                    <w:bottom w:val="single" w:color="000000" w:sz="4"/>
                    <w:right w:val="single" w:color="000000" w:sz="4"/>
                  </w:tcBorders>
                  <w:vAlign w:val="top"/>
                </w:tcPr>
                <w:p>
                  <w:pPr>
                    <w:jc w:val="center"/>
                  </w:pPr>
                  <w:r>
                    <w:rPr>
                      <w:sz w:val="22"/>
                    </w:rPr>
                    <w:t>各种报表要准确、齐全、及时签字盖章。每月</w:t>
                  </w:r>
                  <w:r>
                    <w:rPr>
                      <w:sz w:val="22"/>
                    </w:rPr>
                    <w:t>25</w:t>
                  </w:r>
                  <w:r>
                    <w:rPr>
                      <w:sz w:val="22"/>
                    </w:rPr>
                    <w:t>日前报上月养护维修计划表，每月</w:t>
                  </w:r>
                  <w:r>
                    <w:rPr>
                      <w:sz w:val="22"/>
                    </w:rPr>
                    <w:t>28</w:t>
                  </w:r>
                  <w:r>
                    <w:rPr>
                      <w:sz w:val="22"/>
                    </w:rPr>
                    <w:t>日前报养护维修完成统计表。报表数据不</w:t>
                  </w:r>
                  <w:r>
                    <w:rPr>
                      <w:sz w:val="22"/>
                    </w:rPr>
                    <w:t>，每一项扣</w:t>
                  </w:r>
                  <w:r>
                    <w:rPr>
                      <w:sz w:val="22"/>
                    </w:rPr>
                    <w:t>1</w:t>
                  </w:r>
                  <w:r>
                    <w:rPr>
                      <w:sz w:val="22"/>
                    </w:rPr>
                    <w:t>分，每迟报一天扣</w:t>
                  </w:r>
                  <w:r>
                    <w:rPr>
                      <w:sz w:val="22"/>
                    </w:rPr>
                    <w:t>1</w:t>
                  </w:r>
                  <w:r>
                    <w:rPr>
                      <w:sz w:val="22"/>
                    </w:rPr>
                    <w:t>分，数据不准确弄虚作假每次扣</w:t>
                  </w:r>
                  <w:r>
                    <w:rPr>
                      <w:sz w:val="22"/>
                    </w:rPr>
                    <w:t>1</w:t>
                  </w:r>
                  <w:r>
                    <w:rPr>
                      <w:sz w:val="22"/>
                    </w:rPr>
                    <w:t>分，不报的扣</w:t>
                  </w:r>
                  <w:r>
                    <w:rPr>
                      <w:sz w:val="22"/>
                    </w:rPr>
                    <w:t>10</w:t>
                  </w:r>
                  <w:r>
                    <w:rPr>
                      <w:sz w:val="22"/>
                    </w:rPr>
                    <w:t>分</w:t>
                  </w:r>
                </w:p>
              </w:tc>
            </w:tr>
          </w:tbl>
        </w:tc>
      </w:tr>
      <w:tr>
        <w:tc>
          <w:tcPr>
            <w:tcW w:type="dxa" w:w="2076"/>
          </w:tcPr>
          <w:p/>
        </w:tc>
        <w:tc>
          <w:tcPr>
            <w:tcW w:type="dxa" w:w="415"/>
          </w:tcPr>
          <w:p>
            <w:r>
              <w:rPr/>
              <w:t>9</w:t>
            </w:r>
          </w:p>
        </w:tc>
        <w:tc>
          <w:tcPr>
            <w:tcW w:type="dxa" w:w="5814"/>
          </w:tcPr>
          <w:p>
            <w:pPr>
              <w:jc w:val="both"/>
            </w:pPr>
            <w:r>
              <w:rPr>
                <w:b/>
                <w:sz w:val="24"/>
              </w:rPr>
              <w:t>附件：</w:t>
            </w:r>
          </w:p>
          <w:tbl>
            <w:tblPr>
              <w:tblBorders>
                <w:top w:val="none" w:color="000000" w:sz="4"/>
                <w:left w:val="none" w:color="000000" w:sz="4"/>
                <w:bottom w:val="none" w:color="000000" w:sz="4"/>
                <w:right w:val="none" w:color="000000" w:sz="4"/>
                <w:insideH w:val="none"/>
                <w:insideV w:val="none"/>
              </w:tblBorders>
            </w:tblPr>
            <w:tblGrid>
              <w:gridCol w:w="390"/>
              <w:gridCol w:w="485"/>
              <w:gridCol w:w="485"/>
              <w:gridCol w:w="1103"/>
              <w:gridCol w:w="1113"/>
              <w:gridCol w:w="341"/>
              <w:gridCol w:w="595"/>
              <w:gridCol w:w="485"/>
              <w:gridCol w:w="595"/>
            </w:tblGrid>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1页,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拆除工程</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1.机械拆除各类基层10cm厚。</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19.98</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2</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1.机械拆除各类基层12cm厚。</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20.42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3</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041001003003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1.机械拆除各类基层15cm厚。</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21.09</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4</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041001003004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1.机械拆除各类基层18cm厚。</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25.36</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5</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041001003030</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1.机械拆除各类基层20cm厚。</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28.21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6</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041001003031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1.机械拆除各类基层22cm厚。</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31.06</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7</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041001003032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1.机械拆除各类基层25cm厚。</w:t>
                  </w:r>
                  <w:r>
                    <w:br/>
                  </w:r>
                  <w:r>
                    <w:rPr>
                      <w:sz w:val="20"/>
                    </w:rPr>
                    <w:t>2.余渣外运，挖掘</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35.33</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2页,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8</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041001003033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1.机械拆除各类基层28cm厚。</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39.60</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9</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041001003034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1.机械拆除各类基层30cm厚。</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42.45</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10</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041001003021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1.人工拆除基层（碎(砾)石）10cm厚。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18.68</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11</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041001003022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1.人工拆除基层（碎(砾)石）12cm厚。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19.49</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12</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041001003023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1.人工拆除基层（碎(砾)石）15cm厚。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20.69</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13</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041001003024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1.人工拆除基层（碎(砾)石）18cm厚。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26.75</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3页,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14</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041001003025</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1.人工拆除基层（碎(砾)石）20cm厚。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27.56</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15</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041001003026</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1.人工拆除基层（碎(砾)石）22cm厚。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33.22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16</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041001003027</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1.人工拆除基层（碎(砾)石）25cm厚。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34.42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17</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041001003028</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1.人工拆除基层（碎(砾)石）28cm厚。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40.48</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18</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041001003029</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1.人工拆除基层（碎(砾)石）30cm厚。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41.29</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19</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1.机械拆除水泥混凝土路面10cm厚。</w:t>
                  </w:r>
                  <w:r>
                    <w:br/>
                  </w:r>
                  <w:r>
                    <w:rPr>
                      <w:sz w:val="20"/>
                    </w:rPr>
                    <w:t>2.余渣外运，挖掘机挖自卸车运，运</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25.40</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4页,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20</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1.机械拆除水泥混凝土路面12cm厚。</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26.11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21</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041001001003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1.机械拆除水泥混凝土路面15cm厚。</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27.17</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22</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041001001004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1.机械拆除水泥混凝土路面18cm厚。</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32.68</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23</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041001001005</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1.机械拆除水泥混凝土路面20cm厚。</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36.36</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24</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041001001006</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1.机械拆除水泥混凝土路面22cm厚。</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40.03</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25</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041001001007</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1.机械拆除水泥混凝土路面25cm厚。</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45.54</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26</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041001001008</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1.机械拆除水泥混凝土路面28cm厚。</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51.05</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5页,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27</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041001001009</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机械拆除水泥混凝土路面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1.机械拆除水泥混凝土路面30cm厚。</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54.72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28</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041001001010</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1.人工拆除水泥混凝土路面10cm厚。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25.40</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29</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041001001011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1.人工拆除水泥混凝土路面12cm厚。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26.11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30</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041001001012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1.人工拆除水泥混凝土路面15cm厚。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27.17</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31</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041001001013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1.人工拆除水泥混凝土路面18cm厚。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32.68</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32</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041001001014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1.人工拆除水泥混凝土路面20cm厚。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36.36</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33</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041001001015</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1.人工拆除水泥混凝土路面22cm厚。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40.03</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6页,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34</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041001001016</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1.人工拆除水泥混凝土路面25cm厚。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45.54</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35</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041001001017</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1.人工拆除水泥混凝土路面28cm厚。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51.05</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36</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041001001018</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人工拆除水泥混凝土路面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1.人工拆除水泥混凝土路面30cm厚。</w:t>
                  </w:r>
                  <w:r>
                    <w:br/>
                  </w:r>
                  <w:r>
                    <w:rPr>
                      <w:sz w:val="20"/>
                    </w:rPr>
                    <w:t>2.余渣外运，人工装自卸汽车运，运距综合考虑。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54.72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拆除沥青混凝土路面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37</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041001001019</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拆除沥青路面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1.拆除8cm厚沥青砼层。</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12.71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38</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041001001020</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拆除沥青路面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1.拆除10cm厚沥青砼层。</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13.42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39</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041001001021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拆除沥青路面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1.拆除12cm厚沥青砼层。</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16.12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40</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041001001022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拆除沥青路面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1.拆除15cm厚沥青砼层。</w:t>
                  </w:r>
                  <w:r>
                    <w:br/>
                  </w:r>
                  <w:r>
                    <w:rPr>
                      <w:sz w:val="20"/>
                    </w:rPr>
                    <w:t>2.余渣外运，挖掘机挖自卸车运，运</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20.16</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7页,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41</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041001001023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拆除沥青路面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1.拆除18cm厚沥青砼层。</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24.21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42</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041001001024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拆除沥青路面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1.拆除20cm厚沥青砼层。</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26.91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43</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041001001025</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拆除沥青路面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1.拆除22cm厚沥青砼层。</w:t>
                  </w:r>
                  <w:r>
                    <w:br/>
                  </w:r>
                  <w:r>
                    <w:rPr>
                      <w:sz w:val="20"/>
                    </w:rPr>
                    <w:t>2.余渣外运，挖掘机挖自卸车运，运距综合考虑。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29.61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拆除人行道砖</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44</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041001002001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拆除人行道</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1.拆除人行道砖</w:t>
                  </w:r>
                  <w:r>
                    <w:br/>
                  </w:r>
                  <w:r>
                    <w:rPr>
                      <w:sz w:val="20"/>
                    </w:rPr>
                    <w:t>2.余渣外运，运距综合考虑。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10.57</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45</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041001002002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拆除人行道</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1.拆除人行道混凝土层10cm厚</w:t>
                  </w:r>
                  <w:r>
                    <w:br/>
                  </w:r>
                  <w:r>
                    <w:rPr>
                      <w:sz w:val="20"/>
                    </w:rPr>
                    <w:t>2.余渣外运，运距综合考虑。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15.91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拆除路缘石</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46</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041001005001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拆除侧、平</w:t>
                  </w:r>
                  <w:r>
                    <w:rPr>
                      <w:sz w:val="20"/>
                    </w:rPr>
                    <w:t>(缘)石</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1.拆除侧石</w:t>
                  </w:r>
                  <w:r>
                    <w:br/>
                  </w:r>
                  <w:r>
                    <w:rPr>
                      <w:sz w:val="20"/>
                    </w:rPr>
                    <w:t>2.余渣外运，运距综合考虑。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5.31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修复工程</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修复基层</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47</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040202015001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水泥稳定碎</w:t>
                  </w:r>
                  <w:r>
                    <w:rPr>
                      <w:sz w:val="20"/>
                    </w:rPr>
                    <w:t>(砾)石</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1.6cm厚6%水泥稳定层石粉。</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16.29</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8页,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48</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040202015002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水泥稳定碎</w:t>
                  </w:r>
                  <w:r>
                    <w:rPr>
                      <w:sz w:val="20"/>
                    </w:rPr>
                    <w:t>(砾)石</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1.10cm厚6%水泥稳定层石粉。</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27.15</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49</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040202015003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水泥稳定碎</w:t>
                  </w:r>
                  <w:r>
                    <w:rPr>
                      <w:sz w:val="20"/>
                    </w:rPr>
                    <w:t>(砾)石</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1.15cm厚6%水泥稳定层石粉。</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40.73</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50</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040202011001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碎石</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1.20cm级配碎石垫层。</w:t>
                  </w:r>
                  <w:r>
                    <w:br/>
                  </w:r>
                  <w:r>
                    <w:rPr>
                      <w:sz w:val="20"/>
                    </w:rPr>
                    <w:t>2.路床碾压检验。</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55.29</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51</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040202011002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碎石</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1.25cm级配碎石垫层。</w:t>
                  </w:r>
                  <w:r>
                    <w:br/>
                  </w:r>
                  <w:r>
                    <w:rPr>
                      <w:sz w:val="20"/>
                    </w:rPr>
                    <w:t>2.路床碾压检验。</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67.84</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52</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040202011003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碎石</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1.30cm级配碎石垫层。</w:t>
                  </w:r>
                  <w:r>
                    <w:br/>
                  </w:r>
                  <w:r>
                    <w:rPr>
                      <w:sz w:val="20"/>
                    </w:rPr>
                    <w:t>2.路床碾压检验。</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80.39</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53</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040204003001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人行道基层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1.浇捣人行道基层。</w:t>
                  </w:r>
                  <w:r>
                    <w:br/>
                  </w:r>
                  <w:r>
                    <w:rPr>
                      <w:sz w:val="20"/>
                    </w:rPr>
                    <w:t>2.10cm厚C20商品砼。</w:t>
                  </w:r>
                  <w:r>
                    <w:br/>
                  </w:r>
                  <w:r>
                    <w:rPr>
                      <w:sz w:val="20"/>
                    </w:rPr>
                    <w:t>3.水养生。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77.12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54</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040204003002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人行道基层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1.浇捣人行道基层。</w:t>
                  </w:r>
                  <w:r>
                    <w:br/>
                  </w:r>
                  <w:r>
                    <w:rPr>
                      <w:sz w:val="20"/>
                    </w:rPr>
                    <w:t>2.15cm厚C20商品砼。</w:t>
                  </w:r>
                  <w:r>
                    <w:br/>
                  </w:r>
                  <w:r>
                    <w:rPr>
                      <w:sz w:val="20"/>
                    </w:rPr>
                    <w:t>3.水养生。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110.65</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修复水泥混凝土路面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55</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1.C25水泥混凝土路面10cm厚。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95.50</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56</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1.C30水泥混凝土路面10cm厚。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96.54</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57</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040203007003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1.C25水泥混凝土路面12cm厚。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110.56</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9页,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58</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040203007004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1.C30水泥混凝土路面12cm厚。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111.81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59</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040203007005</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1.C25水泥混凝土路面15cm厚。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133.16</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60</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040203007006</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1.C30水泥混凝土路面15cm厚。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134.72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61</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040203007007</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1.C25水泥混凝土路面18cm厚。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155.76</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62</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040203007008</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1.C30水泥混凝土路面18cm厚。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157.64</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63</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040203007009</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1.C25水泥混凝土路面20cm厚。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170.83</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64</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040203007010</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1.C30水泥混凝土路面20cm厚。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172.91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65</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040203007011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1.C25水泥混凝土路面22cm厚。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185.89</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66</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040203007012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1.C30水泥混凝土路面22cm厚。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188.18</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67</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040203007013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1.C25水泥混凝土路面25cm厚。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208.49</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68</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040203007014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1.C30水泥混凝土路面25cm厚。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211.10</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10页,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69</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040203007015</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1.C25水泥混凝土路面28cm厚。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231.09</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70</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040203007016</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1.C30水泥混凝土路面28cm厚。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234.01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71</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040203007017</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1.C25水泥混凝土路面30cm厚。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246.16</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72</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040203007018</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1.C30水泥混凝土路面30cm厚。</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249.28</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修复沥青混凝土路面</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73</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040203006001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沥青混凝土基层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1.清理路面。</w:t>
                  </w:r>
                  <w:r>
                    <w:br/>
                  </w:r>
                  <w:r>
                    <w:rPr>
                      <w:sz w:val="20"/>
                    </w:rPr>
                    <w:t>2.机械摊铺AC-20C中粒式沥青砼基层，平均4cm。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63.36</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74</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040203006002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沥青混凝土基层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1.清理路面。</w:t>
                  </w:r>
                  <w:r>
                    <w:br/>
                  </w:r>
                  <w:r>
                    <w:rPr>
                      <w:sz w:val="20"/>
                    </w:rPr>
                    <w:t>2.机械摊铺AC-20C中粒式沥青砼基层，平均6cm。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95.04</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75</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040203006003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沥青混凝土基层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1.清理路面。</w:t>
                  </w:r>
                  <w:r>
                    <w:br/>
                  </w:r>
                  <w:r>
                    <w:rPr>
                      <w:sz w:val="20"/>
                    </w:rPr>
                    <w:t>2.机械摊铺AC-20C中粒式沥青砼基层，平均8cm。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126.72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76</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040203006004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沥青混凝土基层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1.清理路面。</w:t>
                  </w:r>
                  <w:r>
                    <w:br/>
                  </w:r>
                  <w:r>
                    <w:rPr>
                      <w:sz w:val="20"/>
                    </w:rPr>
                    <w:t>2.机械摊铺AC-20C中粒式沥青砼基层，平均9cm。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142.56</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77</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040203006005</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沥青混凝土基层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1.清理路面。</w:t>
                  </w:r>
                  <w:r>
                    <w:br/>
                  </w:r>
                  <w:r>
                    <w:rPr>
                      <w:sz w:val="20"/>
                    </w:rPr>
                    <w:t>2.机械摊铺AC-20C中粒式沥青砼基层，平均10cm。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158.40</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11页,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78</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040203006006</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沥青混凝土基层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1.清理路面。</w:t>
                  </w:r>
                  <w:r>
                    <w:br/>
                  </w:r>
                  <w:r>
                    <w:rPr>
                      <w:sz w:val="20"/>
                    </w:rPr>
                    <w:t>2.机械摊铺AC-20C中粒式沥青砼基层，平均12cm。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190.08</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79</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040203006007</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沥青混凝土面层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1.清理路面。</w:t>
                  </w:r>
                  <w:r>
                    <w:br/>
                  </w:r>
                  <w:r>
                    <w:rPr>
                      <w:sz w:val="20"/>
                    </w:rPr>
                    <w:t>2.机械摊铺AC-13C细粒式改性沥青砼面层，平均4cm。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66.82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80</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040203006008</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沥青混凝土面层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1.清理路面。</w:t>
                  </w:r>
                  <w:r>
                    <w:br/>
                  </w:r>
                  <w:r>
                    <w:rPr>
                      <w:sz w:val="20"/>
                    </w:rPr>
                    <w:t>2.机械摊铺AC-13C细粒式改性沥青砼面层，平均6cm。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100.23</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81</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040203006009</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沥青混凝土面层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1.清理路面。</w:t>
                  </w:r>
                  <w:r>
                    <w:br/>
                  </w:r>
                  <w:r>
                    <w:rPr>
                      <w:sz w:val="20"/>
                    </w:rPr>
                    <w:t>2.机械摊铺AC-13C细粒式改性沥青砼面层，平均8cm。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133.64</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82</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040203006010</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沥青混凝土面层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1.清理路面。</w:t>
                  </w:r>
                  <w:r>
                    <w:br/>
                  </w:r>
                  <w:r>
                    <w:rPr>
                      <w:sz w:val="20"/>
                    </w:rPr>
                    <w:t>2.机械摊铺AC-13C细粒式改性沥青砼面层，平均9cm。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150.35</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83</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040203006011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沥青混凝土面层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1.清理路面。</w:t>
                  </w:r>
                  <w:r>
                    <w:br/>
                  </w:r>
                  <w:r>
                    <w:rPr>
                      <w:sz w:val="20"/>
                    </w:rPr>
                    <w:t>2.机械摊铺AC-13C细粒式改性沥青砼面层，平均10cm。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167.05</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84</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040203006012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沥青混凝土面层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1.清理路面。</w:t>
                  </w:r>
                  <w:r>
                    <w:br/>
                  </w:r>
                  <w:r>
                    <w:rPr>
                      <w:sz w:val="20"/>
                    </w:rPr>
                    <w:t>2.机械摊铺AC-13C细粒式改性沥青砼面层，平均12cm。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200.47</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85</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040203003002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喷洒乳化沥青</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1.喷洒乳化沥青，喷油量(0.3～0.5kg/m2)。</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2.42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修复路缘石</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86</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040204004002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安砌侧</w:t>
                  </w:r>
                  <w:r>
                    <w:rPr>
                      <w:sz w:val="20"/>
                    </w:rPr>
                    <w:t>(平、缘)石</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1.安砌麻石路缘石500×400×150mm。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158.86</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12页,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2.C20商品砼垫层400×150mm,垫层尺寸：400×150mm。</w:t>
                  </w: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87</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040204004001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安砌侧</w:t>
                  </w:r>
                  <w:r>
                    <w:rPr>
                      <w:sz w:val="20"/>
                    </w:rPr>
                    <w:t>(平、缘)石</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1.安砌500×420×120mmC25混凝土路缘石。</w:t>
                  </w:r>
                  <w:r>
                    <w:br/>
                  </w:r>
                  <w:r>
                    <w:rPr>
                      <w:sz w:val="20"/>
                    </w:rPr>
                    <w:t>2.浇筑侧（缘）石混凝土后座C15混凝土，后座尺寸：200×190mm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87.19</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88</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040204004003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安砌侧</w:t>
                  </w:r>
                  <w:r>
                    <w:rPr>
                      <w:sz w:val="20"/>
                    </w:rPr>
                    <w:t>(平、缘)石</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1.安装花岗岩路牙石（利用原有花岗岩）。</w:t>
                  </w:r>
                  <w:r>
                    <w:br/>
                  </w:r>
                  <w:r>
                    <w:rPr>
                      <w:sz w:val="20"/>
                    </w:rPr>
                    <w:t>2.C15混凝土基础,垫层尺寸：400×150mm。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47.46</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89</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040204004004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安砌侧</w:t>
                  </w:r>
                  <w:r>
                    <w:rPr>
                      <w:sz w:val="20"/>
                    </w:rPr>
                    <w:t>(平、缘)石</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1.路缘石喷黄黑反光漆。</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12.62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90</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040204007001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树池砌筑</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1.砌筑树池一，C20混凝土块（侧石规格500×500×50mm）。</w:t>
                  </w:r>
                  <w:r>
                    <w:br/>
                  </w:r>
                  <w:r>
                    <w:rPr>
                      <w:sz w:val="20"/>
                    </w:rPr>
                    <w:t>2.树池规格500×500mm。</w:t>
                  </w:r>
                  <w:r>
                    <w:br/>
                  </w:r>
                  <w:r>
                    <w:rPr>
                      <w:sz w:val="20"/>
                    </w:rPr>
                    <w:t>3.C15混凝土基础，基础规格：300×250mm。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52.40</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修复人行道</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91</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040204002001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人行道块料铺设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1.30mm厚1：2水泥砂浆找平。</w:t>
                  </w:r>
                  <w:r>
                    <w:br/>
                  </w:r>
                  <w:r>
                    <w:rPr>
                      <w:sz w:val="20"/>
                    </w:rPr>
                    <w:t>2.铺设300×300×60mm仿花岗岩砖。</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125.91</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13页,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92</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040204002002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人行道块料铺设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1.人行道铺贴芝麻灰广场砖。</w:t>
                  </w:r>
                  <w:r>
                    <w:br/>
                  </w:r>
                  <w:r>
                    <w:rPr>
                      <w:sz w:val="20"/>
                    </w:rPr>
                    <w:t>2.规格:200×200×60。</w:t>
                  </w:r>
                  <w:r>
                    <w:br/>
                  </w:r>
                  <w:r>
                    <w:rPr>
                      <w:sz w:val="20"/>
                    </w:rPr>
                    <w:t>3.20厚1:2水泥砂浆找平层。</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76.33</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93</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040204002003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人行道块料铺设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1.30mm厚1：2水泥砂浆找平。</w:t>
                  </w:r>
                  <w:r>
                    <w:br/>
                  </w:r>
                  <w:r>
                    <w:rPr>
                      <w:sz w:val="20"/>
                    </w:rPr>
                    <w:t>2.铺设240×120×60mm透水砖。</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99.23</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94</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040203007019</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现浇混凝土人行道及进口坡</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1.10cm厚C25水泥混凝土面层。</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95.50</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95</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040203007020</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现浇混凝土人行道及进口坡</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1.10cm厚C30水泥混凝土路面。</w:t>
                  </w:r>
                  <w:r>
                    <w:br/>
                  </w:r>
                  <w:r>
                    <w:rPr>
                      <w:sz w:val="20"/>
                    </w:rPr>
                    <w:t>2.水养生。</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96.54</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下水道、检查井边拆除及修复</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96</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040101002001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挖沟槽土方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1.挖沟槽、基坑，土质综合考虑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m3</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10.62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97</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040103001001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回填方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1.沟槽回填土，夯实。</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m3</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23.55</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98</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040103002001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余方弃置</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1.余方弃置，挖土机装土，自卸汽车卸土，运距自行考虑。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m3</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22.28</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99</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041001003020</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拆除基层</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1.拆除面层+基层 40cm厚。</w:t>
                  </w:r>
                  <w:r>
                    <w:br/>
                  </w:r>
                  <w:r>
                    <w:rPr>
                      <w:sz w:val="20"/>
                    </w:rPr>
                    <w:t>2.拆除物清运，运距自行考虑。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61.93</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标线</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100</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040205006001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标线</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1.一般标线 厚度1.8mm。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52.78</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14页,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2.标线采用热熔型涂料，表面均匀撒布玻璃珠（每平方米0.3～0.5kg）。</w:t>
                  </w:r>
                  <w:r>
                    <w:br/>
                  </w:r>
                  <w:r>
                    <w:rPr>
                      <w:sz w:val="20"/>
                    </w:rPr>
                    <w:t>3.一般标线包括车道实(虚)线、车道分界线、车位线。</w:t>
                  </w: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101</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040205006002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标线</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1.小车及摩托车停车位标线 厚度1.8mm。</w:t>
                  </w:r>
                  <w:r>
                    <w:br/>
                  </w:r>
                  <w:r>
                    <w:rPr>
                      <w:sz w:val="20"/>
                    </w:rPr>
                    <w:t>2.标线采用热熔型涂料，表面均匀撒布玻璃珠（每平方米0.3～0.5kg）。</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52.78</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下水道管道、检查井及雨水井</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102</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040501001001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混凝土管道铺设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1.承插式钢筋砼排水管铺设，φ300Ⅱ级有筋(壁厚35)。</w:t>
                  </w:r>
                  <w:r>
                    <w:br/>
                  </w:r>
                  <w:r>
                    <w:rPr>
                      <w:sz w:val="20"/>
                    </w:rPr>
                    <w:t>2.100厚碎石垫层。</w:t>
                  </w:r>
                  <w:r>
                    <w:br/>
                  </w:r>
                  <w:r>
                    <w:rPr>
                      <w:sz w:val="20"/>
                    </w:rPr>
                    <w:t>3.C20商品砼120度管基。</w:t>
                  </w:r>
                  <w:r>
                    <w:br/>
                  </w:r>
                  <w:r>
                    <w:rPr>
                      <w:sz w:val="20"/>
                    </w:rPr>
                    <w:t>4.闭水试验。</w:t>
                  </w:r>
                  <w:r>
                    <w:br/>
                  </w:r>
                  <w:r>
                    <w:rPr>
                      <w:sz w:val="20"/>
                    </w:rPr>
                    <w:t>5.具体详见施工图。</w:t>
                  </w:r>
                  <w:r>
                    <w:br/>
                  </w:r>
                  <w:r>
                    <w:rPr>
                      <w:sz w:val="20"/>
                    </w:rPr>
                    <w:t>6.符合国标《混凝土和钢筋混凝土排水管 GB/T 11836-1999》的要求。</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186.58</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103</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040501001002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混凝土管道铺设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1.承插式钢筋砼排水管铺设，φ400Ⅱ级有筋(壁厚45)。</w:t>
                  </w:r>
                  <w:r>
                    <w:br/>
                  </w:r>
                  <w:r>
                    <w:rPr>
                      <w:sz w:val="20"/>
                    </w:rPr>
                    <w:t>2.100厚碎石垫层。</w:t>
                  </w:r>
                  <w:r>
                    <w:br/>
                  </w:r>
                  <w:r>
                    <w:rPr>
                      <w:sz w:val="20"/>
                    </w:rPr>
                    <w:t>3.C20商品砼120度</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252.71</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15页,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管基。</w:t>
                  </w:r>
                  <w:r>
                    <w:br/>
                  </w:r>
                  <w:r>
                    <w:rPr>
                      <w:sz w:val="20"/>
                    </w:rPr>
                    <w:t>4.闭水试验。</w:t>
                  </w:r>
                  <w:r>
                    <w:br/>
                  </w:r>
                  <w:r>
                    <w:rPr>
                      <w:sz w:val="20"/>
                    </w:rPr>
                    <w:t>5.具体详见施工图。</w:t>
                  </w:r>
                  <w:r>
                    <w:br/>
                  </w:r>
                  <w:r>
                    <w:rPr>
                      <w:sz w:val="20"/>
                    </w:rPr>
                    <w:t>6.符合国标《混凝土和钢筋混凝土排水管 GB/T 11836-1999》的要求。</w:t>
                  </w: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104</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040501001003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混凝土管道铺设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1.承插式钢筋砼排水管铺设，φ600Ⅱ级有筋(壁厚60)。</w:t>
                  </w:r>
                  <w:r>
                    <w:br/>
                  </w:r>
                  <w:r>
                    <w:rPr>
                      <w:sz w:val="20"/>
                    </w:rPr>
                    <w:t>2.100厚碎石垫层。</w:t>
                  </w:r>
                  <w:r>
                    <w:br/>
                  </w:r>
                  <w:r>
                    <w:rPr>
                      <w:sz w:val="20"/>
                    </w:rPr>
                    <w:t>3.C20商品砼120度管基。</w:t>
                  </w:r>
                  <w:r>
                    <w:br/>
                  </w:r>
                  <w:r>
                    <w:rPr>
                      <w:sz w:val="20"/>
                    </w:rPr>
                    <w:t>4.闭水试验。</w:t>
                  </w:r>
                  <w:r>
                    <w:br/>
                  </w:r>
                  <w:r>
                    <w:rPr>
                      <w:sz w:val="20"/>
                    </w:rPr>
                    <w:t>5.具体详见施工图。</w:t>
                  </w:r>
                  <w:r>
                    <w:br/>
                  </w:r>
                  <w:r>
                    <w:rPr>
                      <w:sz w:val="20"/>
                    </w:rPr>
                    <w:t>6.符合国标《混凝土和钢筋混凝土排水管 GB/T 11836-1999》的要求。</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435.61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105</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040501001004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混凝土管道铺设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1.承插式钢筋砼排水管铺设，φ800Ⅱ级有筋(壁厚80)。</w:t>
                  </w:r>
                  <w:r>
                    <w:br/>
                  </w:r>
                  <w:r>
                    <w:rPr>
                      <w:sz w:val="20"/>
                    </w:rPr>
                    <w:t>2.100厚碎石垫层。</w:t>
                  </w:r>
                  <w:r>
                    <w:br/>
                  </w:r>
                  <w:r>
                    <w:rPr>
                      <w:sz w:val="20"/>
                    </w:rPr>
                    <w:t>3.C20商品砼120度管基。</w:t>
                  </w:r>
                  <w:r>
                    <w:br/>
                  </w:r>
                  <w:r>
                    <w:rPr>
                      <w:sz w:val="20"/>
                    </w:rPr>
                    <w:t>4.闭水试验。</w:t>
                  </w:r>
                  <w:r>
                    <w:br/>
                  </w:r>
                  <w:r>
                    <w:rPr>
                      <w:sz w:val="20"/>
                    </w:rPr>
                    <w:t>5.具体详见施工图。</w:t>
                  </w:r>
                  <w:r>
                    <w:br/>
                  </w:r>
                  <w:r>
                    <w:rPr>
                      <w:sz w:val="20"/>
                    </w:rPr>
                    <w:t>6.符合国标《混凝土和钢筋混凝土排水管 GB/T</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680.11</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16页,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11836-1999》的要求。</w:t>
                  </w: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106</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040501001005</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混凝土管道铺设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1.承插式钢筋砼排水管铺设,φ1000II级有筋（壁厚100）</w:t>
                  </w:r>
                  <w:r>
                    <w:br/>
                  </w:r>
                  <w:r>
                    <w:rPr>
                      <w:sz w:val="20"/>
                    </w:rPr>
                    <w:t>2.100厚碎石垫层</w:t>
                  </w:r>
                  <w:r>
                    <w:br/>
                  </w:r>
                  <w:r>
                    <w:rPr>
                      <w:sz w:val="20"/>
                    </w:rPr>
                    <w:t>3.C20商品砼120度管基。</w:t>
                  </w:r>
                  <w:r>
                    <w:br/>
                  </w:r>
                  <w:r>
                    <w:rPr>
                      <w:sz w:val="20"/>
                    </w:rPr>
                    <w:t>4.闭水试验</w:t>
                  </w:r>
                  <w:r>
                    <w:br/>
                  </w:r>
                  <w:r>
                    <w:rPr>
                      <w:sz w:val="20"/>
                    </w:rPr>
                    <w:t>5.具体详见施工图</w:t>
                  </w:r>
                  <w:r>
                    <w:br/>
                  </w:r>
                  <w:r>
                    <w:rPr>
                      <w:sz w:val="20"/>
                    </w:rPr>
                    <w:t>6.符合国标《混凝土和钢筋混凝土排水管 GB/T 11836-1999》的要求。</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959.93</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107</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040501001016</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混凝土管道铺设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1.承插式钢筋砼排水管铺设，φ300Ⅱ级有筋(壁厚35)。</w:t>
                  </w:r>
                  <w:r>
                    <w:br/>
                  </w:r>
                  <w:r>
                    <w:rPr>
                      <w:sz w:val="20"/>
                    </w:rPr>
                    <w:t>2.100厚碎石垫层。</w:t>
                  </w:r>
                  <w:r>
                    <w:br/>
                  </w:r>
                  <w:r>
                    <w:rPr>
                      <w:sz w:val="20"/>
                    </w:rPr>
                    <w:t>3.C20商品砼135度管基。</w:t>
                  </w:r>
                  <w:r>
                    <w:br/>
                  </w:r>
                  <w:r>
                    <w:rPr>
                      <w:sz w:val="20"/>
                    </w:rPr>
                    <w:t>4.闭水试验。</w:t>
                  </w:r>
                  <w:r>
                    <w:br/>
                  </w:r>
                  <w:r>
                    <w:rPr>
                      <w:sz w:val="20"/>
                    </w:rPr>
                    <w:t>5.具体详见施工图。</w:t>
                  </w:r>
                  <w:r>
                    <w:br/>
                  </w:r>
                  <w:r>
                    <w:rPr>
                      <w:sz w:val="20"/>
                    </w:rPr>
                    <w:t>6.符合国标《混凝土和钢筋混凝土排水管 GB/T 11836-1999》的要求。</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194.60</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108</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040501001017</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混凝土管道铺设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1.承插式钢筋砼排水管铺设，φ400Ⅱ级有筋(壁厚45)。</w:t>
                  </w:r>
                  <w:r>
                    <w:br/>
                  </w:r>
                  <w:r>
                    <w:rPr>
                      <w:sz w:val="20"/>
                    </w:rPr>
                    <w:t>2.100厚碎石垫层。</w:t>
                  </w:r>
                  <w:r>
                    <w:br/>
                  </w:r>
                  <w:r>
                    <w:rPr>
                      <w:sz w:val="20"/>
                    </w:rPr>
                    <w:t>3.C20商品砼135度</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260.73</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17页,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管基。</w:t>
                  </w:r>
                  <w:r>
                    <w:br/>
                  </w:r>
                  <w:r>
                    <w:rPr>
                      <w:sz w:val="20"/>
                    </w:rPr>
                    <w:t>4.闭水试验。</w:t>
                  </w:r>
                  <w:r>
                    <w:br/>
                  </w:r>
                  <w:r>
                    <w:rPr>
                      <w:sz w:val="20"/>
                    </w:rPr>
                    <w:t>5.具体详见施工图。</w:t>
                  </w:r>
                  <w:r>
                    <w:br/>
                  </w:r>
                  <w:r>
                    <w:rPr>
                      <w:sz w:val="20"/>
                    </w:rPr>
                    <w:t>6.符合国标《混凝土和钢筋混凝土排水管 GB/T 11836-1999》的要求。</w:t>
                  </w: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109</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040501001018</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混凝土管道铺设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1.承插式钢筋砼排水管铺设，φ500Ⅱ级有筋(壁厚55)。</w:t>
                  </w:r>
                  <w:r>
                    <w:br/>
                  </w:r>
                  <w:r>
                    <w:rPr>
                      <w:sz w:val="20"/>
                    </w:rPr>
                    <w:t>2.100厚碎石垫层。</w:t>
                  </w:r>
                  <w:r>
                    <w:br/>
                  </w:r>
                  <w:r>
                    <w:rPr>
                      <w:sz w:val="20"/>
                    </w:rPr>
                    <w:t>3.C20商品砼135度管基。</w:t>
                  </w:r>
                  <w:r>
                    <w:br/>
                  </w:r>
                  <w:r>
                    <w:rPr>
                      <w:sz w:val="20"/>
                    </w:rPr>
                    <w:t>4.闭水试验。</w:t>
                  </w:r>
                  <w:r>
                    <w:br/>
                  </w:r>
                  <w:r>
                    <w:rPr>
                      <w:sz w:val="20"/>
                    </w:rPr>
                    <w:t>5.具体详见施工图。</w:t>
                  </w:r>
                  <w:r>
                    <w:br/>
                  </w:r>
                  <w:r>
                    <w:rPr>
                      <w:sz w:val="20"/>
                    </w:rPr>
                    <w:t>6.符合国标《混凝土和钢筋混凝土排水管 GB/T 11836-1999》的要求。</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329.16</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110</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040501001021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混凝土管道铺设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1.承插式钢筋砼排水管铺设，φ300Ⅱ级有筋(壁厚35)。</w:t>
                  </w:r>
                  <w:r>
                    <w:br/>
                  </w:r>
                  <w:r>
                    <w:rPr>
                      <w:sz w:val="20"/>
                    </w:rPr>
                    <w:t>2.100厚碎石垫层。</w:t>
                  </w:r>
                  <w:r>
                    <w:br/>
                  </w:r>
                  <w:r>
                    <w:rPr>
                      <w:sz w:val="20"/>
                    </w:rPr>
                    <w:t>3.C20商品砼180度管基。</w:t>
                  </w:r>
                  <w:r>
                    <w:br/>
                  </w:r>
                  <w:r>
                    <w:rPr>
                      <w:sz w:val="20"/>
                    </w:rPr>
                    <w:t>4.闭水试验。</w:t>
                  </w:r>
                  <w:r>
                    <w:br/>
                  </w:r>
                  <w:r>
                    <w:rPr>
                      <w:sz w:val="20"/>
                    </w:rPr>
                    <w:t>5.具体详见施工图。</w:t>
                  </w:r>
                  <w:r>
                    <w:br/>
                  </w:r>
                  <w:r>
                    <w:rPr>
                      <w:sz w:val="20"/>
                    </w:rPr>
                    <w:t>6.符合国标《混凝土和钢筋混凝土排水管 GB/T</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195.01</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18页,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11836-1999》的要求。</w:t>
                  </w: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111</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040501001022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混凝土管道铺设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1.承插式钢筋砼排水管铺设，φ400Ⅱ级有筋(壁厚45)。</w:t>
                  </w:r>
                  <w:r>
                    <w:br/>
                  </w:r>
                  <w:r>
                    <w:rPr>
                      <w:sz w:val="20"/>
                    </w:rPr>
                    <w:t>2.100厚碎石垫层。</w:t>
                  </w:r>
                  <w:r>
                    <w:br/>
                  </w:r>
                  <w:r>
                    <w:rPr>
                      <w:sz w:val="20"/>
                    </w:rPr>
                    <w:t>3.C20商品砼180度管基。</w:t>
                  </w:r>
                  <w:r>
                    <w:br/>
                  </w:r>
                  <w:r>
                    <w:rPr>
                      <w:sz w:val="20"/>
                    </w:rPr>
                    <w:t>4.闭水试验。</w:t>
                  </w:r>
                  <w:r>
                    <w:br/>
                  </w:r>
                  <w:r>
                    <w:rPr>
                      <w:sz w:val="20"/>
                    </w:rPr>
                    <w:t>5.具体详见施工图。</w:t>
                  </w:r>
                  <w:r>
                    <w:br/>
                  </w:r>
                  <w:r>
                    <w:rPr>
                      <w:sz w:val="20"/>
                    </w:rPr>
                    <w:t>6.符合国标《混凝土和钢筋混凝土排水管 GB/T 11836-1999》的要求。</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261.25</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112</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040501001026</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混凝土管道铺设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1.承插式钢筋砼排水管铺设，φ500Ⅱ级有筋(壁厚55)。</w:t>
                  </w:r>
                  <w:r>
                    <w:br/>
                  </w:r>
                  <w:r>
                    <w:rPr>
                      <w:sz w:val="20"/>
                    </w:rPr>
                    <w:t>2.100厚碎石垫层。</w:t>
                  </w:r>
                  <w:r>
                    <w:br/>
                  </w:r>
                  <w:r>
                    <w:rPr>
                      <w:sz w:val="20"/>
                    </w:rPr>
                    <w:t>3.C20商品砼180度管基。</w:t>
                  </w:r>
                  <w:r>
                    <w:br/>
                  </w:r>
                  <w:r>
                    <w:rPr>
                      <w:sz w:val="20"/>
                    </w:rPr>
                    <w:t>4.闭水试验。</w:t>
                  </w:r>
                  <w:r>
                    <w:br/>
                  </w:r>
                  <w:r>
                    <w:rPr>
                      <w:sz w:val="20"/>
                    </w:rPr>
                    <w:t>5.具体详见施工图。</w:t>
                  </w:r>
                  <w:r>
                    <w:br/>
                  </w:r>
                  <w:r>
                    <w:rPr>
                      <w:sz w:val="20"/>
                    </w:rPr>
                    <w:t>6.符合国标《混凝土和钢筋混凝土排水管 GB/T 11836-1999》的要求。</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329.91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113</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040501001023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混凝土管道铺设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1.承插式钢筋砼排水管铺设，φ600Ⅱ级有筋(壁厚60)。</w:t>
                  </w:r>
                  <w:r>
                    <w:br/>
                  </w:r>
                  <w:r>
                    <w:rPr>
                      <w:sz w:val="20"/>
                    </w:rPr>
                    <w:t>2.100厚碎石垫层。</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436.54</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19页,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3.C20商品砼180度管基。</w:t>
                  </w:r>
                  <w:r>
                    <w:br/>
                  </w:r>
                  <w:r>
                    <w:rPr>
                      <w:sz w:val="20"/>
                    </w:rPr>
                    <w:t>4.闭水试验。</w:t>
                  </w:r>
                  <w:r>
                    <w:br/>
                  </w:r>
                  <w:r>
                    <w:rPr>
                      <w:sz w:val="20"/>
                    </w:rPr>
                    <w:t>5.具体详见施工图。</w:t>
                  </w:r>
                  <w:r>
                    <w:br/>
                  </w:r>
                  <w:r>
                    <w:rPr>
                      <w:sz w:val="20"/>
                    </w:rPr>
                    <w:t>6.符合国标《混凝土和钢筋混凝土排水管 GB/T 11836-1999》的要求。</w:t>
                  </w: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114</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040501001027</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混凝土管道铺设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1.承插式钢筋砼排水管铺设，φ700Ⅱ级有筋(壁厚70)。</w:t>
                  </w:r>
                  <w:r>
                    <w:br/>
                  </w:r>
                  <w:r>
                    <w:rPr>
                      <w:sz w:val="20"/>
                    </w:rPr>
                    <w:t>2.100厚碎石垫层。</w:t>
                  </w:r>
                  <w:r>
                    <w:br/>
                  </w:r>
                  <w:r>
                    <w:rPr>
                      <w:sz w:val="20"/>
                    </w:rPr>
                    <w:t>3.C20商品砼180度管基。</w:t>
                  </w:r>
                  <w:r>
                    <w:br/>
                  </w:r>
                  <w:r>
                    <w:rPr>
                      <w:sz w:val="20"/>
                    </w:rPr>
                    <w:t>4.闭水试验。</w:t>
                  </w:r>
                  <w:r>
                    <w:br/>
                  </w:r>
                  <w:r>
                    <w:rPr>
                      <w:sz w:val="20"/>
                    </w:rPr>
                    <w:t>5.具体详见施工图。</w:t>
                  </w:r>
                  <w:r>
                    <w:br/>
                  </w:r>
                  <w:r>
                    <w:rPr>
                      <w:sz w:val="20"/>
                    </w:rPr>
                    <w:t>6.符合国标《混凝土和钢筋混凝土排水管 GB/T 11836-1999》的要求。</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507.01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115</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040501001024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混凝土管道铺设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1.承插式钢筋砼排水管铺设，φ800Ⅱ级有筋(壁厚80)。</w:t>
                  </w:r>
                  <w:r>
                    <w:br/>
                  </w:r>
                  <w:r>
                    <w:rPr>
                      <w:sz w:val="20"/>
                    </w:rPr>
                    <w:t>2.100厚碎石垫层。</w:t>
                  </w:r>
                  <w:r>
                    <w:br/>
                  </w:r>
                  <w:r>
                    <w:rPr>
                      <w:sz w:val="20"/>
                    </w:rPr>
                    <w:t>3.C20商品砼180度管基。</w:t>
                  </w:r>
                  <w:r>
                    <w:br/>
                  </w:r>
                  <w:r>
                    <w:rPr>
                      <w:sz w:val="20"/>
                    </w:rPr>
                    <w:t>4.闭水试验。</w:t>
                  </w:r>
                  <w:r>
                    <w:br/>
                  </w:r>
                  <w:r>
                    <w:rPr>
                      <w:sz w:val="20"/>
                    </w:rPr>
                    <w:t>5.具体详见施工图。</w:t>
                  </w:r>
                  <w:r>
                    <w:br/>
                  </w:r>
                  <w:r>
                    <w:rPr>
                      <w:sz w:val="20"/>
                    </w:rPr>
                    <w:t>6.符合国标《混凝土和钢筋混凝土排</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697.95</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20页,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水管</w:t>
                  </w:r>
                  <w:r>
                    <w:rPr>
                      <w:sz w:val="20"/>
                    </w:rPr>
                    <w:t>GB/T 11836-1999》的要求。</w:t>
                  </w: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116</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040501001028</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混凝土管道铺设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1.承插式钢筋砼排水管铺设，φ900Ⅱ级有筋(壁厚90)。</w:t>
                  </w:r>
                  <w:r>
                    <w:br/>
                  </w:r>
                  <w:r>
                    <w:rPr>
                      <w:sz w:val="20"/>
                    </w:rPr>
                    <w:t>2.100厚碎石垫层。</w:t>
                  </w:r>
                  <w:r>
                    <w:br/>
                  </w:r>
                  <w:r>
                    <w:rPr>
                      <w:sz w:val="20"/>
                    </w:rPr>
                    <w:t>3.C20商品砼180度管基。</w:t>
                  </w:r>
                  <w:r>
                    <w:br/>
                  </w:r>
                  <w:r>
                    <w:rPr>
                      <w:sz w:val="20"/>
                    </w:rPr>
                    <w:t>4.闭水试验。</w:t>
                  </w:r>
                  <w:r>
                    <w:br/>
                  </w:r>
                  <w:r>
                    <w:rPr>
                      <w:sz w:val="20"/>
                    </w:rPr>
                    <w:t>5.具体详见施工图。</w:t>
                  </w:r>
                  <w:r>
                    <w:br/>
                  </w:r>
                  <w:r>
                    <w:rPr>
                      <w:sz w:val="20"/>
                    </w:rPr>
                    <w:t>6.符合国标《混凝土和钢筋混凝土排水管 GB/T 11836-1999》的要求。</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815.90</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117</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040501001025</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混凝土管道铺设</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1.承插式钢筋砼排水管铺设,φ1000II级有筋（壁厚100）</w:t>
                  </w:r>
                  <w:r>
                    <w:br/>
                  </w:r>
                  <w:r>
                    <w:rPr>
                      <w:sz w:val="20"/>
                    </w:rPr>
                    <w:t>2.100厚碎石垫层</w:t>
                  </w:r>
                  <w:r>
                    <w:br/>
                  </w:r>
                  <w:r>
                    <w:rPr>
                      <w:sz w:val="20"/>
                    </w:rPr>
                    <w:t>3.C20商品砼180度管基。</w:t>
                  </w:r>
                  <w:r>
                    <w:br/>
                  </w:r>
                  <w:r>
                    <w:rPr>
                      <w:sz w:val="20"/>
                    </w:rPr>
                    <w:t>4.闭水试验</w:t>
                  </w:r>
                  <w:r>
                    <w:br/>
                  </w:r>
                  <w:r>
                    <w:rPr>
                      <w:sz w:val="20"/>
                    </w:rPr>
                    <w:t>5.具体详见施工图</w:t>
                  </w:r>
                  <w:r>
                    <w:br/>
                  </w:r>
                  <w:r>
                    <w:rPr>
                      <w:sz w:val="20"/>
                    </w:rPr>
                    <w:t>6.符合国标《混凝土和钢筋混凝土排水管 GB/T 11836-1999》的要求。</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994.74</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118</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040504001001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砌筑井</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1.M7.5水泥砂浆砌灰砂砖φ1000圆形雨水检查井，井深2.425m。</w:t>
                  </w:r>
                  <w:r>
                    <w:br/>
                  </w:r>
                  <w:r>
                    <w:rPr>
                      <w:sz w:val="20"/>
                    </w:rPr>
                    <w:t>2.φ700钢纤维雨</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座</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2609.36</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21页,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水井盖座（重型）。</w:t>
                  </w:r>
                  <w:r>
                    <w:br/>
                  </w:r>
                  <w:r>
                    <w:rPr>
                      <w:sz w:val="20"/>
                    </w:rPr>
                    <w:t>3.100厚C15砼</w:t>
                  </w:r>
                  <w:r>
                    <w:br/>
                  </w:r>
                  <w:r>
                    <w:rPr>
                      <w:sz w:val="20"/>
                    </w:rPr>
                    <w:t>4.具体详见施工图。</w:t>
                  </w: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119</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040504009001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雨水口</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1.M7.5水泥砂浆砌MU10标准砖，雨水进水井380×680×1000。</w:t>
                  </w:r>
                  <w:r>
                    <w:br/>
                  </w:r>
                  <w:r>
                    <w:rPr>
                      <w:sz w:val="20"/>
                    </w:rPr>
                    <w:t>2.铸铁进水盖座450×750。</w:t>
                  </w:r>
                  <w:r>
                    <w:br/>
                  </w:r>
                  <w:r>
                    <w:rPr>
                      <w:sz w:val="20"/>
                    </w:rPr>
                    <w:t>3.10cm厚C15砼基础</w:t>
                  </w:r>
                  <w:r>
                    <w:br/>
                  </w:r>
                  <w:r>
                    <w:rPr>
                      <w:sz w:val="20"/>
                    </w:rPr>
                    <w:t>4.具体详见施工图。</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座</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1201.19</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临水护栏</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120</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040205012001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隔离护栏</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1.立柱式波形钢板梁护栏安装，间距4m</w:t>
                  </w:r>
                  <w:r>
                    <w:br/>
                  </w:r>
                  <w:r>
                    <w:rPr>
                      <w:sz w:val="20"/>
                    </w:rPr>
                    <w:t>2.φ114*4.5*1300镀锌钢管立柱，间距2m</w:t>
                  </w:r>
                  <w:r>
                    <w:br/>
                  </w:r>
                  <w:r>
                    <w:rPr>
                      <w:sz w:val="20"/>
                    </w:rPr>
                    <w:t>3.310*85*3*4320镀锌波纹护栏板，端头板制安</w:t>
                  </w:r>
                  <w:r>
                    <w:br/>
                  </w:r>
                  <w:r>
                    <w:rPr>
                      <w:sz w:val="20"/>
                    </w:rPr>
                    <w:t>4.栏板采用高级反光漆</w:t>
                  </w:r>
                  <w:r>
                    <w:br/>
                  </w:r>
                  <w:r>
                    <w:rPr>
                      <w:sz w:val="20"/>
                    </w:rPr>
                    <w:t>5.所有钢结构均应进行热镀锌防腐处理，然后涂塑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151.48</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121</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010501001001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基础</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1.C25商品砼基础500*500*500</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m3</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683.95</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122</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040101001001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挖一般土方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1.挖土机挖土方,土质综合考虑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m3</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6.49</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123</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040103001002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回填方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1.回填土，压实。</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m3</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23.55</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22页,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124</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040103002002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余方弃置</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1.余土清运，运距自行考虑。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m3</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22.28</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倒车挡杆</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125</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040309001001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倒车挡杆</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1.倒车挡杆制作、安装。</w:t>
                  </w:r>
                  <w:r>
                    <w:br/>
                  </w:r>
                  <w:r>
                    <w:rPr>
                      <w:sz w:val="20"/>
                    </w:rPr>
                    <w:t>2.横管为镀锌钢管D78×4mm，竖杆为镀锌钢管D50*3.5mm。</w:t>
                  </w:r>
                  <w:r>
                    <w:br/>
                  </w:r>
                  <w:r>
                    <w:rPr>
                      <w:sz w:val="20"/>
                    </w:rPr>
                    <w:t>3.竖杆下做300×300×300mmC25混凝土基层,200×200×8mm钢板与钢管焊接。</w:t>
                  </w:r>
                  <w:r>
                    <w:br/>
                  </w:r>
                  <w:r>
                    <w:rPr>
                      <w:sz w:val="20"/>
                    </w:rPr>
                    <w:t>4.钢管上油黄黑反光漆。</w:t>
                  </w:r>
                  <w:r>
                    <w:br/>
                  </w:r>
                  <w:r>
                    <w:rPr>
                      <w:sz w:val="20"/>
                    </w:rPr>
                    <w:t>5.拆除人行道地砖及基层，拆除废料外运。</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110.14</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新建伸缩缝</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126</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040601029003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沉降</w:t>
                  </w:r>
                  <w:r>
                    <w:rPr>
                      <w:sz w:val="20"/>
                    </w:rPr>
                    <w:t>(施工)缝</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1.伸缩缝：沥青玛蹄脂灌缝。</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182.54</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127</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040601029004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沉降</w:t>
                  </w:r>
                  <w:r>
                    <w:rPr>
                      <w:sz w:val="20"/>
                    </w:rPr>
                    <w:t>(施工)缝</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1.伸缩缝：新旧路面连接沥青木板，沥青填缝料。</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146.45</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路长制牌</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128</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050307009004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路长制牌</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1、公示牌采用铝塑板制作尺寸为800mm*500mm，</w:t>
                  </w:r>
                  <w:r>
                    <w:br/>
                  </w:r>
                  <w:r>
                    <w:rPr>
                      <w:sz w:val="20"/>
                    </w:rPr>
                    <w:t>2、立柱为直径60mm钢管，长度上大于2.5m，埋深大于60cm，公示牌净高大于2m</w:t>
                  </w:r>
                  <w:r>
                    <w:br/>
                  </w:r>
                  <w:r>
                    <w:rPr>
                      <w:sz w:val="20"/>
                    </w:rPr>
                    <w:t>3、混凝土基础制作</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907.52</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23页,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及土方开挖</w:t>
                  </w:r>
                  <w:r>
                    <w:br/>
                  </w:r>
                  <w:r>
                    <w:rPr>
                      <w:sz w:val="20"/>
                    </w:rPr>
                    <w:t>4、具体做法详见佛山市农村公路“路长制”公示牌标准</w:t>
                  </w: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新建水泥砂浆</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129</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011101006002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水泥砂浆修复</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 1：3水泥砂浆修补6cm厚</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43.45</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130</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011101006003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水泥砂浆修复</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 1：3水泥砂浆修补10cm厚</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64.06</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131</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011101006004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水泥砂浆修复</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 1：3水泥砂浆修补15cm厚</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89.81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更换井盖</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132</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010512008010</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井盖</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1、φ600铸铁井盖一套（含井盖+井框）</w:t>
                  </w:r>
                  <w:r>
                    <w:br/>
                  </w:r>
                  <w:r>
                    <w:rPr>
                      <w:sz w:val="20"/>
                    </w:rPr>
                    <w:t>2、修复周边破损位置</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358.67</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133</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010512008011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井盖</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1、φ700铸铁井盖一套（含井盖+井框）</w:t>
                  </w:r>
                  <w:r>
                    <w:br/>
                  </w:r>
                  <w:r>
                    <w:rPr>
                      <w:sz w:val="20"/>
                    </w:rPr>
                    <w:t>2、修复周边破损位置</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368.02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134</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010512008012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井盖</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1、φ800铸铁井盖一套（含井盖+井框）</w:t>
                  </w:r>
                  <w:r>
                    <w:br/>
                  </w:r>
                  <w:r>
                    <w:rPr>
                      <w:sz w:val="20"/>
                    </w:rPr>
                    <w:t>2、修复周边破损位置</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405.44</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135</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010512008013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井盖</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1、φ600水泥井盖一套（含井盖+井框）</w:t>
                  </w:r>
                  <w:r>
                    <w:br/>
                  </w:r>
                  <w:r>
                    <w:rPr>
                      <w:sz w:val="20"/>
                    </w:rPr>
                    <w:t>2、修复周边破损位置</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305.22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136</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010512008014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井盖</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1、φ700水泥井盖一套（含井盖+井</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343.96</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24页,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框）</w:t>
                  </w:r>
                  <w:r>
                    <w:br/>
                  </w:r>
                  <w:r>
                    <w:rPr>
                      <w:sz w:val="20"/>
                    </w:rPr>
                    <w:t>2、修复周边破损位置</w:t>
                  </w: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137</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010512008015</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井盖</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1、φ800水泥井盖一套（含井盖+井框）</w:t>
                  </w:r>
                  <w:r>
                    <w:br/>
                  </w:r>
                  <w:r>
                    <w:rPr>
                      <w:sz w:val="20"/>
                    </w:rPr>
                    <w:t>2、修复周边破损位置</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380.81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更换标志牌</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138</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050307009005</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标志牌（路牌更换内容）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1、路牌面内容（图文）更换、面贴二层二级反光膜等</w:t>
                  </w:r>
                  <w:r>
                    <w:br/>
                  </w:r>
                  <w:r>
                    <w:rPr>
                      <w:sz w:val="20"/>
                    </w:rPr>
                    <w:t>2、尺寸圆形φ800mm×3mm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122.71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139</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050307009006</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标志牌（路牌更换内容）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1、路牌面内容（图文）更换、面贴二层二级反光膜等</w:t>
                  </w:r>
                  <w:r>
                    <w:br/>
                  </w:r>
                  <w:r>
                    <w:rPr>
                      <w:sz w:val="20"/>
                    </w:rPr>
                    <w:t>2、尺寸正三角形900mm×900mm×900mm×3mm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110.70</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140</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050307009007</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标志牌（路牌更换内容）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1、路牌面内容（图文）更换、面贴二层二级反光膜等</w:t>
                  </w:r>
                  <w:r>
                    <w:br/>
                  </w:r>
                  <w:r>
                    <w:rPr>
                      <w:sz w:val="20"/>
                    </w:rPr>
                    <w:t>2、尺寸倒三角形900mm×900mm×900mm×3mm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110.70</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141</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050307009008</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标志牌（路牌更换内容）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1、路牌面内容（图文）更换、面贴二层二级反光膜等</w:t>
                  </w:r>
                  <w:r>
                    <w:br/>
                  </w:r>
                  <w:r>
                    <w:rPr>
                      <w:sz w:val="20"/>
                    </w:rPr>
                    <w:t>2、尺寸矩形800mm×800mm×3mm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154.27</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142</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050307009009</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标志牌（路牌更换内容）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1、路牌面内容（图文）更换、面贴二层二级反光膜等</w:t>
                  </w:r>
                  <w:r>
                    <w:br/>
                  </w:r>
                  <w:r>
                    <w:rPr>
                      <w:sz w:val="20"/>
                    </w:rPr>
                    <w:t>2、尺寸矩形</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227.67</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25页,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800mm×1200mm×3mm</w:t>
                  </w: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143</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050307009010</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标志牌（路牌更换内容）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1、路牌面内容（图文）更换、面贴二层二级反光膜等</w:t>
                  </w:r>
                  <w:r>
                    <w:br/>
                  </w:r>
                  <w:r>
                    <w:rPr>
                      <w:sz w:val="20"/>
                    </w:rPr>
                    <w:t>2、尺寸八边形φ800mm×3mm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123.07</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144</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050307009011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标志牌（路牌更换内容）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1、路牌面内容（图文）更换、面贴二层二级反光膜等</w:t>
                  </w:r>
                  <w:r>
                    <w:br/>
                  </w:r>
                  <w:r>
                    <w:rPr>
                      <w:sz w:val="20"/>
                    </w:rPr>
                    <w:t>2、尺寸矩形60mm×40mm×4mm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62.53</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145</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050307009012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标志牌（路牌更换内容）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1、路牌面内容（图文）更换、面贴二层二级反光膜等</w:t>
                  </w:r>
                  <w:r>
                    <w:br/>
                  </w:r>
                  <w:r>
                    <w:rPr>
                      <w:sz w:val="20"/>
                    </w:rPr>
                    <w:t>2、尺寸矩形600mm×600mm×3mm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90.05</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146</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050307009013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标志牌（路牌更换内容）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1、路牌面内容（图文）更换、面贴二层二级反光膜等</w:t>
                  </w:r>
                  <w:r>
                    <w:br/>
                  </w:r>
                  <w:r>
                    <w:rPr>
                      <w:sz w:val="20"/>
                    </w:rPr>
                    <w:t>2、尺寸圆形和矩形φ800mm×3mm和800mm×300mm×3mm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177.76</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147</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050307009014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标志牌（路牌更换内容）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1、路牌面内容（图文）更换、面贴二层二级反光膜等</w:t>
                  </w:r>
                  <w:r>
                    <w:br/>
                  </w:r>
                  <w:r>
                    <w:rPr>
                      <w:sz w:val="20"/>
                    </w:rPr>
                    <w:t>2、尺寸矩形1800mm×1000mm×3mm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420.32</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148</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050307009015</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标志牌（路牌更换内容）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1、路牌面内容（图文）更换、面贴二层二级反光膜等</w:t>
                  </w:r>
                  <w:r>
                    <w:br/>
                  </w:r>
                  <w:r>
                    <w:rPr>
                      <w:sz w:val="20"/>
                    </w:rPr>
                    <w:t>2、尺寸矩形800mm×1200mm×3</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117.58</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26页,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mm</w:t>
                  </w: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149</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050307009016</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标志牌（路牌更换内容）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1、路牌面内容（图文）更换、面贴二层二级反光膜等</w:t>
                  </w:r>
                  <w:r>
                    <w:br/>
                  </w:r>
                  <w:r>
                    <w:rPr>
                      <w:sz w:val="20"/>
                    </w:rPr>
                    <w:t>2、尺寸矩形800mm×1600mm×3mm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301.06</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150</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050307009017</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标志牌（路牌更换内容）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1、路牌面内容（图文）更换、面贴二层二级反光膜等</w:t>
                  </w:r>
                  <w:r>
                    <w:br/>
                  </w:r>
                  <w:r>
                    <w:rPr>
                      <w:sz w:val="20"/>
                    </w:rPr>
                    <w:t>2、尺寸矩形600mm×800mm×3mm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117.58</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151</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050307009018</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标志牌（路牌更换内容）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1、路牌面内容（图文）更换、面贴二层二级反光膜等</w:t>
                  </w:r>
                  <w:r>
                    <w:br/>
                  </w:r>
                  <w:r>
                    <w:rPr>
                      <w:sz w:val="20"/>
                    </w:rPr>
                    <w:t>2、尺寸圆形和矩形φ600mm×3mm和600mm×800mm×3mm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182.39</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152</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050307009019</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标志牌（路牌更换内容）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1、路牌面内容（图文）更换、面贴二层二级反光膜等</w:t>
                  </w:r>
                  <w:r>
                    <w:br/>
                  </w:r>
                  <w:r>
                    <w:rPr>
                      <w:sz w:val="20"/>
                    </w:rPr>
                    <w:t>2、尺寸矩形400mm×1200mm×3mm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117.58</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153</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050307009020</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标志牌（路牌更换内容）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1、路牌面内容（图文）更换、面贴二层二级反光膜等</w:t>
                  </w:r>
                  <w:r>
                    <w:br/>
                  </w:r>
                  <w:r>
                    <w:rPr>
                      <w:sz w:val="20"/>
                    </w:rPr>
                    <w:t>2、尺寸矩形800mm×800mm×3mm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154.27</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翻新桥面栏杆</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154</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011405001002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栏杆金属面油漆翻新</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1、栏杆金属面油漆翻新</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21.34</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27页,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防撞柱</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155</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040205017003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防撞筒</w:t>
                  </w:r>
                  <w:r>
                    <w:rPr>
                      <w:sz w:val="20"/>
                    </w:rPr>
                    <w:t>(墩)</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1.石柱型防撞柱安装H=800mmo</w:t>
                  </w:r>
                  <w:r>
                    <w:br/>
                  </w:r>
                  <w:r>
                    <w:rPr>
                      <w:sz w:val="20"/>
                    </w:rPr>
                    <w:t>2.规格:直径350。</w:t>
                  </w:r>
                  <w:r>
                    <w:br/>
                  </w:r>
                  <w:r>
                    <w:rPr>
                      <w:sz w:val="20"/>
                    </w:rPr>
                    <w:t>3.20cmC25混凝土垫层</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270.53</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156</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040205017004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防撞筒</w:t>
                  </w:r>
                  <w:r>
                    <w:rPr>
                      <w:sz w:val="20"/>
                    </w:rPr>
                    <w:t>(墩)</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1.花岗岩立方型防撞柱安装。</w:t>
                  </w:r>
                  <w:r>
                    <w:br/>
                  </w:r>
                  <w:r>
                    <w:rPr>
                      <w:sz w:val="20"/>
                    </w:rPr>
                    <w:t>2.规格: 25X25X50cm</w:t>
                  </w:r>
                  <w:r>
                    <w:br/>
                  </w:r>
                  <w:r>
                    <w:rPr>
                      <w:sz w:val="20"/>
                    </w:rPr>
                    <w:t>3.20cmC25混凝土垫层</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个</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191.64</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157</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040205018001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警示柱</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1、精细铸铁警示柱，贴二级黄色反光膜，柱高720mm</w:t>
                  </w:r>
                  <w:r>
                    <w:br/>
                  </w:r>
                  <w:r>
                    <w:rPr>
                      <w:sz w:val="20"/>
                    </w:rPr>
                    <w:t>2、外购240X120X60mm厚透水砖修复人行道</w:t>
                  </w:r>
                  <w:r>
                    <w:br/>
                  </w:r>
                  <w:r>
                    <w:rPr>
                      <w:sz w:val="20"/>
                    </w:rPr>
                    <w:t>3、3cm厚1：2水泥砂浆找平</w:t>
                  </w:r>
                  <w:r>
                    <w:br/>
                  </w:r>
                  <w:r>
                    <w:rPr>
                      <w:sz w:val="20"/>
                    </w:rPr>
                    <w:t>4、400X400X400mmC25商品混凝土基础</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根</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471.45</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新建路名牌</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158</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040205004001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路牌一套（含管）</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1、路牌1200mm长，400mm宽，3mm厚铝合金板，面贴二级反光膜</w:t>
                  </w:r>
                  <w:r>
                    <w:br/>
                  </w:r>
                  <w:r>
                    <w:rPr>
                      <w:sz w:val="20"/>
                    </w:rPr>
                    <w:t>2、标牌连接件制作安装</w:t>
                  </w:r>
                  <w:r>
                    <w:br/>
                  </w:r>
                  <w:r>
                    <w:rPr>
                      <w:sz w:val="20"/>
                    </w:rPr>
                    <w:t>3、路牌管长2800mm，DN100*4mm厚镀锌管</w:t>
                  </w:r>
                  <w:r>
                    <w:br/>
                  </w:r>
                  <w:r>
                    <w:rPr>
                      <w:sz w:val="20"/>
                    </w:rPr>
                    <w:t>4、加劲法兰盘与底座法兰盘均为</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套</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776.41</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28页,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30*30*1cm</w:t>
                  </w:r>
                  <w:r>
                    <w:br/>
                  </w:r>
                  <w:r>
                    <w:rPr>
                      <w:sz w:val="20"/>
                    </w:rPr>
                    <w:t>5、安装路牌时挖掘60公分深，土方挖运填</w:t>
                  </w:r>
                  <w:r>
                    <w:br/>
                  </w:r>
                  <w:r>
                    <w:rPr>
                      <w:sz w:val="20"/>
                    </w:rPr>
                    <w:t>6、种杆后泥土回填，水泥封面300*300*400mmC25混凝土</w:t>
                  </w: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切割树根</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159</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050101003005</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砍挖清理树根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1、砍挖清理树根，(根径cm)20以内</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株</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60.17</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160</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050101003006</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砍挖清理树根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1、砍挖清理树根，(根径cm)40以内</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株</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168.87</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新建沥青混凝土面层、铣刨路面</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161</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040203006013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沥青混凝土</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1.清理路面。</w:t>
                  </w:r>
                  <w:r>
                    <w:br/>
                  </w:r>
                  <w:r>
                    <w:rPr>
                      <w:sz w:val="20"/>
                    </w:rPr>
                    <w:t>2.机械摊铺OGFC-13细粒式透水降噪沥青砼面层，平均1cm。</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17.90</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162</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041001004001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铣刨路面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1.铣刨5cm沥青路面。</w:t>
                  </w:r>
                  <w:r>
                    <w:br/>
                  </w:r>
                  <w:r>
                    <w:rPr>
                      <w:sz w:val="20"/>
                    </w:rPr>
                    <w:t>2.余方外运，运距综合考虑。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7.06</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163</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041001004002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铣刨路面</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1.铣刨5cm混凝土路面。</w:t>
                  </w:r>
                  <w:r>
                    <w:br/>
                  </w:r>
                  <w:r>
                    <w:rPr>
                      <w:sz w:val="20"/>
                    </w:rPr>
                    <w:t>2.余方外运，运距综合考虑。</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m2</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13.25</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抬高雨水检查井、电缆井</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164</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040204006001</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检查井升降</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1.φ800电缆井抬高150mm。</w:t>
                  </w:r>
                  <w:r>
                    <w:br/>
                  </w:r>
                  <w:r>
                    <w:rPr>
                      <w:sz w:val="20"/>
                    </w:rPr>
                    <w:t>2.C30混凝土盖座。</w:t>
                  </w:r>
                  <w:r>
                    <w:br/>
                  </w:r>
                  <w:r>
                    <w:rPr>
                      <w:sz w:val="20"/>
                    </w:rPr>
                    <w:t>3.井盖利旧。</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座</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162.76</w:t>
                  </w:r>
                </w:p>
              </w:tc>
            </w:tr>
            <w:tr>
              <w:tc>
                <w:tcPr>
                  <w:tcW w:type="dxa" w:w="5592"/>
                  <w:gridSpan w:val="9"/>
                  <w:tcBorders>
                    <w:top w:val="none" w:color="000000" w:sz="4"/>
                    <w:left w:val="single" w:color="000000" w:sz="4"/>
                    <w:bottom w:val="single" w:color="000000" w:sz="4"/>
                    <w:right w:val="single" w:color="000000" w:sz="4"/>
                  </w:tcBorders>
                  <w:shd w:fill="FFFFFF"/>
                  <w:vAlign w:val="top"/>
                </w:tcPr>
                <w:p>
                  <w:pPr>
                    <w:jc w:val="center"/>
                  </w:pPr>
                  <w:r>
                    <w:rPr>
                      <w:sz w:val="20"/>
                    </w:rPr>
                    <w:t>本页小计</w:t>
                  </w:r>
                </w:p>
              </w:tc>
            </w:tr>
            <w:tr>
              <w:tc>
                <w:tcPr>
                  <w:tcW w:type="dxa" w:w="5592"/>
                  <w:gridSpan w:val="9"/>
                  <w:tcBorders>
                    <w:top w:val="none" w:color="000000" w:sz="4"/>
                    <w:left w:val="none" w:color="000000" w:sz="4"/>
                    <w:bottom w:val="none" w:color="000000" w:sz="4"/>
                    <w:right w:val="none" w:color="000000" w:sz="4"/>
                  </w:tcBorders>
                  <w:shd w:fill="FFFFFF"/>
                  <w:vAlign w:val="top"/>
                </w:tcPr>
                <w:p>
                  <w:pPr>
                    <w:jc w:val="center"/>
                  </w:pPr>
                  <w:r>
                    <w:rPr>
                      <w:b/>
                      <w:sz w:val="40"/>
                    </w:rPr>
                    <w:t>单方指标价</w:t>
                  </w:r>
                </w:p>
              </w:tc>
            </w:tr>
            <w:tr>
              <w:tc>
                <w:tcPr>
                  <w:tcW w:type="dxa" w:w="875"/>
                  <w:gridSpan w:val="2"/>
                  <w:tcBorders>
                    <w:top w:val="none" w:color="000000" w:sz="4"/>
                    <w:left w:val="none" w:color="000000" w:sz="4"/>
                    <w:bottom w:val="none" w:color="000000" w:sz="4"/>
                    <w:right w:val="none" w:color="000000" w:sz="4"/>
                  </w:tcBorders>
                  <w:shd w:fill="FFFFFF"/>
                  <w:vAlign w:val="bottom"/>
                </w:tcPr>
                <w:p>
                  <w:pPr>
                    <w:jc w:val="left"/>
                  </w:pPr>
                  <w:r>
                    <w:rPr>
                      <w:b/>
                      <w:sz w:val="20"/>
                    </w:rPr>
                    <w:t>工程名称</w:t>
                  </w:r>
                  <w:r>
                    <w:rPr>
                      <w:b/>
                      <w:sz w:val="20"/>
                    </w:rPr>
                    <w:t>:</w:t>
                  </w:r>
                </w:p>
              </w:tc>
              <w:tc>
                <w:tcPr>
                  <w:tcW w:type="dxa" w:w="4122"/>
                  <w:gridSpan w:val="6"/>
                  <w:tcBorders>
                    <w:top w:val="none" w:color="000000" w:sz="4"/>
                    <w:left w:val="none" w:color="000000" w:sz="4"/>
                    <w:bottom w:val="none" w:color="000000" w:sz="4"/>
                    <w:right w:val="none" w:color="000000" w:sz="4"/>
                  </w:tcBorders>
                  <w:shd w:fill="FFFFFF"/>
                  <w:vAlign w:val="bottom"/>
                </w:tcPr>
                <w:p>
                  <w:pPr>
                    <w:jc w:val="left"/>
                  </w:pPr>
                  <w:r>
                    <w:rPr>
                      <w:b/>
                      <w:sz w:val="20"/>
                    </w:rPr>
                    <w:t>2023-2025年度容桂街道零散市政设施破损修复维护项目</w:t>
                  </w:r>
                </w:p>
              </w:tc>
              <w:tc>
                <w:tcPr>
                  <w:tcW w:type="dxa" w:w="595"/>
                  <w:tcBorders>
                    <w:top w:val="none" w:color="000000" w:sz="4"/>
                    <w:left w:val="none" w:color="000000" w:sz="4"/>
                    <w:bottom w:val="none" w:color="000000" w:sz="4"/>
                    <w:right w:val="none" w:color="000000" w:sz="4"/>
                  </w:tcBorders>
                  <w:shd w:fill="FFFFFF"/>
                  <w:vAlign w:val="bottom"/>
                </w:tcPr>
                <w:p>
                  <w:pPr>
                    <w:jc w:val="right"/>
                  </w:pPr>
                  <w:r>
                    <w:rPr>
                      <w:b/>
                      <w:sz w:val="20"/>
                    </w:rPr>
                    <w:t>第</w:t>
                  </w:r>
                  <w:r>
                    <w:rPr>
                      <w:b/>
                      <w:sz w:val="20"/>
                    </w:rPr>
                    <w:t>29页, 共29页</w:t>
                  </w:r>
                </w:p>
              </w:tc>
            </w:tr>
            <w:tr>
              <w:tc>
                <w:tcPr>
                  <w:tcW w:type="dxa" w:w="390"/>
                  <w:vMerge w:val="restart"/>
                  <w:tcBorders>
                    <w:top w:val="single" w:color="000000" w:sz="4"/>
                    <w:left w:val="single" w:color="000000" w:sz="4"/>
                    <w:bottom w:val="single" w:color="000000" w:sz="4"/>
                    <w:right w:val="single" w:color="000000" w:sz="4"/>
                  </w:tcBorders>
                  <w:shd w:fill="FFFFFF"/>
                  <w:vAlign w:val="top"/>
                </w:tcPr>
                <w:p>
                  <w:pPr>
                    <w:jc w:val="center"/>
                  </w:pPr>
                  <w:r>
                    <w:rPr>
                      <w:b/>
                      <w:sz w:val="20"/>
                    </w:rPr>
                    <w:t>序号</w:t>
                  </w:r>
                </w:p>
              </w:tc>
              <w:tc>
                <w:tcPr>
                  <w:tcW w:type="dxa" w:w="970"/>
                  <w:gridSpan w:val="2"/>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项目编码</w:t>
                  </w:r>
                </w:p>
              </w:tc>
              <w:tc>
                <w:tcPr>
                  <w:tcW w:type="dxa" w:w="110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项目名称</w:t>
                  </w:r>
                </w:p>
              </w:tc>
              <w:tc>
                <w:tcPr>
                  <w:tcW w:type="dxa" w:w="1113"/>
                  <w:vMerge w:val="restart"/>
                  <w:tcBorders>
                    <w:top w:val="single" w:color="000000" w:sz="4"/>
                    <w:left w:val="none" w:color="000000" w:sz="4"/>
                    <w:bottom w:val="single" w:color="000000" w:sz="4"/>
                    <w:right w:val="single" w:color="000000" w:sz="4"/>
                  </w:tcBorders>
                  <w:shd w:fill="FFFFFF"/>
                  <w:vAlign w:val="top"/>
                </w:tcPr>
                <w:p>
                  <w:pPr>
                    <w:jc w:val="center"/>
                  </w:pPr>
                  <w:r>
                    <w:rPr>
                      <w:b/>
                      <w:sz w:val="20"/>
                    </w:rPr>
                    <w:t>项目特征描述</w:t>
                  </w:r>
                </w:p>
              </w:tc>
              <w:tc>
                <w:tcPr>
                  <w:tcW w:type="dxa" w:w="341"/>
                  <w:vMerge w:val="restart"/>
                  <w:tcBorders>
                    <w:top w:val="single" w:color="000000" w:sz="4"/>
                    <w:left w:val="none" w:color="000000" w:sz="4"/>
                    <w:bottom w:val="single" w:color="000000" w:sz="4"/>
                    <w:right w:val="single" w:color="000000" w:sz="4"/>
                  </w:tcBorders>
                  <w:shd w:fill="FFFFFF"/>
                  <w:vAlign w:val="top"/>
                </w:tcPr>
                <w:p>
                  <w:pPr>
                    <w:jc w:val="center"/>
                  </w:pPr>
                  <w:r>
                    <w:rPr>
                      <w:b/>
                      <w:sz w:val="20"/>
                    </w:rPr>
                    <w:t>计量</w:t>
                  </w:r>
                  <w:r>
                    <w:br/>
                  </w:r>
                  <w:r>
                    <w:rPr>
                      <w:b/>
                      <w:sz w:val="20"/>
                    </w:rPr>
                    <w:t>单位</w:t>
                  </w:r>
                </w:p>
              </w:tc>
              <w:tc>
                <w:tcPr>
                  <w:tcW w:type="dxa" w:w="595"/>
                  <w:vMerge w:val="restart"/>
                  <w:tcBorders>
                    <w:top w:val="single" w:color="000000" w:sz="4"/>
                    <w:left w:val="none" w:color="000000" w:sz="4"/>
                    <w:bottom w:val="single" w:color="000000" w:sz="4"/>
                    <w:right w:val="single" w:color="000000" w:sz="4"/>
                  </w:tcBorders>
                  <w:shd w:fill="FFFFFF"/>
                  <w:vAlign w:val="top"/>
                </w:tcPr>
                <w:p>
                  <w:pPr>
                    <w:jc w:val="center"/>
                  </w:pPr>
                  <w:r>
                    <w:rPr>
                      <w:b/>
                      <w:sz w:val="20"/>
                    </w:rPr>
                    <w:t>工程量</w:t>
                  </w:r>
                </w:p>
              </w:tc>
              <w:tc>
                <w:tcPr>
                  <w:tcW w:type="dxa" w:w="1080"/>
                  <w:gridSpan w:val="2"/>
                  <w:tcBorders>
                    <w:top w:val="single" w:color="000000" w:sz="4"/>
                    <w:left w:val="none" w:color="000000" w:sz="4"/>
                    <w:bottom w:val="single" w:color="000000" w:sz="4"/>
                    <w:right w:val="single" w:color="000000" w:sz="4"/>
                  </w:tcBorders>
                  <w:shd w:fill="FFFFFF"/>
                  <w:vAlign w:val="top"/>
                </w:tcPr>
                <w:p>
                  <w:pPr>
                    <w:jc w:val="center"/>
                  </w:pPr>
                  <w:r>
                    <w:rPr>
                      <w:b/>
                      <w:sz w:val="20"/>
                    </w:rPr>
                    <w:t>金额</w:t>
                  </w:r>
                  <w:r>
                    <w:rPr>
                      <w:b/>
                      <w:sz w:val="20"/>
                    </w:rPr>
                    <w:t>(元)</w:t>
                  </w:r>
                </w:p>
              </w:tc>
            </w:tr>
            <w:tr>
              <w:tc>
                <w:tcPr>
                  <w:tcW w:type="dxa" w:w="390"/>
                  <w:vMerge/>
                  <w:tcBorders>
                    <w:top w:val="single" w:color="000000" w:sz="4"/>
                    <w:left w:val="single" w:color="000000" w:sz="4"/>
                    <w:bottom w:val="single" w:color="000000" w:sz="4"/>
                    <w:right w:val="single" w:color="000000" w:sz="4"/>
                  </w:tcBorders>
                </w:tcPr>
                <w:p/>
              </w:tc>
              <w:tc>
                <w:tcPr>
                  <w:tcW w:type="dxa" w:w="970"/>
                  <w:gridSpan w:val="2"/>
                  <w:vMerge/>
                  <w:tcBorders>
                    <w:top w:val="single" w:color="000000" w:sz="4"/>
                    <w:left w:val="none" w:color="000000" w:sz="4"/>
                    <w:bottom w:val="single" w:color="000000" w:sz="4"/>
                    <w:right w:val="single" w:color="000000" w:sz="4"/>
                  </w:tcBorders>
                </w:tcPr>
                <w:p/>
              </w:tc>
              <w:tc>
                <w:tcPr>
                  <w:tcW w:type="dxa" w:w="1103"/>
                  <w:vMerge/>
                  <w:tcBorders>
                    <w:top w:val="single" w:color="000000" w:sz="4"/>
                    <w:left w:val="none" w:color="000000" w:sz="4"/>
                    <w:bottom w:val="single" w:color="000000" w:sz="4"/>
                    <w:right w:val="single" w:color="000000" w:sz="4"/>
                  </w:tcBorders>
                </w:tcPr>
                <w:p/>
              </w:tc>
              <w:tc>
                <w:tcPr>
                  <w:tcW w:type="dxa" w:w="1113"/>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595"/>
                  <w:vMerge/>
                  <w:tcBorders>
                    <w:top w:val="single" w:color="000000" w:sz="4"/>
                    <w:left w:val="none" w:color="000000" w:sz="4"/>
                    <w:bottom w:val="single" w:color="000000" w:sz="4"/>
                    <w:right w:val="single" w:color="000000" w:sz="4"/>
                  </w:tcBorders>
                </w:tcPr>
                <w:p/>
              </w:tc>
              <w:tc>
                <w:tcPr>
                  <w:tcW w:type="dxa" w:w="1080"/>
                  <w:gridSpan w:val="2"/>
                  <w:vMerge w:val="restart"/>
                  <w:tcBorders>
                    <w:top w:val="none" w:color="000000" w:sz="4"/>
                    <w:left w:val="none" w:color="000000" w:sz="4"/>
                    <w:bottom w:val="single" w:color="000000" w:sz="4"/>
                    <w:right w:val="single" w:color="000000" w:sz="4"/>
                  </w:tcBorders>
                  <w:shd w:fill="FFFFFF"/>
                  <w:vAlign w:val="top"/>
                </w:tcPr>
                <w:p>
                  <w:pPr>
                    <w:jc w:val="center"/>
                  </w:pPr>
                  <w:r>
                    <w:rPr>
                      <w:b/>
                      <w:sz w:val="20"/>
                    </w:rPr>
                    <w:t>综合单价</w:t>
                  </w:r>
                </w:p>
              </w:tc>
            </w:tr>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165</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040204006002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检查井升降</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1.φ1000雨水检查井井抬高150mm。</w:t>
                  </w:r>
                  <w:r>
                    <w:br/>
                  </w:r>
                  <w:r>
                    <w:rPr>
                      <w:sz w:val="20"/>
                    </w:rPr>
                    <w:t>2.C30混凝土盖座。</w:t>
                  </w:r>
                  <w:r>
                    <w:br/>
                  </w:r>
                  <w:r>
                    <w:rPr>
                      <w:sz w:val="20"/>
                    </w:rPr>
                    <w:t>3.井盖利旧。</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座</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170.11</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166</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040204006003</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检查井升降</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1.φ800电缆井抬高400mm。</w:t>
                  </w:r>
                  <w:r>
                    <w:br/>
                  </w:r>
                  <w:r>
                    <w:rPr>
                      <w:sz w:val="20"/>
                    </w:rPr>
                    <w:t>2.C30混凝土盖座。</w:t>
                  </w:r>
                  <w:r>
                    <w:br/>
                  </w:r>
                  <w:r>
                    <w:rPr>
                      <w:sz w:val="20"/>
                    </w:rPr>
                    <w:t>3.井盖利旧。</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座</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303.63</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167</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040204006004</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检查井升降</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1.φ1000雨水检查井井抬高400mm。</w:t>
                  </w:r>
                  <w:r>
                    <w:br/>
                  </w:r>
                  <w:r>
                    <w:rPr>
                      <w:sz w:val="20"/>
                    </w:rPr>
                    <w:t>2.C30混凝土盖座。</w:t>
                  </w:r>
                  <w:r>
                    <w:br/>
                  </w:r>
                  <w:r>
                    <w:rPr>
                      <w:sz w:val="20"/>
                    </w:rPr>
                    <w:t>3.井盖利旧。</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座</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323.23</w:t>
                  </w:r>
                </w:p>
              </w:tc>
            </w:tr>
            <w:tr>
              <w:tc>
                <w:tcPr>
                  <w:tcW w:type="dxa" w:w="390"/>
                  <w:tcBorders>
                    <w:top w:val="none" w:color="000000" w:sz="4"/>
                    <w:left w:val="single" w:color="000000" w:sz="4"/>
                    <w:bottom w:val="single" w:color="000000" w:sz="4"/>
                    <w:right w:val="single" w:color="000000" w:sz="4"/>
                  </w:tcBorders>
                  <w:shd w:fill="FFFFFF"/>
                  <w:vAlign w:val="top"/>
                </w:tcPr>
                <w:p>
                  <w:pPr>
                    <w:jc w:val="center"/>
                  </w:pP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零星人工费</w:t>
                  </w:r>
                </w:p>
              </w:tc>
              <w:tc>
                <w:tcPr>
                  <w:tcW w:type="dxa" w:w="1113"/>
                  <w:tcBorders>
                    <w:top w:val="none" w:color="000000" w:sz="4"/>
                    <w:left w:val="none" w:color="000000" w:sz="4"/>
                    <w:bottom w:val="single" w:color="000000" w:sz="4"/>
                    <w:right w:val="single" w:color="000000" w:sz="4"/>
                  </w:tcBorders>
                  <w:shd w:fill="FFFFFF"/>
                  <w:vAlign w:val="top"/>
                </w:tcPr>
                <w:p>
                  <w:pPr>
                    <w:jc w:val="left"/>
                  </w:pPr>
                </w:p>
              </w:tc>
              <w:tc>
                <w:tcPr>
                  <w:tcW w:type="dxa" w:w="341"/>
                  <w:tcBorders>
                    <w:top w:val="none" w:color="000000" w:sz="4"/>
                    <w:left w:val="none" w:color="000000" w:sz="4"/>
                    <w:bottom w:val="single" w:color="000000" w:sz="4"/>
                    <w:right w:val="single" w:color="000000" w:sz="4"/>
                  </w:tcBorders>
                  <w:shd w:fill="FFFFFF"/>
                  <w:vAlign w:val="top"/>
                </w:tcPr>
                <w:p>
                  <w:pPr>
                    <w:jc w:val="center"/>
                  </w:pPr>
                </w:p>
              </w:tc>
              <w:tc>
                <w:tcPr>
                  <w:tcW w:type="dxa" w:w="595"/>
                  <w:tcBorders>
                    <w:top w:val="none" w:color="000000" w:sz="4"/>
                    <w:left w:val="none" w:color="000000" w:sz="4"/>
                    <w:bottom w:val="single" w:color="000000" w:sz="4"/>
                    <w:right w:val="single" w:color="000000" w:sz="4"/>
                  </w:tcBorders>
                  <w:shd w:fill="FFFFFF"/>
                  <w:vAlign w:val="top"/>
                </w:tcPr>
                <w:p>
                  <w:pPr>
                    <w:jc w:val="right"/>
                  </w:pP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p>
              </w:tc>
            </w:tr>
            <w:tr>
              <w:tc>
                <w:tcPr>
                  <w:tcW w:type="dxa" w:w="390"/>
                  <w:tcBorders>
                    <w:top w:val="none" w:color="000000" w:sz="4"/>
                    <w:left w:val="single" w:color="000000" w:sz="4"/>
                    <w:bottom w:val="single" w:color="000000" w:sz="4"/>
                    <w:right w:val="single" w:color="000000" w:sz="4"/>
                  </w:tcBorders>
                  <w:shd w:fill="FFFFFF"/>
                  <w:vAlign w:val="top"/>
                </w:tcPr>
                <w:p>
                  <w:pPr>
                    <w:jc w:val="center"/>
                  </w:pPr>
                  <w:r>
                    <w:rPr>
                      <w:sz w:val="20"/>
                    </w:rPr>
                    <w:t>168</w:t>
                  </w:r>
                </w:p>
              </w:tc>
              <w:tc>
                <w:tcPr>
                  <w:tcW w:type="dxa" w:w="970"/>
                  <w:gridSpan w:val="2"/>
                  <w:tcBorders>
                    <w:top w:val="none" w:color="000000" w:sz="4"/>
                    <w:left w:val="none" w:color="000000" w:sz="4"/>
                    <w:bottom w:val="single" w:color="000000" w:sz="4"/>
                    <w:right w:val="single" w:color="000000" w:sz="4"/>
                  </w:tcBorders>
                  <w:shd w:fill="FFFFFF"/>
                  <w:vAlign w:val="top"/>
                </w:tcPr>
                <w:p>
                  <w:pPr>
                    <w:jc w:val="left"/>
                  </w:pPr>
                  <w:r>
                    <w:rPr>
                      <w:sz w:val="20"/>
                    </w:rPr>
                    <w:t>040101001002</w:t>
                  </w:r>
                </w:p>
              </w:tc>
              <w:tc>
                <w:tcPr>
                  <w:tcW w:type="dxa" w:w="1103"/>
                  <w:tcBorders>
                    <w:top w:val="none" w:color="000000" w:sz="4"/>
                    <w:left w:val="none" w:color="000000" w:sz="4"/>
                    <w:bottom w:val="single" w:color="000000" w:sz="4"/>
                    <w:right w:val="single" w:color="000000" w:sz="4"/>
                  </w:tcBorders>
                  <w:shd w:fill="FFFFFF"/>
                  <w:vAlign w:val="top"/>
                </w:tcPr>
                <w:p>
                  <w:pPr>
                    <w:jc w:val="left"/>
                  </w:pPr>
                  <w:r>
                    <w:rPr>
                      <w:sz w:val="20"/>
                    </w:rPr>
                    <w:t>人工费</w:t>
                  </w:r>
                </w:p>
              </w:tc>
              <w:tc>
                <w:tcPr>
                  <w:tcW w:type="dxa" w:w="1113"/>
                  <w:tcBorders>
                    <w:top w:val="none" w:color="000000" w:sz="4"/>
                    <w:left w:val="none" w:color="000000" w:sz="4"/>
                    <w:bottom w:val="single" w:color="000000" w:sz="4"/>
                    <w:right w:val="single" w:color="000000" w:sz="4"/>
                  </w:tcBorders>
                  <w:shd w:fill="FFFFFF"/>
                  <w:vAlign w:val="top"/>
                </w:tcPr>
                <w:p>
                  <w:pPr>
                    <w:jc w:val="left"/>
                  </w:pPr>
                  <w:r>
                    <w:rPr>
                      <w:sz w:val="20"/>
                    </w:rPr>
                    <w:t>1.单独的零星修复工程人工费</w:t>
                  </w:r>
                </w:p>
              </w:tc>
              <w:tc>
                <w:tcPr>
                  <w:tcW w:type="dxa" w:w="341"/>
                  <w:tcBorders>
                    <w:top w:val="none" w:color="000000" w:sz="4"/>
                    <w:left w:val="none" w:color="000000" w:sz="4"/>
                    <w:bottom w:val="single" w:color="000000" w:sz="4"/>
                    <w:right w:val="single" w:color="000000" w:sz="4"/>
                  </w:tcBorders>
                  <w:shd w:fill="FFFFFF"/>
                  <w:vAlign w:val="top"/>
                </w:tcPr>
                <w:p>
                  <w:pPr>
                    <w:jc w:val="center"/>
                  </w:pPr>
                  <w:r>
                    <w:rPr>
                      <w:sz w:val="20"/>
                    </w:rPr>
                    <w:t>工日</w:t>
                  </w:r>
                </w:p>
              </w:tc>
              <w:tc>
                <w:tcPr>
                  <w:tcW w:type="dxa" w:w="595"/>
                  <w:tcBorders>
                    <w:top w:val="none" w:color="000000" w:sz="4"/>
                    <w:left w:val="none" w:color="000000" w:sz="4"/>
                    <w:bottom w:val="single" w:color="000000" w:sz="4"/>
                    <w:right w:val="single" w:color="000000" w:sz="4"/>
                  </w:tcBorders>
                  <w:shd w:fill="FFFFFF"/>
                  <w:vAlign w:val="top"/>
                </w:tcPr>
                <w:p>
                  <w:pPr>
                    <w:jc w:val="right"/>
                  </w:pPr>
                  <w:r>
                    <w:rPr>
                      <w:sz w:val="20"/>
                    </w:rPr>
                    <w:t>1.000</w:t>
                  </w:r>
                </w:p>
              </w:tc>
              <w:tc>
                <w:tcPr>
                  <w:tcW w:type="dxa" w:w="1080"/>
                  <w:gridSpan w:val="2"/>
                  <w:tcBorders>
                    <w:top w:val="none" w:color="000000" w:sz="4"/>
                    <w:left w:val="none" w:color="000000" w:sz="4"/>
                    <w:bottom w:val="single" w:color="000000" w:sz="4"/>
                    <w:right w:val="single" w:color="000000" w:sz="4"/>
                  </w:tcBorders>
                  <w:shd w:fill="FFFFFF"/>
                  <w:vAlign w:val="top"/>
                </w:tcPr>
                <w:p>
                  <w:pPr>
                    <w:jc w:val="right"/>
                  </w:pPr>
                  <w:r>
                    <w:rPr>
                      <w:sz w:val="20"/>
                    </w:rPr>
                    <w:t>157.67</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采购包2（2023-2025年度容桂街道零散市政设施破损修复维护项目）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合同签订之日起两年，服务期内预算金额使用完合同终止。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1期：支付比例100%,本项目每6个月进行一次结算支付，支付当期金额的100%。 本项目的付款时间为采购人向财政支付部门提出支付申请的时间（不含财政支付部门的审查时间）。若由于财政拨款不到位或该项目相关手续和程序因流转政府采购审批流程及办理手续而造成项目支付进度有所推延的，采购人不承担违约责任，并且此情况不能成为中标人拒绝提供服务的理由。</w:t>
            </w:r>
          </w:p>
        </w:tc>
      </w:tr>
      <w:tr>
        <w:tc>
          <w:tcPr>
            <w:tcW w:type="dxa" w:w="4153"/>
          </w:tcPr>
          <w:p>
            <w:r>
              <w:rPr/>
              <w:t>验收要求</w:t>
            </w:r>
          </w:p>
        </w:tc>
        <w:tc>
          <w:tcPr>
            <w:tcW w:type="dxa" w:w="4153"/>
          </w:tcPr>
          <w:p/>
          <w:p/>
          <w:p/>
          <w:p>
            <w:r>
              <w:rPr/>
              <w:t>1期：质量标准按执行国家、省或行业现行的标准及规范，确保项目质量达到合格或以上验收质量等级标准。保证项目一次性验收合格，否则中标人必须按《考核标准及细则》承担违约责任并采取补救或返工措施，直到达到承诺的项目质量验收标准为止，补救或返工所需费用由中标人承担。如经过补救或返工措施仍未达到合格质量标准的，采购人有权将该部分项目委托给其他单位实施。</w:t>
            </w:r>
          </w:p>
        </w:tc>
      </w:tr>
      <w:tr>
        <w:tc>
          <w:tcPr>
            <w:tcW w:type="dxa" w:w="4153"/>
          </w:tcPr>
          <w:p>
            <w:r>
              <w:rPr/>
              <w:t>履约保证金</w:t>
            </w:r>
          </w:p>
        </w:tc>
        <w:tc>
          <w:tcPr>
            <w:tcW w:type="dxa" w:w="4153"/>
          </w:tcPr>
          <w:p/>
          <w:p/>
          <w:p/>
          <w:p/>
          <w:p>
            <w:r>
              <w:rPr/>
              <w:t>收取比例：5%,说明：1、中标人须自合同签订之日起15个工作日内，以支票、汇票、本票或者金融机构、担保机构出具的保函等非现金形式向采购人交纳履约保证金，履约保证金金额为中标金额（即采购包预算金额的5%），四舍五入到分。 2、采用保函时，保函须为见索即付、不可撤销的保函，履约担保期限：自合同签订生效之日起至合同期满后90个日历日止，且必须包含以下内容： （1）采购人名称、项目名称、中标人名称、担保金额、担保期限； （2）保证方式为连带责任保证； （3）在采购人向银行提出索赔时，银行将不要求采购人先向中标人提出索赔或要求采购人提供其他任何证明材料； （4）如在履约担保期限内，中标人自行解除合同或违反合同有关规定被采购人解除合同的，则履约担保金归采购人所有； （5）采购人可在担保限额内要求多次赔付； （6）因本保函发生的纠纷，由采购人和中标人协商解决，协商不成的，任意一方均有权将争议提交项目所在地有管辖权的人民法院诉讼解决； （7）中标人在提供履约担保时所发生的一切费用由中标人承担。 3、合同履行期间，履约担保被扣除、没收或履约保函过期的，中标人应于15个工作日内向采购人补足被扣除部分或按本合同约定重新出具合法有效的履约保函。自逾期之日起，中标人应每日以履约担保不足部分为基数按银行同期贷款利率向采购人支付滞纳金。逾期超过30个工作的，中标人除应每日以履约担保不足部分为基数按银行同期贷款利率向年方支付滞纳金外，还应向采购人支付与本合同履约保证金同等金额的违约金，同时采购人有权单方解除合同。 4、在中标人按合同要求全部完成规定的项目内容工作后，如中标人无违约行为的，中标人向采购人提出后，采购人于合同期满后90个日历日后15个工作日内退还给中标人。 5、因采购人原因单方解除合同的，采购人于合同解除之日起90个日历天后15个工作日内不计利息退还履约保证金给中标人。</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兼投不兼中，1、“采购包1”、“采购包2”、“采购包3”三个采购包兼投不兼中，投标人可以参与多个采购包的投标，但是最多只能被确定为1个采购包的第一中标候选人。本项目的评审顺序为：先“采购包1”，再“采购包2”，最后“采购包3”。 3、已被推荐为任一采购包的第一中标候选人的投标人将不再参与其余采购包的评审（视为其余采购包的符合性评审不通过），且不具有其余采购包的第一中标候选人推荐资格。依此类推。 4、本项目评审结束后，如“采购包1”、或“采购包2”、或“采购包3”出现改变排序或者重新评审或重新招标等改变中标结果的情形，其余采购包的排序和评审结果均不作任何调整（如前述改变中标结果导致同一单位在多个子包排名第一的，则优先保持其余采购包的排序和评审结果不变，前述改变中标结果的采购包按照投标人排名推荐下一名次的投标人为第一中标候选人），且其余采购包的第一中标候选人不得再参与该采购包的重新评审或重新招标、且不具有中标候选人推荐资格。</w:t>
            </w:r>
          </w:p>
          <w:p/>
          <w:p>
            <w:r>
              <w:rPr/>
              <w:t>报价说明，1、本项目各采购包的预算金额作为对应的暂时约定签约合同总金额，服务期限内根据中标人完成的业务数量按实结算，采购人支付给中标人的费用总额不超过采购包的预算金额。 2、本项目采用“折扣率”形式进行报价，投标人在招标文件技术标准与要求的“单方指标价”基础上整体报折扣率，折扣率必须为固定报价，不接受区间报价，折扣率有效报价范围：0＜折扣率≤100%（对百分号前面数字保留的小数位数不作要求），投标人的投标报价不得超过以上报价范围，否则视为无效投标。 3、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 4、承包方式：本项目由中标人根据采购人及招标文件的要求，包工、包料、包质量、包工期、包安全、包文明施工、包资料移交（归档）、包验收及整理验收资料。投标报价已包括完成本项目的成本、利润、税金、各项措施费、大型机械进出场费、风险费、人员工资、社会保险费、住房公积金、定额测定费、建筑企业管理费、排污费、安全、文明施工、防尘、施工噪声排污费、招标代理费、意外保险费及政策性文件规定费用等所有费用。  5、本项目合同为固定折率承包合同；项目综合单价已包垃圾清运、包完工清场、包水电费用、包运输、包装卸、包安装、包调试、包检验、包检测等中标人履行本合同项下义务所必需的的一切费用、支出、成本和利润。 6、特别说明：①由于零散项目的统筹安排、立项审批等存在不确定因素，本项目采购人对协议生效期限内的任务数量不作任何承诺或保证，即采购人不保证有足够的任务以满足中标人获得合同的中标金额；②采购人在服务期内有权对特殊应急零散项目进行定向发包（承包方非中标人）。投标人在投标前对上述情况有足够的风险认识，一经投标，即视为投标人愿意无条件承担上述有关风险并放弃一切与此相关的求偿权利。</w:t>
            </w:r>
          </w:p>
          <w:p/>
          <w:p>
            <w:r>
              <w:rPr/>
              <w:t>结算及支付说明，1、结算方式：单次零散项目施工完成并在验收合格后，中标人向采购人提供相关结算材料、付款申请书，经采购人核实无误后，采购人在收到中标人开具的发票后一个月内将应支付金额提交政府财政支出部门办理支付申请，具体资金支付方式及到账时间以政府财政部门审批为准。单项零散项目的收费金额＝零散项目结算价×中标下浮系数。 2、结算原则：服务量按实结算，综合单价按照招标文件技术标准与要求的“单方指标价”执行，中标人若对结算金额有异议可在收到中介机构编制的结算报告后3个工作日内提出。“单方指标价”没有的价格统一以施工期间顺德工程造价信息公布的相关价格并经采购人或采购人委托的中介机构审核后为计算依据（如顺德工程造价信息中没有的价格则参考佛山市工程造价信息公布为依据）。 3、如当期的项目款结算价大于合同上限金额时，超过部分不予支付，中标人在实施过程中自行评估并承担此风险。 4、税金按照实际缴纳比例进行结算。 5、中标人应当按照有关法律法规的规定缴纳增值税、企业所得税等税费。如中标人所在地为非零散项目所在地的，应先到零散项目所在地税务部门办理跨地区经营涉税事项报告，并按规定在零散项目所在地预缴税款。申请支付项目款时，应提供预缴税款的申报表、缴税凭证、合法有效的发票。中标人未能向采购人提供符合要求的发票等资料时，采购人有权拒绝付款且不承担迟延付款的责任，所造成的一切后果由中标人自负。 6、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 7、如财政资金没能及时全额支付当期项目款时，中标人须确保不发生拖欠工人工资维稳事件，中标人对此知悉并同意。</w:t>
            </w:r>
          </w:p>
          <w:p/>
          <w:p>
            <w:r>
              <w:rPr/>
              <w:t>服务响应要求，1、中标人须提供常设全天候24小时热线服务，能快速、及时、有效地响应采购人需求。中标人于协议生效期间，在接到采购人以电话、邮件、微信等形式发出的零散项目需求时，应在4小时内响应，并按规定时间内到达指定地点进行施工。 2、对采购人委托的紧急项目或迎接上级部门的检查，中标人应无条件响应。 3、对采购人的其他预约服务，要求到达指定地点的应按其要求准时到达。 4、中标人应为本项目安排固定的联系人，若因特殊情况需变更联系人，应当及时以书面形式通知采购人，并说明情况，获得采购人同意。签订合同的同时中标人需附联系人的身份证明、联系方式及授权委托。</w:t>
            </w:r>
          </w:p>
          <w:p/>
          <w:p>
            <w:r>
              <w:rPr/>
              <w:t>质保期，单项零散项目的质保期均为自验收合格之日起的1年。如质保期内双方的服务期限届满且没有续签合同的，中标人仍需继续承担质保责任，直至质保期届满为止。</w:t>
            </w:r>
          </w:p>
          <w:p/>
          <w:p>
            <w:r>
              <w:rPr/>
              <w:t>合同签订，在中标（成交）通知书发出之日起20日内，中标（成交）供应商须与采购人签订政府采购合同。</w:t>
            </w:r>
          </w:p>
          <w:p/>
          <w:p>
            <w:r>
              <w:rPr/>
              <w:t>双方权利、责任及义务，1、采购人权利与责任 （1）采购人对中标人实施统筹管理； （2）采购人如发现中标人经办人不按合同约定履行其职责，有权要求中标人更换经办人员或终止合同； （3）如中标人在工作中遇到需要协调的问题，采购人应给与配合，协助中标人解决； （4）采购人按合同约定支付服务费用。 2、中标人责任与义务 （1）中标人必须严格按照协议书和具体项目合同约定完成全部工作内容，未经采购人批准不得分包及转包，实施期间不得更换项目负责人。 （2）由采购人制定《考核标准及细则》，中标人应严格执行。 （3）中标人应在自身业务资质范围内承接施工业务，若存在项目规模超过中标人业务资质承接范围的情况时，应当及时报告采购人，采购人有权将该项目直接委派本项目另一中标单位实施。 （4）中标人的企业资质等级发生变化的，应当及时报告采购人。如果中标人资质等级条件不再满足本项目的资格要求，采购人有权取消该中标人的中标资格。 （5）中标人应当履行下列义务： 1）没有违反有关法律法规，受到有关行政主管部门吊销其营业执照、取消或暂停其资质、限制其市场准入资格等处罚的； 2）没有因违规违纪行为，受到行业监督管理部门通报、查处的； 3）遵守有关安全生产规定和施工规范，不得造成重大质量问题或安全事故、环保事故或引发群体性事件（如拖欠工人工资等）受到政府相关部门处罚的； 4）在组织项目实施过程中不得违反相关法律法规或出现重大失误造成恶劣影响的； 5）必须按采购人要求提供真实有效信息； 6）诚实信用和遵守投标承诺，严格执行相关质量、服务和收费标准； 7）必须接受相关部门监督和检查的； 8）不得采用非法手段进行不正当竞争的，造成恶劣影响的； 9）在施工过程中不得非法获取与项目有关的任何非法利益的； 10）中标人单位的资质条件发生变化，不适合承建服务相关零散项目或已不符合资格条件的，须及时报告采购人的； 11）遵守本省、市、区及街道政府的相关管理规定的； 12）每次均接受发包价格及单项服务合同条款（违约处罚、履约保证金等）承接零散项目。</w:t>
            </w:r>
          </w:p>
          <w:p/>
          <w:p>
            <w:r>
              <w:rPr/>
              <w:t>其他要求，1.合同响应要求：响应招标文件的合同文本或合同条款。 2.投标人及其投标文件中无法律、法规和招标文件规定的其他无效情形。 3.本项目商务要求所涉及的条款均为不可负偏离条款，如投标人对任一条款出现负偏离，视为无效投标，对该投标人作无效投标处理。 4.其他要求详见招标文件第四部分《合同书范本》的规定。</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市政公用设施管理服务</w:t>
            </w:r>
          </w:p>
        </w:tc>
        <w:tc>
          <w:tcPr>
            <w:tcW w:type="dxa" w:w="831"/>
          </w:tcPr>
          <w:p>
            <w:pPr>
              <w:jc w:val="left"/>
            </w:pPr>
            <w:r>
              <w:rPr/>
              <w:t>2023-2025年度容桂街道零散市政设施破损修复维护项目（B片区）</w:t>
            </w:r>
          </w:p>
        </w:tc>
        <w:tc>
          <w:tcPr>
            <w:tcW w:type="dxa" w:w="831"/>
          </w:tcPr>
          <w:p>
            <w:pPr>
              <w:jc w:val="left"/>
            </w:pPr>
            <w:r>
              <w:rPr/>
              <w:t>项</w:t>
            </w:r>
          </w:p>
        </w:tc>
        <w:tc>
          <w:tcPr>
            <w:tcW w:type="dxa" w:w="831"/>
          </w:tcPr>
          <w:p>
            <w:pPr>
              <w:jc w:val="right"/>
            </w:pPr>
            <w:r>
              <w:rPr/>
              <w:t>1.00</w:t>
            </w:r>
          </w:p>
        </w:tc>
        <w:tc>
          <w:tcPr>
            <w:tcW w:type="dxa" w:w="831"/>
          </w:tcPr>
          <w:p>
            <w:pPr>
              <w:jc w:val="right"/>
            </w:pPr>
            <w:r>
              <w:rPr/>
              <w:t>3,500,000.00</w:t>
            </w:r>
          </w:p>
        </w:tc>
        <w:tc>
          <w:tcPr>
            <w:tcW w:type="dxa" w:w="831"/>
          </w:tcPr>
          <w:p>
            <w:pPr>
              <w:jc w:val="right"/>
            </w:pPr>
            <w:r>
              <w:rPr/>
              <w:t>3,500,000.00</w:t>
            </w:r>
          </w:p>
        </w:tc>
        <w:tc>
          <w:tcPr>
            <w:tcW w:type="dxa" w:w="831"/>
          </w:tcPr>
          <w:p>
            <w:r>
              <w:rPr/>
              <w:t>100.0</w:t>
            </w:r>
          </w:p>
        </w:tc>
        <w:tc>
          <w:tcPr>
            <w:tcW w:type="dxa" w:w="831"/>
          </w:tcPr>
          <w:p>
            <w:r>
              <w:rPr/>
              <w:t>建筑业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2023-2025年度容桂街道零散市政设施破损修复维护项目（B片区）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详见包1附表一</w:t>
            </w:r>
            <w:r>
              <w:rPr>
                <w:b/>
                <w:sz w:val="21"/>
              </w:rPr>
              <w:t>（包</w:t>
            </w:r>
            <w:r>
              <w:rPr>
                <w:b/>
                <w:sz w:val="21"/>
              </w:rPr>
              <w:t>1、2、3均适用）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采购包3（2023-2025年度容桂街道零散市政设施破损修复维护项目）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合同签订之日起两年，服务期内预算金额使用完合同终止。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1期：支付比例100%,本项目每6个月进行一次结算支付，支付当期金额的100%。 本项目的付款时间为采购人向财政支付部门提出支付申请的时间（不含财政支付部门的审查时间）。若由于财政拨款不到位或该项目相关手续和程序因流转政府采购审批流程及办理手续而造成项目支付进度有所推延的，采购人不承担违约责任，并且此情况不能成为中标人拒绝提供服务的理由。</w:t>
            </w:r>
          </w:p>
        </w:tc>
      </w:tr>
      <w:tr>
        <w:tc>
          <w:tcPr>
            <w:tcW w:type="dxa" w:w="4153"/>
          </w:tcPr>
          <w:p>
            <w:r>
              <w:rPr/>
              <w:t>验收要求</w:t>
            </w:r>
          </w:p>
        </w:tc>
        <w:tc>
          <w:tcPr>
            <w:tcW w:type="dxa" w:w="4153"/>
          </w:tcPr>
          <w:p/>
          <w:p/>
          <w:p/>
          <w:p>
            <w:r>
              <w:rPr/>
              <w:t>1期：质量标准按执行国家、省或行业现行的标准及规范，确保项目质量达到合格或以上验收质量等级标准。保证项目一次性验收合格，否则中标人必须按《考核标准及细则》承担违约责任并采取补救或返工措施，直到达到承诺的项目质量验收标准为止，补救或返工所需费用由中标人承担。如经过补救或返工措施仍未达到合格质量标准的，采购人有权将该部分项目委托给其他单位实施。</w:t>
            </w:r>
          </w:p>
        </w:tc>
      </w:tr>
      <w:tr>
        <w:tc>
          <w:tcPr>
            <w:tcW w:type="dxa" w:w="4153"/>
          </w:tcPr>
          <w:p>
            <w:r>
              <w:rPr/>
              <w:t>履约保证金</w:t>
            </w:r>
          </w:p>
        </w:tc>
        <w:tc>
          <w:tcPr>
            <w:tcW w:type="dxa" w:w="4153"/>
          </w:tcPr>
          <w:p/>
          <w:p/>
          <w:p/>
          <w:p/>
          <w:p>
            <w:r>
              <w:rPr/>
              <w:t>收取比例：5%,说明：1、中标人须自合同签订之日起15个工作日内，以支票、汇票、本票或者金融机构、担保机构出具的保函等非现金形式向采购人交纳履约保证金，履约保证金金额为中标金额（即采购包预算金额的5%），四舍五入到分。 2、采用保函时，保函须为见索即付、不可撤销的保函，履约担保期限：自合同签订生效之日起至合同期满后90个日历日止，且必须包含以下内容： （1）采购人名称、项目名称、中标人名称、担保金额、担保期限； （2）保证方式为连带责任保证； （3）在采购人向银行提出索赔时，银行将不要求采购人先向中标人提出索赔或要求采购人提供其他任何证明材料； （4）如在履约担保期限内，中标人自行解除合同或违反合同有关规定被采购人解除合同的，则履约担保金归采购人所有； （5）采购人可在担保限额内要求多次赔付； （6）因本保函发生的纠纷，由采购人和中标人协商解决，协商不成的，任意一方均有权将争议提交项目所在地有管辖权的人民法院诉讼解决； （7）中标人在提供履约担保时所发生的一切费用由中标人承担。 3、合同履行期间，履约担保被扣除、没收或履约保函过期的，中标人应于15个工作日内向采购人补足被扣除部分或按本合同约定重新出具合法有效的履约保函。自逾期之日起，中标人应每日以履约担保不足部分为基数按银行同期贷款利率向采购人支付滞纳金。逾期超过30个工作的，中标人除应每日以履约担保不足部分为基数按银行同期贷款利率向年方支付滞纳金外，还应向采购人支付与本合同履约保证金同等金额的违约金，同时采购人有权单方解除合同。 4、在中标人按合同要求全部完成规定的项目内容工作后，如中标人无违约行为的，中标人向采购人提出后，采购人于合同期满后90个日历日后15个工作日内退还给中标人。 5、因采购人原因单方解除合同的，采购人于合同解除之日起90个日历天后15个工作日内不计利息退还履约保证金给中标人。</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兼投不兼中，1、“采购包1”、“采购包2”、“采购包3”三个采购包兼投不兼中，投标人可以参与多个采购包的投标，但是最多只能被确定为1个采购包的第一中标候选人。本项目的评审顺序为：先“采购包1”，再“采购包2”，最后“采购包3”。 3、已被推荐为任一采购包的第一中标候选人的投标人将不再参与其余采购包的评审（视为其余采购包的符合性评审不通过），且不具有其余采购包的第一中标候选人推荐资格。依此类推。 4、本项目评审结束后，如“采购包1”、或“采购包2”、或“采购包3”出现改变排序或者重新评审或重新招标等改变中标结果的情形，其余采购包的排序和评审结果均不作任何调整（如前述改变中标结果导致同一单位在多个子包排名第一的，则优先保持其余采购包的排序和评审结果不变，前述改变中标结果的采购包按照投标人排名推荐下一名次的投标人为第一中标候选人），且其余采购包的第一中标候选人不得再参与该采购包的重新评审或重新招标、且不具有中标候选人推荐资格。</w:t>
            </w:r>
          </w:p>
          <w:p/>
          <w:p>
            <w:r>
              <w:rPr/>
              <w:t>报价说明，1、本项目各采购包的预算金额作为对应的暂时约定签约合同总金额，服务期限内根据中标人完成的业务数量按实结算，采购人支付给中标人的费用总额不超过采购包的预算金额。 2、本项目采用“折扣率”形式进行报价，投标人在招标文件技术标准与要求的“单方指标价”基础上整体报折扣率，折扣率必须为固定报价，不接受区间报价，折扣率有效报价范围：0＜折扣率≤100%（对百分号前面数字保留的小数位数不作要求），投标人的投标报价不得超过以上报价范围，否则视为无效投标。 3、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若评标委员会成员对是否须由投标人作出报价合理性说明，以及书面说明是否采纳等判断不一致的，按照“少数服从多数”的原则确定评标委员会的意见。 4、承包方式：本项目由中标人根据采购人及招标文件的要求，包工、包料、包质量、包工期、包安全、包文明施工、包资料移交（归档）、包验收及整理验收资料。投标报价已包括完成本项目的成本、利润、税金、各项措施费、大型机械进出场费、风险费、人员工资、社会保险费、住房公积金、定额测定费、建筑企业管理费、排污费、安全、文明施工、防尘、施工噪声排污费、招标代理费、意外保险费及政策性文件规定费用等所有费用。  5、本项目合同为固定折率承包合同；项目综合单价已包垃圾清运、包完工清场、包水电费用、包运输、包装卸、包安装、包调试、包检验、包检测等中标人履行本合同项下义务所必需的的一切费用、支出、成本和利润。 6、特别说明：①由于零散项目的统筹安排、立项审批等存在不确定因素，本项目采购人对协议生效期限内的任务数量不作任何承诺或保证，即采购人不保证有足够的任务以满足中标人获得合同的中标金额；②采购人在服务期内有权对特殊应急零散项目进行定向发包（承包方非中标人）。投标人在投标前对上述情况有足够的风险认识，一经投标，即视为投标人愿意无条件承担上述有关风险并放弃一切与此相关的求偿权利。</w:t>
            </w:r>
          </w:p>
          <w:p/>
          <w:p>
            <w:r>
              <w:rPr/>
              <w:t>结算及支付说明，1、结算方式：单次零散项目施工完成并在验收合格后，中标人向采购人提供相关结算材料、付款申请书，经采购人核实无误后，采购人在收到中标人开具的发票后一个月内将应支付金额提交政府财政支出部门办理支付申请，具体资金支付方式及到账时间以政府财政部门审批为准。单项零散项目的收费金额＝零散项目结算价×中标下浮系数。 2、结算原则：服务量按实结算，综合单价按照招标文件技术标准与要求的“单方指标价”执行，中标人若对结算金额有异议可在收到中介机构编制的结算报告后3个工作日内提出。“单方指标价”没有的价格统一以施工期间顺德工程造价信息公布的相关价格并经采购人或采购人委托的中介机构审核后为计算依据（如顺德工程造价信息中没有的价格则参考佛山市工程造价信息公布为依据）。 3、如当期的项目款结算价大于合同上限金额时，超过部分不予支付，中标人在实施过程中自行评估并承担此风险。 4、税金按照实际缴纳比例进行结算。 5、中标人应当按照有关法律法规的规定缴纳增值税、企业所得税等税费。如中标人所在地为非零散项目所在地的，应先到零散项目所在地税务部门办理跨地区经营涉税事项报告，并按规定在零散项目所在地预缴税款。申请支付项目款时，应提供预缴税款的申报表、缴税凭证、合法有效的发票。中标人未能向采购人提供符合要求的发票等资料时，采购人有权拒绝付款且不承担迟延付款的责任，所造成的一切后果由中标人自负。 6、中标人应理解政府部门付款的相关程序，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 7、如财政资金没能及时全额支付当期项目款时，中标人须确保不发生拖欠工人工资维稳事件，中标人对此知悉并同意。</w:t>
            </w:r>
          </w:p>
          <w:p/>
          <w:p>
            <w:r>
              <w:rPr/>
              <w:t>服务响应要求，1、中标人须提供常设全天候24小时热线服务，能快速、及时、有效地响应采购人需求。中标人于协议生效期间，在接到采购人以电话、邮件、微信等形式发出的零散项目需求时，应在4小时内响应，并按规定时间内到达指定地点进行施工。 2、对采购人委托的紧急项目或迎接上级部门的检查，中标人应无条件响应。 3、对采购人的其他预约服务，要求到达指定地点的应按其要求准时到达。 4、中标人应为本项目安排固定的联系人，若因特殊情况需变更联系人，应当及时以书面形式通知采购人，并说明情况，获得采购人同意。签订合同的同时中标人需附联系人的身份证明、联系方式及授权委托。 单项零散项目的质保期均为自验收合格之日起的1年。如质保期内双方的服务期限届满且没有续签合同的，中标人仍需继续承担质保责任，直至质保期届满为止。</w:t>
            </w:r>
          </w:p>
          <w:p/>
          <w:p>
            <w:r>
              <w:rPr/>
              <w:t>质保期，单项零散项目的质保期均为自验收合格之日起的1年。如质保期内双方的服务期限届满且没有续签合同的，中标人仍需继续承担质保责任，直至质保期届满为止。</w:t>
            </w:r>
          </w:p>
          <w:p/>
          <w:p>
            <w:r>
              <w:rPr/>
              <w:t>合同签订，在中标（成交）通知书发出之日起20日内，中标（成交）供应商须与采购人签订政府采购合同。</w:t>
            </w:r>
          </w:p>
          <w:p/>
          <w:p>
            <w:r>
              <w:rPr/>
              <w:t>双方权利、责任及义务，1、采购人权利与责任 （1）采购人对中标人实施统筹管理； （2）采购人如发现中标人经办人不按合同约定履行其职责，有权要求中标人更换经办人员或终止合同； （3）如中标人在工作中遇到需要协调的问题，采购人应给与配合，协助中标人解决； （4）采购人按合同约定支付服务费用。 2、中标人责任与义务 （1）中标人必须严格按照协议书和具体项目合同约定完成全部工作内容，未经采购人批准不得分包及转包，实施期间不得更换项目负责人。 （2）由采购人制定《考核标准及细则》，中标人应严格执行。 （3）中标人应在自身业务资质范围内承接施工业务，若存在项目规模超过中标人业务资质承接范围的情况时，应当及时报告采购人，采购人有权将该项目直接委派本项目另一中标单位实施。 （4）中标人的企业资质等级发生变化的，应当及时报告采购人。如果中标人资质等级条件不再满足本项目的资格要求，采购人有权取消该中标人的中标资格。 （5）中标人应当履行下列义务： 1）没有违反有关法律法规，受到有关行政主管部门吊销其营业执照、取消或暂停其资质、限制其市场准入资格等处罚的； 2）没有因违规违纪行为，受到行业监督管理部门通报、查处的； 3）遵守有关安全生产规定和施工规范，不得造成重大质量问题或安全事故、环保事故或引发群体性事件（如拖欠工人工资等）受到政府相关部门处罚的； 4）在组织项目实施过程中不得违反相关法律法规或出现重大失误造成恶劣影响的； 5）必须按采购人要求提供真实有效信息； 6）诚实信用和遵守投标承诺，严格执行相关质量、服务和收费标准； 7）必须接受相关部门监督和检查的； 8）不得采用非法手段进行不正当竞争的，造成恶劣影响的； 9）在施工过程中不得非法获取与项目有关的任何非法利益的； 10）中标人单位的资质条件发生变化，不适合承建服务相关零散项目或已不符合资格条件的，须及时报告采购人的； 11）遵守本省、市、区及街道政府的相关管理规定的； 12）每次均接受发包价格及单项服务合同条款（违约处罚、履约保证金等）承接零散项目。</w:t>
            </w:r>
          </w:p>
          <w:p/>
          <w:p>
            <w:r>
              <w:rPr/>
              <w:t>其他要求，1.合同响应要求：响应招标文件的合同文本或合同条款。 2.投标人及其投标文件中无法律、法规和招标文件规定的其他无效情形。 3.本项目商务要求所涉及的条款均为不可负偏离条款，如投标人对任一条款出现负偏离，视为无效投标，对该投标人作无效投标处理。 4.其他要求详见招标文件第四部分《合同书范本》的规定。</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市政公用设施管理服务</w:t>
            </w:r>
          </w:p>
        </w:tc>
        <w:tc>
          <w:tcPr>
            <w:tcW w:type="dxa" w:w="831"/>
          </w:tcPr>
          <w:p>
            <w:pPr>
              <w:jc w:val="left"/>
            </w:pPr>
            <w:r>
              <w:rPr/>
              <w:t>2023-2025年度容桂街道零散市政设施破损修复维护项目（C片区）</w:t>
            </w:r>
          </w:p>
        </w:tc>
        <w:tc>
          <w:tcPr>
            <w:tcW w:type="dxa" w:w="831"/>
          </w:tcPr>
          <w:p>
            <w:pPr>
              <w:jc w:val="left"/>
            </w:pPr>
            <w:r>
              <w:rPr/>
              <w:t>项</w:t>
            </w:r>
          </w:p>
        </w:tc>
        <w:tc>
          <w:tcPr>
            <w:tcW w:type="dxa" w:w="831"/>
          </w:tcPr>
          <w:p>
            <w:pPr>
              <w:jc w:val="right"/>
            </w:pPr>
            <w:r>
              <w:rPr/>
              <w:t>1.00</w:t>
            </w:r>
          </w:p>
        </w:tc>
        <w:tc>
          <w:tcPr>
            <w:tcW w:type="dxa" w:w="831"/>
          </w:tcPr>
          <w:p>
            <w:pPr>
              <w:jc w:val="right"/>
            </w:pPr>
            <w:r>
              <w:rPr/>
              <w:t>4,000,000.00</w:t>
            </w:r>
          </w:p>
        </w:tc>
        <w:tc>
          <w:tcPr>
            <w:tcW w:type="dxa" w:w="831"/>
          </w:tcPr>
          <w:p>
            <w:pPr>
              <w:jc w:val="right"/>
            </w:pPr>
            <w:r>
              <w:rPr/>
              <w:t>4,000,000.00</w:t>
            </w:r>
          </w:p>
        </w:tc>
        <w:tc>
          <w:tcPr>
            <w:tcW w:type="dxa" w:w="831"/>
          </w:tcPr>
          <w:p>
            <w:r>
              <w:rPr/>
              <w:t>100.0</w:t>
            </w:r>
          </w:p>
        </w:tc>
        <w:tc>
          <w:tcPr>
            <w:tcW w:type="dxa" w:w="831"/>
          </w:tcPr>
          <w:p>
            <w:r>
              <w:rPr/>
              <w:t>建筑业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2023-2025年度容桂街道零散市政设施破损修复维护项目（C片区）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详见包1附表一</w:t>
            </w:r>
            <w:r>
              <w:rPr>
                <w:b/>
                <w:sz w:val="21"/>
              </w:rPr>
              <w:t>（包1、2、3均适用）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1.采购代理机构：本项目是指广东华伦招标有限公司，负责整个采购活动的组织，依法负责编制和发布招标文件，对招标文件拥有最终的解释权，不以任何身份出任评标委员会成员。</w:t>
      </w:r>
    </w:p>
    <w:p>
      <w:pPr>
        <w:ind w:firstLine="480"/>
      </w:pPr>
      <w:r>
        <w:rPr/>
        <w:t>2.采购人：本项目是指</w:t>
      </w:r>
      <w:r>
        <w:rPr/>
        <w:t>佛山市顺德区容桂街道综合行政执法办公室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采购包1：折扣率</w:t>
            </w:r>
          </w:p>
          <w:p/>
          <w:p>
            <w:r>
              <w:rPr/>
              <w:t>采购包2：折扣率</w:t>
            </w:r>
          </w:p>
          <w:p/>
          <w:p>
            <w:r>
              <w:rPr/>
              <w:t>采购包3：折扣率</w:t>
            </w:r>
          </w:p>
        </w:tc>
      </w:tr>
      <w:tr>
        <w:tc>
          <w:tcPr>
            <w:tcW w:type="dxa" w:w="1051"/>
          </w:tcPr>
          <w:p>
            <w:r>
              <w:rPr/>
              <w:t>6</w:t>
            </w:r>
          </w:p>
        </w:tc>
        <w:tc>
          <w:tcPr>
            <w:tcW w:type="dxa" w:w="2252"/>
          </w:tcPr>
          <w:p>
            <w:r>
              <w:rPr/>
              <w:t>报价要求</w:t>
            </w:r>
          </w:p>
        </w:tc>
        <w:tc>
          <w:tcPr>
            <w:tcW w:type="dxa" w:w="5004"/>
          </w:tcPr>
          <w:p/>
          <w:p>
            <w:r>
              <w:rPr/>
              <w:t>采购包1：0% - 100%</w:t>
            </w:r>
          </w:p>
          <w:p/>
          <w:p>
            <w:r>
              <w:rPr/>
              <w:t>采购包2：0% - 100%</w:t>
            </w:r>
          </w:p>
          <w:p/>
          <w:p>
            <w:r>
              <w:rPr/>
              <w:t>采购包3：0%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1家</w:t>
            </w:r>
          </w:p>
          <w:p>
            <w:r>
              <w:rPr/>
              <w:t>采购包2：</w:t>
            </w:r>
            <w:r>
              <w:rPr/>
              <w:t>1家</w:t>
            </w:r>
          </w:p>
          <w:p>
            <w:r>
              <w:rPr/>
              <w:t>采购包3：</w:t>
            </w:r>
            <w:r>
              <w:rPr/>
              <w:t>1家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1、“采购包1”、“采购包2”、“采购包3”三个采购包兼投不兼中，投标人可以参与多个采购包的投标，但是最多只能被确定为1个采购包的第一中标候选人。本项目的评审顺序为：先“采购包1”，再“采购包2”，最后“采购包3”。 3、已被推荐为任一采购包的第一中标候选人的投标人将不再参与其余采购包的评审（视为其余采购包的符合性评审不通过），且不具有其余采购包的第一中标候选人推荐资格。依此类推。 4、本项目评审结束后，如“采购包1”、或“采购包2”、或“采购包3”出现改变排序或者重新评审或重新招标等改变中标结果的情形，其余采购包的排序和评审结果均不作任何调整（如前述改变中标结果导致同一单位在多个子包排名第一的，则优先保持其余采购包的排序和评审结果不变，前述改变中标结果的采购包按照投标人排名推荐下一名次的投标人为第一中标候选人），且其余采购包的第一中标候选人不得再参与该采购包的重新评审或重新招标、且不具有中标候选人推荐资格。</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按国家计委颁布的《招标代理服务收费管理暂行办法》（计价格〔2002〕1980号）中的招标代理服务费收费标准执行。本项目所属的采购类别：“服务类”。</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采购包1：面向小微企业，采购包专门预留</w:t>
            </w:r>
          </w:p>
          <w:p>
            <w:pPr>
              <w:jc w:val="left"/>
            </w:pPr>
            <w:r>
              <w:rPr/>
              <w:t>采购包2：面向小微企业，采购包专门预留</w:t>
            </w:r>
          </w:p>
          <w:p>
            <w:pPr>
              <w:jc w:val="left"/>
            </w:pPr>
            <w:r>
              <w:rPr/>
              <w:t>采购包3：面向小微企业，采购包专门预留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傅先生</w:t>
      </w:r>
    </w:p>
    <w:p>
      <w:pPr>
        <w:ind w:firstLine="480"/>
      </w:pPr>
      <w:r>
        <w:rPr/>
        <w:t>电话：</w:t>
      </w:r>
      <w:r>
        <w:rPr/>
        <w:t>0757-22332908</w:t>
      </w:r>
    </w:p>
    <w:p>
      <w:pPr>
        <w:ind w:firstLine="480"/>
      </w:pPr>
      <w:r>
        <w:rPr/>
        <w:t>传真：</w:t>
      </w:r>
      <w:r>
        <w:rPr/>
        <w:t>0757-22332901</w:t>
      </w:r>
    </w:p>
    <w:p>
      <w:pPr>
        <w:ind w:firstLine="480"/>
      </w:pPr>
      <w:r>
        <w:rPr/>
        <w:t>邮箱：</w:t>
      </w:r>
      <w:r>
        <w:rPr/>
        <w:t>gdhlsd@126.com</w:t>
      </w:r>
    </w:p>
    <w:p>
      <w:pPr>
        <w:ind w:firstLine="480"/>
      </w:pPr>
      <w:r>
        <w:rPr/>
        <w:t>地址：</w:t>
      </w:r>
      <w:r>
        <w:rPr/>
        <w:t>佛山市顺德区大良沿江北路121号龙威大厦20楼CD区</w:t>
      </w:r>
    </w:p>
    <w:p>
      <w:pPr>
        <w:ind w:firstLine="480"/>
      </w:pPr>
      <w:r>
        <w:rPr/>
        <w:t>邮编：</w:t>
      </w:r>
      <w:r>
        <w:rPr/>
        <w:t>528300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政府采购监督管理机构名称：广东省佛山市顺德区财政局监督与绩效科</w:t>
      </w:r>
    </w:p>
    <w:p>
      <w:r>
        <w:rPr/>
        <w:t>地  址：佛山市顺德区大良德民路区政府行政大楼3楼</w:t>
      </w:r>
    </w:p>
    <w:p>
      <w:r>
        <w:rPr/>
        <w:t>电  话：0757-22831619、22831865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-2025年度容桂街道零散市政设施破损修复维护项目)：综合评分法,是指投标文件满足招标文件全部实质性要求，且按照评审因素的量化指标评审得分最高的投标人为中标候选人的评标方法。（最低报价不是中标的唯一依据。）</w:t>
      </w:r>
    </w:p>
    <w:p/>
    <w:p>
      <w:r>
        <w:rPr/>
        <w:t>采购包2(2023-2025年度容桂街道零散市政设施破损修复维护项目)：综合评分法,是指投标文件满足招标文件全部实质性要求，且按照评审因素的量化指标评审得分最高的投标人为中标候选人的评标方法。（最低报价不是中标的唯一依据。）</w:t>
      </w:r>
    </w:p>
    <w:p/>
    <w:p>
      <w:r>
        <w:rPr/>
        <w:t>采购包3(2023-2025年度容桂街道零散市政设施破损修复维护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广东华伦招标有限公司</w:t>
      </w:r>
      <w:r>
        <w:rPr/>
        <w:t>统一对外发布。</w:t>
      </w:r>
    </w:p>
    <w:p>
      <w:pPr>
        <w:ind w:firstLine="480"/>
      </w:pPr>
      <w:r>
        <w:rPr/>
        <w:t>（2）对</w:t>
      </w:r>
      <w:r>
        <w:rPr/>
        <w:t>广东华伦招标有限公司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采购包1（2023-2025年度容桂街道零散市政设施破损修复维护项目）：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采购包2（2023-2025年度容桂街道零散市政设施破损修复维护项目）：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采购包3（2023-2025年度容桂街道零散市政设施破损修复维护项目）：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采购包1（2023-2025年度容桂街道零散市政设施破损修复维护项目）：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供应商必须具有良好的商业信誉和健全的财务会计制度（提供2022年度财务状况报告或基本开户行出具的资信证明或提供《政府采购供应商资格信用承诺函》（承诺函格式见采购公告附件））。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本项目特定的资质要求</w:t>
            </w:r>
          </w:p>
        </w:tc>
        <w:tc>
          <w:tcPr>
            <w:tcW w:type="dxa" w:w="4238"/>
          </w:tcPr>
          <w:p>
            <w:r>
              <w:rPr/>
              <w:t>具有承接本项目所需的市政公用工程施工总承包三级或以上资质。 [注：关于建设工程企业资质延续有关事项按《住房和城乡建设部办公厅关于建设工程企业资质有关事宜的通知》（建办市函〔2022〕361号）、《广东省住房和城乡建设厅关于建设工程企业资质有关事宜的通知》（粤建许函〔2022〕846号）执行。]</w:t>
            </w:r>
          </w:p>
        </w:tc>
      </w:tr>
      <w:tr>
        <w:tc>
          <w:tcPr>
            <w:tcW w:type="dxa" w:w="890"/>
          </w:tcPr>
          <w:p>
            <w:r>
              <w:rPr/>
              <w:t>9</w:t>
            </w:r>
          </w:p>
        </w:tc>
        <w:tc>
          <w:tcPr>
            <w:tcW w:type="dxa" w:w="3178"/>
          </w:tcPr>
          <w:p>
            <w:r>
              <w:rPr/>
              <w:t>其他要求</w:t>
            </w:r>
          </w:p>
        </w:tc>
        <w:tc>
          <w:tcPr>
            <w:tcW w:type="dxa" w:w="4238"/>
          </w:tcPr>
          <w:p>
            <w:r>
              <w:rPr/>
              <w:t>具有建设主管部门颁发的有效安全生产许可证。</w:t>
            </w:r>
          </w:p>
        </w:tc>
      </w:tr>
      <w:tr>
        <w:tc>
          <w:tcPr>
            <w:tcW w:type="dxa" w:w="890"/>
          </w:tcPr>
          <w:p>
            <w:r>
              <w:rPr/>
              <w:t>10</w:t>
            </w:r>
          </w:p>
        </w:tc>
        <w:tc>
          <w:tcPr>
            <w:tcW w:type="dxa" w:w="3178"/>
          </w:tcPr>
          <w:p>
            <w:r>
              <w:rPr/>
              <w:t>联合体投标</w:t>
            </w:r>
          </w:p>
        </w:tc>
        <w:tc>
          <w:tcPr>
            <w:tcW w:type="dxa" w:w="4238"/>
          </w:tcPr>
          <w:p>
            <w:r>
              <w:rPr/>
              <w:t>本项目不接受联合体投标。</w:t>
            </w:r>
          </w:p>
        </w:tc>
      </w:tr>
      <w:tr>
        <w:tc>
          <w:tcPr>
            <w:tcW w:type="dxa" w:w="890"/>
          </w:tcPr>
          <w:p>
            <w:r>
              <w:rPr/>
              <w:t>11</w:t>
            </w:r>
          </w:p>
        </w:tc>
        <w:tc>
          <w:tcPr>
            <w:tcW w:type="dxa" w:w="3178"/>
          </w:tcPr>
          <w:p>
            <w:r>
              <w:rPr/>
              <w:t>本采购包专门面向中小企业采购</w:t>
            </w:r>
          </w:p>
        </w:tc>
        <w:tc>
          <w:tcPr>
            <w:tcW w:type="dxa" w:w="4238"/>
          </w:tcPr>
          <w:p>
            <w:r>
              <w:rPr/>
              <w:t>本采购包整体专门面向小微企业，参与投标的供应商须为小微企业。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须提供有效的中小企业声明函（或残疾人福利性单位声明函或监狱企业证明文件）。本项目所属行业为建筑业。</w:t>
            </w:r>
          </w:p>
        </w:tc>
      </w:tr>
    </w:tbl>
    <w:p/>
    <w:p>
      <w:r>
        <w:rPr/>
        <w:t>采购包2（2023-2025年度容桂街道零散市政设施破损修复维护项目）：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供应商必须具有良好的商业信誉和健全的财务会计制度（提供2022年度财务状况报告或基本开户行出具的资信证明或提供《政府采购供应商资格信用承诺函》（承诺函格式见采购公告附件））。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本项目特定的资质要求</w:t>
            </w:r>
          </w:p>
        </w:tc>
        <w:tc>
          <w:tcPr>
            <w:tcW w:type="dxa" w:w="4238"/>
          </w:tcPr>
          <w:p>
            <w:r>
              <w:rPr/>
              <w:t>具有承接本项目所需的市政公用工程施工总承包三级或以上资质。 [注：关于建设工程企业资质延续有关事项按《住房和城乡建设部办公厅关于建设工程企业资质有关事宜的通知》（建办市函〔2022〕361号）、《广东省住房和城乡建设厅关于建设工程企业资质有关事宜的通知》（粤建许函〔2022〕846号）执行。]</w:t>
            </w:r>
          </w:p>
        </w:tc>
      </w:tr>
      <w:tr>
        <w:tc>
          <w:tcPr>
            <w:tcW w:type="dxa" w:w="890"/>
          </w:tcPr>
          <w:p>
            <w:r>
              <w:rPr/>
              <w:t>9</w:t>
            </w:r>
          </w:p>
        </w:tc>
        <w:tc>
          <w:tcPr>
            <w:tcW w:type="dxa" w:w="3178"/>
          </w:tcPr>
          <w:p>
            <w:r>
              <w:rPr/>
              <w:t>其他要求</w:t>
            </w:r>
          </w:p>
        </w:tc>
        <w:tc>
          <w:tcPr>
            <w:tcW w:type="dxa" w:w="4238"/>
          </w:tcPr>
          <w:p>
            <w:r>
              <w:rPr/>
              <w:t>具有建设主管部门颁发的有效安全生产许可证。</w:t>
            </w:r>
          </w:p>
        </w:tc>
      </w:tr>
      <w:tr>
        <w:tc>
          <w:tcPr>
            <w:tcW w:type="dxa" w:w="890"/>
          </w:tcPr>
          <w:p>
            <w:r>
              <w:rPr/>
              <w:t>10</w:t>
            </w:r>
          </w:p>
        </w:tc>
        <w:tc>
          <w:tcPr>
            <w:tcW w:type="dxa" w:w="3178"/>
          </w:tcPr>
          <w:p>
            <w:r>
              <w:rPr/>
              <w:t>联合体投标</w:t>
            </w:r>
          </w:p>
        </w:tc>
        <w:tc>
          <w:tcPr>
            <w:tcW w:type="dxa" w:w="4238"/>
          </w:tcPr>
          <w:p>
            <w:r>
              <w:rPr/>
              <w:t>本项目不接受联合体投标</w:t>
            </w:r>
          </w:p>
        </w:tc>
      </w:tr>
      <w:tr>
        <w:tc>
          <w:tcPr>
            <w:tcW w:type="dxa" w:w="890"/>
          </w:tcPr>
          <w:p>
            <w:r>
              <w:rPr/>
              <w:t>11</w:t>
            </w:r>
          </w:p>
        </w:tc>
        <w:tc>
          <w:tcPr>
            <w:tcW w:type="dxa" w:w="3178"/>
          </w:tcPr>
          <w:p>
            <w:r>
              <w:rPr/>
              <w:t>本采购包专门面向中小企业采购</w:t>
            </w:r>
          </w:p>
        </w:tc>
        <w:tc>
          <w:tcPr>
            <w:tcW w:type="dxa" w:w="4238"/>
          </w:tcPr>
          <w:p>
            <w:r>
              <w:rPr/>
              <w:t>本采购包整体专门面向小微企业，参与投标的供应商须为小微企业。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须提供有效的中小企业声明函（或残疾人福利性单位声明函或监狱企业证明文件）。本项目所属行业为建筑业。</w:t>
            </w:r>
          </w:p>
        </w:tc>
      </w:tr>
    </w:tbl>
    <w:p/>
    <w:p>
      <w:r>
        <w:rPr/>
        <w:t>采购包3（2023-2025年度容桂街道零散市政设施破损修复维护项目）：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供应商必须具有良好的商业信誉和健全的财务会计制度（提供2022年度财务状况报告或基本开户行出具的资信证明或提供《政府采购供应商资格信用承诺函》（承诺函格式见采购公告附件））。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本项目特定的资质要求</w:t>
            </w:r>
          </w:p>
        </w:tc>
        <w:tc>
          <w:tcPr>
            <w:tcW w:type="dxa" w:w="4238"/>
          </w:tcPr>
          <w:p>
            <w:r>
              <w:rPr/>
              <w:t>具有承接本项目所需的市政公用工程施工总承包三级或以上资质。 [注：关于建设工程企业资质延续有关事项按《住房和城乡建设部办公厅关于建设工程企业资质有关事宜的通知》（建办市函〔2022〕361号）、《广东省住房和城乡建设厅关于建设工程企业资质有关事宜的通知》（粤建许函〔2022〕846号）执行。]</w:t>
            </w:r>
          </w:p>
        </w:tc>
      </w:tr>
      <w:tr>
        <w:tc>
          <w:tcPr>
            <w:tcW w:type="dxa" w:w="890"/>
          </w:tcPr>
          <w:p>
            <w:r>
              <w:rPr/>
              <w:t>9</w:t>
            </w:r>
          </w:p>
        </w:tc>
        <w:tc>
          <w:tcPr>
            <w:tcW w:type="dxa" w:w="3178"/>
          </w:tcPr>
          <w:p>
            <w:r>
              <w:rPr/>
              <w:t>其他要求</w:t>
            </w:r>
          </w:p>
        </w:tc>
        <w:tc>
          <w:tcPr>
            <w:tcW w:type="dxa" w:w="4238"/>
          </w:tcPr>
          <w:p>
            <w:r>
              <w:rPr/>
              <w:t>具有建设主管部门颁发的有效安全生产许可证。</w:t>
            </w:r>
          </w:p>
        </w:tc>
      </w:tr>
      <w:tr>
        <w:tc>
          <w:tcPr>
            <w:tcW w:type="dxa" w:w="890"/>
          </w:tcPr>
          <w:p>
            <w:r>
              <w:rPr/>
              <w:t>10</w:t>
            </w:r>
          </w:p>
        </w:tc>
        <w:tc>
          <w:tcPr>
            <w:tcW w:type="dxa" w:w="3178"/>
          </w:tcPr>
          <w:p>
            <w:r>
              <w:rPr/>
              <w:t>联合体投标</w:t>
            </w:r>
          </w:p>
        </w:tc>
        <w:tc>
          <w:tcPr>
            <w:tcW w:type="dxa" w:w="4238"/>
          </w:tcPr>
          <w:p>
            <w:r>
              <w:rPr/>
              <w:t>本项目不接受联合体投标。</w:t>
            </w:r>
          </w:p>
        </w:tc>
      </w:tr>
      <w:tr>
        <w:tc>
          <w:tcPr>
            <w:tcW w:type="dxa" w:w="890"/>
          </w:tcPr>
          <w:p>
            <w:r>
              <w:rPr/>
              <w:t>11</w:t>
            </w:r>
          </w:p>
        </w:tc>
        <w:tc>
          <w:tcPr>
            <w:tcW w:type="dxa" w:w="3178"/>
          </w:tcPr>
          <w:p>
            <w:r>
              <w:rPr/>
              <w:t>本采购包专门面向中小企业采购</w:t>
            </w:r>
          </w:p>
        </w:tc>
        <w:tc>
          <w:tcPr>
            <w:tcW w:type="dxa" w:w="4238"/>
          </w:tcPr>
          <w:p>
            <w:r>
              <w:rPr/>
              <w:t>本采购包整体专门面向小微企业，参与投标的供应商须为小微企业。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须提供有效的中小企业声明函（或残疾人福利性单位声明函或监狱企业证明文件）。本项目所属行业为建筑业。</w:t>
            </w:r>
          </w:p>
        </w:tc>
      </w:tr>
    </w:tbl>
    <w:p/>
    <w:p>
      <w:pPr>
        <w:ind w:firstLine="480"/>
      </w:pPr>
      <w:r>
        <w:rPr/>
        <w:t>表二符合性审查表：</w:t>
      </w:r>
    </w:p>
    <w:p>
      <w:pPr>
        <w:ind w:firstLine="480"/>
      </w:pPr>
    </w:p>
    <w:p/>
    <w:p>
      <w:r>
        <w:rPr/>
        <w:t>采购包1（2023-2025年度容桂街道零散市政设施破损修复维护项目）：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投标文件有效性</w:t>
            </w:r>
          </w:p>
        </w:tc>
        <w:tc>
          <w:tcPr>
            <w:tcW w:type="dxa" w:w="4238"/>
          </w:tcPr>
          <w:p>
            <w:r>
              <w:rPr/>
              <w:t>招标文件规定签字、盖章的地方须签字、盖章</w:t>
            </w:r>
          </w:p>
        </w:tc>
      </w:tr>
      <w:tr>
        <w:tc>
          <w:tcPr>
            <w:tcW w:type="dxa" w:w="890"/>
          </w:tcPr>
          <w:p>
            <w:r>
              <w:rPr/>
              <w:t>2</w:t>
            </w:r>
          </w:p>
        </w:tc>
        <w:tc>
          <w:tcPr>
            <w:tcW w:type="dxa" w:w="3178"/>
          </w:tcPr>
          <w:p>
            <w:r>
              <w:rPr/>
              <w:t>商务要求及合同响应</w:t>
            </w:r>
          </w:p>
        </w:tc>
        <w:tc>
          <w:tcPr>
            <w:tcW w:type="dxa" w:w="4238"/>
          </w:tcPr>
          <w:p>
            <w:r>
              <w:rPr/>
              <w:t>实质性响应招标文件中的商务要求及合同（见《商务条件响应表》）</w:t>
            </w:r>
          </w:p>
        </w:tc>
      </w:tr>
      <w:tr>
        <w:tc>
          <w:tcPr>
            <w:tcW w:type="dxa" w:w="890"/>
          </w:tcPr>
          <w:p>
            <w:r>
              <w:rPr/>
              <w:t>3</w:t>
            </w:r>
          </w:p>
        </w:tc>
        <w:tc>
          <w:tcPr>
            <w:tcW w:type="dxa" w:w="3178"/>
          </w:tcPr>
          <w:p>
            <w:r>
              <w:rPr/>
              <w:t>技术要求</w:t>
            </w:r>
          </w:p>
        </w:tc>
        <w:tc>
          <w:tcPr>
            <w:tcW w:type="dxa" w:w="4238"/>
          </w:tcPr>
          <w:p>
            <w:r>
              <w:rPr/>
              <w:t>实质性响应招标文件中的技术要求（见《技术和服务要求响应表》）</w:t>
            </w:r>
          </w:p>
        </w:tc>
      </w:tr>
      <w:tr>
        <w:tc>
          <w:tcPr>
            <w:tcW w:type="dxa" w:w="890"/>
          </w:tcPr>
          <w:p>
            <w:r>
              <w:rPr/>
              <w:t>4</w:t>
            </w:r>
          </w:p>
        </w:tc>
        <w:tc>
          <w:tcPr>
            <w:tcW w:type="dxa" w:w="3178"/>
          </w:tcPr>
          <w:p>
            <w:r>
              <w:rPr/>
              <w:t>投标报价要求</w:t>
            </w:r>
          </w:p>
        </w:tc>
        <w:tc>
          <w:tcPr>
            <w:tcW w:type="dxa" w:w="4238"/>
          </w:tcPr>
          <w:p>
            <w:r>
              <w:rPr/>
              <w:t>投标报价方案是唯一的，符合招标文件的其他投标报价相关要求（见《开标一览表》）</w:t>
            </w:r>
          </w:p>
        </w:tc>
      </w:tr>
      <w:tr>
        <w:tc>
          <w:tcPr>
            <w:tcW w:type="dxa" w:w="890"/>
          </w:tcPr>
          <w:p>
            <w:r>
              <w:rPr/>
              <w:t>5</w:t>
            </w:r>
          </w:p>
        </w:tc>
        <w:tc>
          <w:tcPr>
            <w:tcW w:type="dxa" w:w="3178"/>
          </w:tcPr>
          <w:p>
            <w:r>
              <w:rPr/>
              <w:t>不可负偏离的重要项响应</w:t>
            </w:r>
          </w:p>
        </w:tc>
        <w:tc>
          <w:tcPr>
            <w:tcW w:type="dxa" w:w="4238"/>
          </w:tcPr>
          <w:p>
            <w:r>
              <w:rPr/>
              <w:t>实质性响应招标文件中的不可负偏离的重要项（带“★”项）要求；投标文件未含有采购人不能接受的附加条款（见《技术和服务要求响应表》和《商务条件响应表》）</w:t>
            </w:r>
          </w:p>
        </w:tc>
      </w:tr>
      <w:tr>
        <w:tc>
          <w:tcPr>
            <w:tcW w:type="dxa" w:w="890"/>
          </w:tcPr>
          <w:p>
            <w:r>
              <w:rPr/>
              <w:t>6</w:t>
            </w:r>
          </w:p>
        </w:tc>
        <w:tc>
          <w:tcPr>
            <w:tcW w:type="dxa" w:w="3178"/>
          </w:tcPr>
          <w:p>
            <w:r>
              <w:rPr/>
              <w:t>兼投不兼中</w:t>
            </w:r>
          </w:p>
        </w:tc>
        <w:tc>
          <w:tcPr>
            <w:tcW w:type="dxa" w:w="4238"/>
          </w:tcPr>
          <w:p>
            <w:r>
              <w:rPr/>
              <w:t>已被推荐为任一采购包的第一中标候选人的投标人将不再参与其余采购包的评审（视为其余采购包的符合性评审不通过），且不具有其余采购包的第一中标候选人推荐资格。依此类推。</w:t>
            </w:r>
          </w:p>
        </w:tc>
      </w:tr>
      <w:tr>
        <w:tc>
          <w:tcPr>
            <w:tcW w:type="dxa" w:w="890"/>
          </w:tcPr>
          <w:p>
            <w:r>
              <w:rPr/>
              <w:t>7</w:t>
            </w:r>
          </w:p>
        </w:tc>
        <w:tc>
          <w:tcPr>
            <w:tcW w:type="dxa" w:w="3178"/>
          </w:tcPr>
          <w:p>
            <w:r>
              <w:rPr/>
              <w:t>其他</w:t>
            </w:r>
          </w:p>
        </w:tc>
        <w:tc>
          <w:tcPr>
            <w:tcW w:type="dxa" w:w="4238"/>
          </w:tcPr>
          <w:p>
            <w:r>
              <w:rPr/>
              <w:t>未发现法律、法规和招标文件规定的其他无效情形</w:t>
            </w:r>
          </w:p>
        </w:tc>
      </w:tr>
    </w:tbl>
    <w:p/>
    <w:p>
      <w:r>
        <w:rPr/>
        <w:t>采购包2（2023-2025年度容桂街道零散市政设施破损修复维护项目）：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投标文件有效性</w:t>
            </w:r>
          </w:p>
        </w:tc>
        <w:tc>
          <w:tcPr>
            <w:tcW w:type="dxa" w:w="4238"/>
          </w:tcPr>
          <w:p>
            <w:r>
              <w:rPr/>
              <w:t>招标文件规定签字、盖章的地方须签字、盖章</w:t>
            </w:r>
          </w:p>
        </w:tc>
      </w:tr>
      <w:tr>
        <w:tc>
          <w:tcPr>
            <w:tcW w:type="dxa" w:w="890"/>
          </w:tcPr>
          <w:p>
            <w:r>
              <w:rPr/>
              <w:t>2</w:t>
            </w:r>
          </w:p>
        </w:tc>
        <w:tc>
          <w:tcPr>
            <w:tcW w:type="dxa" w:w="3178"/>
          </w:tcPr>
          <w:p>
            <w:r>
              <w:rPr/>
              <w:t>商务要求及合同响应</w:t>
            </w:r>
          </w:p>
        </w:tc>
        <w:tc>
          <w:tcPr>
            <w:tcW w:type="dxa" w:w="4238"/>
          </w:tcPr>
          <w:p>
            <w:r>
              <w:rPr/>
              <w:t>实质性响应招标文件中的商务要求及合同（见《商务条件响应表》）</w:t>
            </w:r>
          </w:p>
        </w:tc>
      </w:tr>
      <w:tr>
        <w:tc>
          <w:tcPr>
            <w:tcW w:type="dxa" w:w="890"/>
          </w:tcPr>
          <w:p>
            <w:r>
              <w:rPr/>
              <w:t>3</w:t>
            </w:r>
          </w:p>
        </w:tc>
        <w:tc>
          <w:tcPr>
            <w:tcW w:type="dxa" w:w="3178"/>
          </w:tcPr>
          <w:p>
            <w:r>
              <w:rPr/>
              <w:t>技术要求</w:t>
            </w:r>
          </w:p>
        </w:tc>
        <w:tc>
          <w:tcPr>
            <w:tcW w:type="dxa" w:w="4238"/>
          </w:tcPr>
          <w:p>
            <w:r>
              <w:rPr/>
              <w:t>实质性响应招标文件中的技术要求（见《技术和服务要求响应表》）</w:t>
            </w:r>
          </w:p>
        </w:tc>
      </w:tr>
      <w:tr>
        <w:tc>
          <w:tcPr>
            <w:tcW w:type="dxa" w:w="890"/>
          </w:tcPr>
          <w:p>
            <w:r>
              <w:rPr/>
              <w:t>4</w:t>
            </w:r>
          </w:p>
        </w:tc>
        <w:tc>
          <w:tcPr>
            <w:tcW w:type="dxa" w:w="3178"/>
          </w:tcPr>
          <w:p>
            <w:r>
              <w:rPr/>
              <w:t>投标报价要求</w:t>
            </w:r>
          </w:p>
        </w:tc>
        <w:tc>
          <w:tcPr>
            <w:tcW w:type="dxa" w:w="4238"/>
          </w:tcPr>
          <w:p>
            <w:r>
              <w:rPr/>
              <w:t>投标报价方案是唯一的，符合招标文件的其他投标报价相关要求（见《开标一览表》）</w:t>
            </w:r>
          </w:p>
        </w:tc>
      </w:tr>
      <w:tr>
        <w:tc>
          <w:tcPr>
            <w:tcW w:type="dxa" w:w="890"/>
          </w:tcPr>
          <w:p>
            <w:r>
              <w:rPr/>
              <w:t>5</w:t>
            </w:r>
          </w:p>
        </w:tc>
        <w:tc>
          <w:tcPr>
            <w:tcW w:type="dxa" w:w="3178"/>
          </w:tcPr>
          <w:p>
            <w:r>
              <w:rPr/>
              <w:t>不可负偏离的重要项响应</w:t>
            </w:r>
          </w:p>
        </w:tc>
        <w:tc>
          <w:tcPr>
            <w:tcW w:type="dxa" w:w="4238"/>
          </w:tcPr>
          <w:p>
            <w:r>
              <w:rPr/>
              <w:t>实质性响应招标文件中的不可负偏离的重要项（带“★”项）要求；投标文件未含有采购人不能接受的附加条款（见《技术和服务要求响应表》和《商务条件响应表》）</w:t>
            </w:r>
          </w:p>
        </w:tc>
      </w:tr>
      <w:tr>
        <w:tc>
          <w:tcPr>
            <w:tcW w:type="dxa" w:w="890"/>
          </w:tcPr>
          <w:p>
            <w:r>
              <w:rPr/>
              <w:t>6</w:t>
            </w:r>
          </w:p>
        </w:tc>
        <w:tc>
          <w:tcPr>
            <w:tcW w:type="dxa" w:w="3178"/>
          </w:tcPr>
          <w:p>
            <w:r>
              <w:rPr/>
              <w:t>兼投不兼中</w:t>
            </w:r>
          </w:p>
        </w:tc>
        <w:tc>
          <w:tcPr>
            <w:tcW w:type="dxa" w:w="4238"/>
          </w:tcPr>
          <w:p>
            <w:r>
              <w:rPr/>
              <w:t>已被推荐为任一采购包的第一中标候选人的投标人将不再参与其余采购包的评审（视为其余采购包的符合性评审不通过），且不具有其余采购包的第一中标候选人推荐资格。依此类推。</w:t>
            </w:r>
          </w:p>
        </w:tc>
      </w:tr>
      <w:tr>
        <w:tc>
          <w:tcPr>
            <w:tcW w:type="dxa" w:w="890"/>
          </w:tcPr>
          <w:p>
            <w:r>
              <w:rPr/>
              <w:t>7</w:t>
            </w:r>
          </w:p>
        </w:tc>
        <w:tc>
          <w:tcPr>
            <w:tcW w:type="dxa" w:w="3178"/>
          </w:tcPr>
          <w:p>
            <w:r>
              <w:rPr/>
              <w:t>其他</w:t>
            </w:r>
          </w:p>
        </w:tc>
        <w:tc>
          <w:tcPr>
            <w:tcW w:type="dxa" w:w="4238"/>
          </w:tcPr>
          <w:p>
            <w:r>
              <w:rPr/>
              <w:t>未发现法律、法规和招标文件规定的其他无效情形</w:t>
            </w:r>
          </w:p>
        </w:tc>
      </w:tr>
    </w:tbl>
    <w:p/>
    <w:p>
      <w:r>
        <w:rPr/>
        <w:t>采购包3（2023-2025年度容桂街道零散市政设施破损修复维护项目）：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投标文件有效性</w:t>
            </w:r>
          </w:p>
        </w:tc>
        <w:tc>
          <w:tcPr>
            <w:tcW w:type="dxa" w:w="4238"/>
          </w:tcPr>
          <w:p>
            <w:r>
              <w:rPr/>
              <w:t>招标文件规定签字、盖章的地方须签字、盖章</w:t>
            </w:r>
          </w:p>
        </w:tc>
      </w:tr>
      <w:tr>
        <w:tc>
          <w:tcPr>
            <w:tcW w:type="dxa" w:w="890"/>
          </w:tcPr>
          <w:p>
            <w:r>
              <w:rPr/>
              <w:t>2</w:t>
            </w:r>
          </w:p>
        </w:tc>
        <w:tc>
          <w:tcPr>
            <w:tcW w:type="dxa" w:w="3178"/>
          </w:tcPr>
          <w:p>
            <w:r>
              <w:rPr/>
              <w:t>商务要求及合同响应</w:t>
            </w:r>
          </w:p>
        </w:tc>
        <w:tc>
          <w:tcPr>
            <w:tcW w:type="dxa" w:w="4238"/>
          </w:tcPr>
          <w:p>
            <w:r>
              <w:rPr/>
              <w:t>实质性响应招标文件中的商务要求及合同（见《商务条件响应表》）</w:t>
            </w:r>
          </w:p>
        </w:tc>
      </w:tr>
      <w:tr>
        <w:tc>
          <w:tcPr>
            <w:tcW w:type="dxa" w:w="890"/>
          </w:tcPr>
          <w:p>
            <w:r>
              <w:rPr/>
              <w:t>3</w:t>
            </w:r>
          </w:p>
        </w:tc>
        <w:tc>
          <w:tcPr>
            <w:tcW w:type="dxa" w:w="3178"/>
          </w:tcPr>
          <w:p>
            <w:r>
              <w:rPr/>
              <w:t>技术要求</w:t>
            </w:r>
          </w:p>
        </w:tc>
        <w:tc>
          <w:tcPr>
            <w:tcW w:type="dxa" w:w="4238"/>
          </w:tcPr>
          <w:p>
            <w:r>
              <w:rPr/>
              <w:t>实质性响应招标文件中的技术要求（见《技术和服务要求响应表》）</w:t>
            </w:r>
          </w:p>
        </w:tc>
      </w:tr>
      <w:tr>
        <w:tc>
          <w:tcPr>
            <w:tcW w:type="dxa" w:w="890"/>
          </w:tcPr>
          <w:p>
            <w:r>
              <w:rPr/>
              <w:t>4</w:t>
            </w:r>
          </w:p>
        </w:tc>
        <w:tc>
          <w:tcPr>
            <w:tcW w:type="dxa" w:w="3178"/>
          </w:tcPr>
          <w:p>
            <w:r>
              <w:rPr/>
              <w:t>投标报价要求</w:t>
            </w:r>
          </w:p>
        </w:tc>
        <w:tc>
          <w:tcPr>
            <w:tcW w:type="dxa" w:w="4238"/>
          </w:tcPr>
          <w:p>
            <w:r>
              <w:rPr/>
              <w:t>投标报价方案是唯一的，符合招标文件的其他投标报价相关要求（见《开标一览表》）</w:t>
            </w:r>
          </w:p>
        </w:tc>
      </w:tr>
      <w:tr>
        <w:tc>
          <w:tcPr>
            <w:tcW w:type="dxa" w:w="890"/>
          </w:tcPr>
          <w:p>
            <w:r>
              <w:rPr/>
              <w:t>5</w:t>
            </w:r>
          </w:p>
        </w:tc>
        <w:tc>
          <w:tcPr>
            <w:tcW w:type="dxa" w:w="3178"/>
          </w:tcPr>
          <w:p>
            <w:r>
              <w:rPr/>
              <w:t>不可负偏离的重要项响应</w:t>
            </w:r>
          </w:p>
        </w:tc>
        <w:tc>
          <w:tcPr>
            <w:tcW w:type="dxa" w:w="4238"/>
          </w:tcPr>
          <w:p>
            <w:r>
              <w:rPr/>
              <w:t>实质性响应招标文件中的不可负偏离的重要项（带“★”项）要求；投标文件未含有采购人不能接受的附加条款（见《技术和服务要求响应表》和《商务条件响应表》）</w:t>
            </w:r>
          </w:p>
        </w:tc>
      </w:tr>
      <w:tr>
        <w:tc>
          <w:tcPr>
            <w:tcW w:type="dxa" w:w="890"/>
          </w:tcPr>
          <w:p>
            <w:r>
              <w:rPr/>
              <w:t>6</w:t>
            </w:r>
          </w:p>
        </w:tc>
        <w:tc>
          <w:tcPr>
            <w:tcW w:type="dxa" w:w="3178"/>
          </w:tcPr>
          <w:p>
            <w:r>
              <w:rPr/>
              <w:t>兼投不兼中</w:t>
            </w:r>
          </w:p>
        </w:tc>
        <w:tc>
          <w:tcPr>
            <w:tcW w:type="dxa" w:w="4238"/>
          </w:tcPr>
          <w:p>
            <w:r>
              <w:rPr/>
              <w:t>已被推荐为任一采购包的第一中标候选人的投标人将不再参与其余采购包的评审（视为其余采购包的符合性评审不通过），且不具有其余采购包的第一中标候选人推荐资格。依此类推。</w:t>
            </w:r>
          </w:p>
        </w:tc>
      </w:tr>
      <w:tr>
        <w:tc>
          <w:tcPr>
            <w:tcW w:type="dxa" w:w="890"/>
          </w:tcPr>
          <w:p>
            <w:r>
              <w:rPr/>
              <w:t>7</w:t>
            </w:r>
          </w:p>
        </w:tc>
        <w:tc>
          <w:tcPr>
            <w:tcW w:type="dxa" w:w="3178"/>
          </w:tcPr>
          <w:p>
            <w:r>
              <w:rPr/>
              <w:t>其他</w:t>
            </w:r>
          </w:p>
        </w:tc>
        <w:tc>
          <w:tcPr>
            <w:tcW w:type="dxa" w:w="4238"/>
          </w:tcPr>
          <w:p>
            <w:r>
              <w:rPr/>
              <w:t>未发现法律、法规和招标文件规定的其他无效情形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采购包1(2023-2025年度容桂街道零散市政设施破损修复维护项目):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技术部分55.0分</w:t>
            </w:r>
          </w:p>
          <w:p>
            <w:r>
              <w:rPr/>
              <w:t>报价得分15.0分</w:t>
            </w:r>
          </w:p>
        </w:tc>
      </w:tr>
      <w:tr>
        <w:tc>
          <w:tcPr>
            <w:tcW w:type="dxa" w:w="922"/>
            <w:gridSpan w:val="2"/>
            <w:vMerge w:val="restart"/>
          </w:tcPr>
          <w:p>
            <w:pPr>
              <w:jc w:val="center"/>
            </w:pPr>
            <w:r>
              <w:rPr/>
              <w:t>技术部分</w:t>
            </w:r>
          </w:p>
        </w:tc>
        <w:tc>
          <w:tcPr>
            <w:tcW w:type="dxa" w:w="2307"/>
          </w:tcPr>
          <w:p>
            <w:pPr>
              <w:jc w:val="left"/>
            </w:pPr>
            <w:r>
              <w:rPr/>
              <w:t>项目整体理解程度 (5.0分)</w:t>
            </w:r>
            <w:r>
              <w:rPr/>
              <w:t>，（等次分值选择：</w:t>
            </w:r>
            <w:r>
              <w:rPr/>
              <w:t>0.0;</w:t>
            </w:r>
            <w:r>
              <w:rPr/>
              <w:t>1.0;</w:t>
            </w:r>
            <w:r>
              <w:rPr/>
              <w:t>3.0;</w:t>
            </w:r>
            <w:r>
              <w:rPr/>
              <w:t>5.0;</w:t>
            </w:r>
            <w:r>
              <w:rPr/>
              <w:t>）</w:t>
            </w:r>
          </w:p>
        </w:tc>
        <w:tc>
          <w:tcPr>
            <w:tcW w:type="dxa" w:w="5076"/>
          </w:tcPr>
          <w:p>
            <w:pPr>
              <w:jc w:val="left"/>
            </w:pPr>
            <w:r>
              <w:rPr/>
              <w:t>根据投标人对本项目现状的了解情况、整体要求的解读进行综合评审：   （1）对本项目需求、目标分析完整到位、理解深入全面，得5分；  （2）对本项目需求、目标分析较全面，得3分；  （3）对本项目需求、目标分析基本到位，得1分；  （4）没有提供方案的，不得分。</w:t>
            </w:r>
          </w:p>
        </w:tc>
      </w:tr>
      <w:tr>
        <w:tc>
          <w:tcPr>
            <w:tcW w:type="dxa" w:w="922"/>
            <w:gridSpan w:val="2"/>
            <w:vMerge/>
          </w:tcPr>
          <w:p/>
        </w:tc>
        <w:tc>
          <w:tcPr>
            <w:tcW w:type="dxa" w:w="2307"/>
          </w:tcPr>
          <w:p>
            <w:pPr>
              <w:jc w:val="left"/>
            </w:pPr>
            <w:r>
              <w:rPr/>
              <w:t>施工工期保证措施 (10.0分)</w:t>
            </w:r>
            <w:r>
              <w:rPr/>
              <w:t>，（等次分值选择：</w:t>
            </w:r>
            <w:r>
              <w:rPr/>
              <w:t>0.0;</w:t>
            </w:r>
            <w:r>
              <w:rPr/>
              <w:t>1.0;</w:t>
            </w:r>
            <w:r>
              <w:rPr/>
              <w:t>4.0;</w:t>
            </w:r>
            <w:r>
              <w:rPr/>
              <w:t>7.0;</w:t>
            </w:r>
            <w:r>
              <w:rPr/>
              <w:t>10.0;</w:t>
            </w:r>
            <w:r>
              <w:rPr/>
              <w:t>）</w:t>
            </w:r>
          </w:p>
        </w:tc>
        <w:tc>
          <w:tcPr>
            <w:tcW w:type="dxa" w:w="5076"/>
          </w:tcPr>
          <w:p>
            <w:pPr>
              <w:jc w:val="left"/>
            </w:pPr>
            <w:r>
              <w:rPr/>
              <w:t>根据投标人对本项目提供的施工进度控制和工期保证措施方案进行综合评审： （1）提供详细施工整体进度计划，进度控制和工期保证措施有明确可行的节点目标的，得10分；  （2）提供较详细施工整体进度计划，进度控制和工期保证措施有较可行的节点目标的，得7分；  （3）提供的施工整体进度计划详细性一般，进度控制和工期保证措施节点目标可行性一般，得4分； （4）有提供简略的施工整体进度计划，进度控制和工期保证措施的节点目标不够可行，得1分； （5）没有提供方案的，不得分。</w:t>
            </w:r>
          </w:p>
        </w:tc>
      </w:tr>
      <w:tr>
        <w:tc>
          <w:tcPr>
            <w:tcW w:type="dxa" w:w="922"/>
            <w:gridSpan w:val="2"/>
            <w:vMerge/>
          </w:tcPr>
          <w:p/>
        </w:tc>
        <w:tc>
          <w:tcPr>
            <w:tcW w:type="dxa" w:w="2307"/>
          </w:tcPr>
          <w:p>
            <w:pPr>
              <w:jc w:val="left"/>
            </w:pPr>
            <w:r>
              <w:rPr/>
              <w:t>质量保证措施 (10.0分)</w:t>
            </w:r>
            <w:r>
              <w:rPr/>
              <w:t>，（等次分值选择：</w:t>
            </w:r>
            <w:r>
              <w:rPr/>
              <w:t>0.0;</w:t>
            </w:r>
            <w:r>
              <w:rPr/>
              <w:t>1.0;</w:t>
            </w:r>
            <w:r>
              <w:rPr/>
              <w:t>4.0;</w:t>
            </w:r>
            <w:r>
              <w:rPr/>
              <w:t>7.0;</w:t>
            </w:r>
            <w:r>
              <w:rPr/>
              <w:t>10.0;</w:t>
            </w:r>
            <w:r>
              <w:rPr/>
              <w:t>）</w:t>
            </w:r>
          </w:p>
        </w:tc>
        <w:tc>
          <w:tcPr>
            <w:tcW w:type="dxa" w:w="5076"/>
          </w:tcPr>
          <w:p>
            <w:pPr>
              <w:jc w:val="left"/>
            </w:pPr>
            <w:r>
              <w:rPr/>
              <w:t>根据投标人对本项目提供的质量保证措施方案（包括但不限于施工质量管理、施工质量保证措施、材料质量保证措施、质量保修服务方案等）进行综合评审： （1）施工质量管理、施工质量保证措施、材料质量保证措施方案及质量保修服务方案详细合理，对主要工序、施工工艺、材料验收等的质量控制方法合理可行的，得10分； （2）施工质量管理、施工质量保证措施、材料质量保证措施方案及质量保修服务方案较好，对主要工序、施工工艺、材料验收等的质量控制方法基本合理的，得7分； （3）施工质量管理、施工质量保证措施、材料质量保证措施方案及质量保修服务方案详细合理性一般，对主要工序、施工工艺、材料验收等的质量控制方法合理可行性一般的，得4分； （4）有提交简略的施工质量管理、施工质量保证措施、材料质量保证措施方案及质量保修服务方案的，得1分； （5）没有提供方案的，不得分。</w:t>
            </w:r>
          </w:p>
        </w:tc>
      </w:tr>
      <w:tr>
        <w:tc>
          <w:tcPr>
            <w:tcW w:type="dxa" w:w="922"/>
            <w:gridSpan w:val="2"/>
            <w:vMerge/>
          </w:tcPr>
          <w:p/>
        </w:tc>
        <w:tc>
          <w:tcPr>
            <w:tcW w:type="dxa" w:w="2307"/>
          </w:tcPr>
          <w:p>
            <w:pPr>
              <w:jc w:val="left"/>
            </w:pPr>
            <w:r>
              <w:rPr/>
              <w:t>安全保证措施 (10.0分)</w:t>
            </w:r>
            <w:r>
              <w:rPr/>
              <w:t>，（等次分值选择：</w:t>
            </w:r>
            <w:r>
              <w:rPr/>
              <w:t>0.0;</w:t>
            </w:r>
            <w:r>
              <w:rPr/>
              <w:t>1.0;</w:t>
            </w:r>
            <w:r>
              <w:rPr/>
              <w:t>4.0;</w:t>
            </w:r>
            <w:r>
              <w:rPr/>
              <w:t>7.0;</w:t>
            </w:r>
            <w:r>
              <w:rPr/>
              <w:t>10.0;</w:t>
            </w:r>
            <w:r>
              <w:rPr/>
              <w:t>）</w:t>
            </w:r>
          </w:p>
        </w:tc>
        <w:tc>
          <w:tcPr>
            <w:tcW w:type="dxa" w:w="5076"/>
          </w:tcPr>
          <w:p>
            <w:pPr>
              <w:jc w:val="left"/>
            </w:pPr>
            <w:r>
              <w:rPr/>
              <w:t>根据投标人对本项目提供的安全保证措施（包括但不限于施工安全管理措施、施工安全规章制度、风险管理等）进行综合评审： （1）施工安全管理措施规范，施工安全规章制度完善，安全保护方法明确，措施 (含风险管理) 具体可行、实用性与可操作性高的，得10分； （2）施工安全管理措施比较规范，施工安全规章制度比较完善，安全保护方法较 明确，措施 (含风险管理) 基本可行、实用性与可操作性一般的，得7分； （3）施工安全管理措施规范性一般，施工安全规章制度完善性一般，安全保护方法明确性一般，措施 (含风险管理) 具体可行性、实用性与可操作性一般的，得4分； （4）有提交简略的施工安全管理措施，施工安全规章制度、风险管理的，得 1分； （5）没有提供方案的，不得分。</w:t>
            </w:r>
          </w:p>
        </w:tc>
      </w:tr>
      <w:tr>
        <w:tc>
          <w:tcPr>
            <w:tcW w:type="dxa" w:w="922"/>
            <w:gridSpan w:val="2"/>
            <w:vMerge/>
          </w:tcPr>
          <w:p/>
        </w:tc>
        <w:tc>
          <w:tcPr>
            <w:tcW w:type="dxa" w:w="2307"/>
          </w:tcPr>
          <w:p>
            <w:pPr>
              <w:jc w:val="left"/>
            </w:pPr>
            <w:r>
              <w:rPr/>
              <w:t>应急处理措施 (10.0分)</w:t>
            </w:r>
            <w:r>
              <w:rPr/>
              <w:t>，（等次分值选择：</w:t>
            </w:r>
            <w:r>
              <w:rPr/>
              <w:t>0.0;</w:t>
            </w:r>
            <w:r>
              <w:rPr/>
              <w:t>1.0;</w:t>
            </w:r>
            <w:r>
              <w:rPr/>
              <w:t>4.0;</w:t>
            </w:r>
            <w:r>
              <w:rPr/>
              <w:t>7.0;</w:t>
            </w:r>
            <w:r>
              <w:rPr/>
              <w:t>10.0;</w:t>
            </w:r>
            <w:r>
              <w:rPr/>
              <w:t>）</w:t>
            </w:r>
          </w:p>
        </w:tc>
        <w:tc>
          <w:tcPr>
            <w:tcW w:type="dxa" w:w="5076"/>
          </w:tcPr>
          <w:p>
            <w:pPr>
              <w:jc w:val="left"/>
            </w:pPr>
            <w:r>
              <w:rPr/>
              <w:t>根据投标人对本项目提供的应急处理措施（包括但不限于应急人员安排、实施应急处理的具体措施等）进行综合评审： （1）应急人员安排合理，实施应急处理的具体措施详尽可行，切合本项目情况，得10分；  （2）应急人员安排合理，实施应急处理的具体措施较完善，得7分； （3）应急人员安排合理性一般，实施应急处理的具体措施详尽可行性一般，不够切合本项目情况，得4分；  （4）有提交简略的应急人员安排、实施应急处理的具体措施，得1分；  （5）没有提供方案的，不得分。</w:t>
            </w:r>
          </w:p>
        </w:tc>
      </w:tr>
      <w:tr>
        <w:tc>
          <w:tcPr>
            <w:tcW w:type="dxa" w:w="922"/>
            <w:gridSpan w:val="2"/>
            <w:vMerge/>
          </w:tcPr>
          <w:p/>
        </w:tc>
        <w:tc>
          <w:tcPr>
            <w:tcW w:type="dxa" w:w="2307"/>
          </w:tcPr>
          <w:p>
            <w:pPr>
              <w:jc w:val="left"/>
            </w:pPr>
            <w:r>
              <w:rPr/>
              <w:t>服务响应保障措施及便利性 (10.0分)</w:t>
            </w:r>
            <w:r>
              <w:rPr/>
              <w:t>，（等次分值选择：</w:t>
            </w:r>
            <w:r>
              <w:rPr/>
              <w:t>0.0;</w:t>
            </w:r>
            <w:r>
              <w:rPr/>
              <w:t>1.0;</w:t>
            </w:r>
            <w:r>
              <w:rPr/>
              <w:t>4.0;</w:t>
            </w:r>
            <w:r>
              <w:rPr/>
              <w:t>7.0;</w:t>
            </w:r>
            <w:r>
              <w:rPr/>
              <w:t>10.0;</w:t>
            </w:r>
            <w:r>
              <w:rPr/>
              <w:t>）</w:t>
            </w:r>
          </w:p>
        </w:tc>
        <w:tc>
          <w:tcPr>
            <w:tcW w:type="dxa" w:w="5076"/>
          </w:tcPr>
          <w:p>
            <w:pPr>
              <w:jc w:val="left"/>
            </w:pPr>
            <w:r>
              <w:rPr/>
              <w:t>根据投标人提供的服务响应保障措施及便利性进行综合评分：  （1）制定的服务响应保障措施合理、可行、先进的，服务响应便利，得10分；  （2）制定的服务响应保障措施较合理、可行、较先进的，服务响应较便利，得7分；  （3）制定的服务响应保障措施合理、可行、先进性一般，服务响应便利性一般，得4分；  （4）满足项目需求，有提交服务响应保障措施、服务响应便利性较差的，得1分。 （5）没有提供方案的，不得分。</w:t>
            </w:r>
          </w:p>
        </w:tc>
      </w:tr>
      <w:tr>
        <w:tc>
          <w:tcPr>
            <w:tcW w:type="dxa" w:w="922"/>
            <w:gridSpan w:val="2"/>
            <w:vMerge w:val="restart"/>
          </w:tcPr>
          <w:p>
            <w:pPr>
              <w:jc w:val="center"/>
            </w:pPr>
            <w:r>
              <w:rPr/>
              <w:t>商务部分</w:t>
            </w:r>
          </w:p>
        </w:tc>
        <w:tc>
          <w:tcPr>
            <w:tcW w:type="dxa" w:w="2307"/>
          </w:tcPr>
          <w:p>
            <w:pPr>
              <w:jc w:val="left"/>
            </w:pPr>
            <w:r>
              <w:rPr/>
              <w:t>同类项目业绩 (10.0分)</w:t>
            </w:r>
          </w:p>
        </w:tc>
        <w:tc>
          <w:tcPr>
            <w:tcW w:type="dxa" w:w="5076"/>
          </w:tcPr>
          <w:p>
            <w:pPr>
              <w:jc w:val="left"/>
            </w:pPr>
            <w:r>
              <w:rPr/>
              <w:t>投标人自2020年1月1日以来（以合同签订时间为准）独立承接过的同类项目业绩，每提供1项，得2分，本项最高得10分。 注： 须提供合同关键页复印件并加盖投标人公章（须包括项目名称、合同签订时间、项目主要内容和双方盖章页）。是否属于同类项目业绩由评标委员会判定。</w:t>
            </w:r>
          </w:p>
        </w:tc>
      </w:tr>
      <w:tr>
        <w:tc>
          <w:tcPr>
            <w:tcW w:type="dxa" w:w="922"/>
            <w:gridSpan w:val="2"/>
            <w:vMerge/>
          </w:tcPr>
          <w:p/>
        </w:tc>
        <w:tc>
          <w:tcPr>
            <w:tcW w:type="dxa" w:w="2307"/>
          </w:tcPr>
          <w:p>
            <w:pPr>
              <w:jc w:val="left"/>
            </w:pPr>
            <w:r>
              <w:rPr/>
              <w:t>企业管理体系认证 (9.0分)</w:t>
            </w:r>
          </w:p>
        </w:tc>
        <w:tc>
          <w:tcPr>
            <w:tcW w:type="dxa" w:w="5076"/>
          </w:tcPr>
          <w:p>
            <w:pPr>
              <w:jc w:val="left"/>
            </w:pPr>
            <w:r>
              <w:rPr/>
              <w:t>投标人具有以下证书且证书处于有效期内的：  （1）质量管理体系认证证书；  （2）环境管理体系认证证书；  （3）职业健康安全管理体系认证证书。  每具备1项，得3分，最高得9分。 注： 须提供证书复印件并加盖投标人公章。</w:t>
            </w:r>
          </w:p>
        </w:tc>
      </w:tr>
      <w:tr>
        <w:tc>
          <w:tcPr>
            <w:tcW w:type="dxa" w:w="922"/>
            <w:gridSpan w:val="2"/>
            <w:vMerge/>
          </w:tcPr>
          <w:p/>
        </w:tc>
        <w:tc>
          <w:tcPr>
            <w:tcW w:type="dxa" w:w="2307"/>
          </w:tcPr>
          <w:p>
            <w:pPr>
              <w:jc w:val="left"/>
            </w:pPr>
            <w:r>
              <w:rPr/>
              <w:t>施工机械设备 (11.0分)</w:t>
            </w:r>
          </w:p>
        </w:tc>
        <w:tc>
          <w:tcPr>
            <w:tcW w:type="dxa" w:w="5076"/>
          </w:tcPr>
          <w:p>
            <w:pPr>
              <w:jc w:val="left"/>
            </w:pPr>
            <w:r>
              <w:rPr/>
              <w:t>投标人针对本项目所投入的施工机械设备在满足本项目招标文件技术标准与要求的基础上： （1）核定载质量为3吨或以上的货车2辆的基础上，每增加一辆，得1.5分，最高得3分； （2）挖掘机1台的基础上，每增加一台，得2分，最高得4分；  （3）吊臂车1台的基础上，每增加一台，得2分，最高得4分；  本项最高得11分。  注： 1.自有施工机械设备：同时提供①购买发票复印件，施工机械设备须在投标人或其股东名下（须提供工商行政管理部门出具的《核准登记通知书》，以证明其股东身份）、②货车、吊臂车还需提供行驶证；不提供不得分。  2.租赁施工机械设备：同时提供①以投标人名义租赁的租赁合同复印件，②货车、吊臂车还需提供行驶证；不提供不得分。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t>采购包2(2023-2025年度容桂街道零散市政设施破损修复维护项目):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技术部分55.0分</w:t>
            </w:r>
          </w:p>
          <w:p>
            <w:r>
              <w:rPr/>
              <w:t>报价得分15.0分</w:t>
            </w:r>
          </w:p>
        </w:tc>
      </w:tr>
      <w:tr>
        <w:tc>
          <w:tcPr>
            <w:tcW w:type="dxa" w:w="922"/>
            <w:gridSpan w:val="2"/>
            <w:vMerge w:val="restart"/>
          </w:tcPr>
          <w:p>
            <w:pPr>
              <w:jc w:val="center"/>
            </w:pPr>
            <w:r>
              <w:rPr/>
              <w:t>技术部分</w:t>
            </w:r>
          </w:p>
        </w:tc>
        <w:tc>
          <w:tcPr>
            <w:tcW w:type="dxa" w:w="2307"/>
          </w:tcPr>
          <w:p>
            <w:pPr>
              <w:jc w:val="left"/>
            </w:pPr>
            <w:r>
              <w:rPr/>
              <w:t>项目整体理解程度 (5.0分)</w:t>
            </w:r>
            <w:r>
              <w:rPr/>
              <w:t>，（等次分值选择：</w:t>
            </w:r>
            <w:r>
              <w:rPr/>
              <w:t>0.0;</w:t>
            </w:r>
            <w:r>
              <w:rPr/>
              <w:t>1.0;</w:t>
            </w:r>
            <w:r>
              <w:rPr/>
              <w:t>3.0;</w:t>
            </w:r>
            <w:r>
              <w:rPr/>
              <w:t>5.0;</w:t>
            </w:r>
            <w:r>
              <w:rPr/>
              <w:t>）</w:t>
            </w:r>
          </w:p>
        </w:tc>
        <w:tc>
          <w:tcPr>
            <w:tcW w:type="dxa" w:w="5076"/>
          </w:tcPr>
          <w:p>
            <w:pPr>
              <w:jc w:val="left"/>
            </w:pPr>
            <w:r>
              <w:rPr/>
              <w:t>根据投标人对本项目现状的了解情况、整体要求的解读进行综合评审：   （1）对本项目需求、目标分析完整到位、理解深入全面，得5分；  （2）对本项目需求、目标分析较全面，得3分；  （3）对本项目需求、目标分析基本到位，得1分；  （4）没有提供方案的，不得分。</w:t>
            </w:r>
          </w:p>
        </w:tc>
      </w:tr>
      <w:tr>
        <w:tc>
          <w:tcPr>
            <w:tcW w:type="dxa" w:w="922"/>
            <w:gridSpan w:val="2"/>
            <w:vMerge/>
          </w:tcPr>
          <w:p/>
        </w:tc>
        <w:tc>
          <w:tcPr>
            <w:tcW w:type="dxa" w:w="2307"/>
          </w:tcPr>
          <w:p>
            <w:pPr>
              <w:jc w:val="left"/>
            </w:pPr>
            <w:r>
              <w:rPr/>
              <w:t>施工工期保证措施 (10.0分)</w:t>
            </w:r>
            <w:r>
              <w:rPr/>
              <w:t>，（等次分值选择：</w:t>
            </w:r>
            <w:r>
              <w:rPr/>
              <w:t>0.0;</w:t>
            </w:r>
            <w:r>
              <w:rPr/>
              <w:t>1.0;</w:t>
            </w:r>
            <w:r>
              <w:rPr/>
              <w:t>4.0;</w:t>
            </w:r>
            <w:r>
              <w:rPr/>
              <w:t>7.0;</w:t>
            </w:r>
            <w:r>
              <w:rPr/>
              <w:t>10.0;</w:t>
            </w:r>
            <w:r>
              <w:rPr/>
              <w:t>）</w:t>
            </w:r>
          </w:p>
        </w:tc>
        <w:tc>
          <w:tcPr>
            <w:tcW w:type="dxa" w:w="5076"/>
          </w:tcPr>
          <w:p>
            <w:pPr>
              <w:jc w:val="left"/>
            </w:pPr>
            <w:r>
              <w:rPr/>
              <w:t>根据投标人对本项目提供的施工进度控制和工期保证措施方案进行综合评审： （1）提供详细施工整体进度计划，进度控制和工期保证措施有明确可行的节点目标的，得10分；  （2）提供较详细施工整体进度计划，进度控制和工期保证措施有较可行的节点目标的，得7分；  （3）提供的施工整体进度计划详细性一般，进度控制和工期保证措施节点目标可行性一般，得4分； （4）有提供简略的施工整体进度计划，进度控制和工期保证措施的节点目标不够可行，得1分； （5）没有提供方案的，不得分。</w:t>
            </w:r>
          </w:p>
        </w:tc>
      </w:tr>
      <w:tr>
        <w:tc>
          <w:tcPr>
            <w:tcW w:type="dxa" w:w="922"/>
            <w:gridSpan w:val="2"/>
            <w:vMerge/>
          </w:tcPr>
          <w:p/>
        </w:tc>
        <w:tc>
          <w:tcPr>
            <w:tcW w:type="dxa" w:w="2307"/>
          </w:tcPr>
          <w:p>
            <w:pPr>
              <w:jc w:val="left"/>
            </w:pPr>
            <w:r>
              <w:rPr/>
              <w:t>质量保证措施 (10.0分)</w:t>
            </w:r>
            <w:r>
              <w:rPr/>
              <w:t>，（等次分值选择：</w:t>
            </w:r>
            <w:r>
              <w:rPr/>
              <w:t>0.0;</w:t>
            </w:r>
            <w:r>
              <w:rPr/>
              <w:t>1.0;</w:t>
            </w:r>
            <w:r>
              <w:rPr/>
              <w:t>4.0;</w:t>
            </w:r>
            <w:r>
              <w:rPr/>
              <w:t>7.0;</w:t>
            </w:r>
            <w:r>
              <w:rPr/>
              <w:t>10.0;</w:t>
            </w:r>
            <w:r>
              <w:rPr/>
              <w:t>）</w:t>
            </w:r>
          </w:p>
        </w:tc>
        <w:tc>
          <w:tcPr>
            <w:tcW w:type="dxa" w:w="5076"/>
          </w:tcPr>
          <w:p>
            <w:pPr>
              <w:jc w:val="left"/>
            </w:pPr>
            <w:r>
              <w:rPr/>
              <w:t>根据投标人对本项目提供的质量保证措施方案（包括但不限于施工质量管理、施工质量保证措施、材料质量保证措施、质量保修服务方案等）进行综合评审： （1）施工质量管理、施工质量保证措施、材料质量保证措施方案及质量保修服务方案详细合理，对主要工序、施工工艺、材料验收等的质量控制方法合理可行的，得10分； （2）施工质量管理、施工质量保证措施、材料质量保证措施方案及质量保修服务方案较好，对主要工序、施工工艺、材料验收等的质量控制方法基本合理的，得7分； （3）施工质量管理、施工质量保证措施、材料质量保证措施方案及质量保修服务方案详细合理性一般，对主要工序、施工工艺、材料验收等的质量控制方法合理可行性一般的，得4分； （4）有提交简略的施工质量管理、施工质量保证措施、材料质量保证措施方案及质量保修服务方案的，得1分； （5）没有提供方案的，不得分。</w:t>
            </w:r>
          </w:p>
        </w:tc>
      </w:tr>
      <w:tr>
        <w:tc>
          <w:tcPr>
            <w:tcW w:type="dxa" w:w="922"/>
            <w:gridSpan w:val="2"/>
            <w:vMerge/>
          </w:tcPr>
          <w:p/>
        </w:tc>
        <w:tc>
          <w:tcPr>
            <w:tcW w:type="dxa" w:w="2307"/>
          </w:tcPr>
          <w:p>
            <w:pPr>
              <w:jc w:val="left"/>
            </w:pPr>
            <w:r>
              <w:rPr/>
              <w:t>安全保证措施 (10.0分)</w:t>
            </w:r>
            <w:r>
              <w:rPr/>
              <w:t>，（等次分值选择：</w:t>
            </w:r>
            <w:r>
              <w:rPr/>
              <w:t>0.0;</w:t>
            </w:r>
            <w:r>
              <w:rPr/>
              <w:t>1.0;</w:t>
            </w:r>
            <w:r>
              <w:rPr/>
              <w:t>4.0;</w:t>
            </w:r>
            <w:r>
              <w:rPr/>
              <w:t>7.0;</w:t>
            </w:r>
            <w:r>
              <w:rPr/>
              <w:t>10.0;</w:t>
            </w:r>
            <w:r>
              <w:rPr/>
              <w:t>）</w:t>
            </w:r>
          </w:p>
        </w:tc>
        <w:tc>
          <w:tcPr>
            <w:tcW w:type="dxa" w:w="5076"/>
          </w:tcPr>
          <w:p>
            <w:pPr>
              <w:jc w:val="left"/>
            </w:pPr>
            <w:r>
              <w:rPr/>
              <w:t>根据投标人对本项目提供的安全保证措施（包括但不限于施工安全管理措施、施工安全规章制度、风险管理等）进行综合评审： （1）施工安全管理措施规范，施工安全规章制度完善，安全保护方法明确，措施 (含风险管理) 具体可行、实用性与可操作性高的，得10分； （2）施工安全管理措施比较规范，施工安全规章制度比较完善，安全保护方法较 明确，措施 (含风险管理) 基本可行、实用性与可操作性一般的，得7分； （3）施工安全管理措施规范性一般，施工安全规章制度完善性一般，安全保护方法明确性一般，措施 (含风险管理) 具体可行性、实用性与可操作性一般的，得4分； （4）有提交简略的施工安全管理措施，施工安全规章制度、风险管理的，得 1分； （5）没有提供方案的，不得分。</w:t>
            </w:r>
          </w:p>
        </w:tc>
      </w:tr>
      <w:tr>
        <w:tc>
          <w:tcPr>
            <w:tcW w:type="dxa" w:w="922"/>
            <w:gridSpan w:val="2"/>
            <w:vMerge/>
          </w:tcPr>
          <w:p/>
        </w:tc>
        <w:tc>
          <w:tcPr>
            <w:tcW w:type="dxa" w:w="2307"/>
          </w:tcPr>
          <w:p>
            <w:pPr>
              <w:jc w:val="left"/>
            </w:pPr>
            <w:r>
              <w:rPr/>
              <w:t>应急处理措施 (10.0分)</w:t>
            </w:r>
            <w:r>
              <w:rPr/>
              <w:t>，（等次分值选择：</w:t>
            </w:r>
            <w:r>
              <w:rPr/>
              <w:t>0.0;</w:t>
            </w:r>
            <w:r>
              <w:rPr/>
              <w:t>1.0;</w:t>
            </w:r>
            <w:r>
              <w:rPr/>
              <w:t>4.0;</w:t>
            </w:r>
            <w:r>
              <w:rPr/>
              <w:t>7.0;</w:t>
            </w:r>
            <w:r>
              <w:rPr/>
              <w:t>10.0;</w:t>
            </w:r>
            <w:r>
              <w:rPr/>
              <w:t>）</w:t>
            </w:r>
          </w:p>
        </w:tc>
        <w:tc>
          <w:tcPr>
            <w:tcW w:type="dxa" w:w="5076"/>
          </w:tcPr>
          <w:p>
            <w:pPr>
              <w:jc w:val="left"/>
            </w:pPr>
            <w:r>
              <w:rPr/>
              <w:t>根据投标人对本项目提供的应急处理措施（包括但不限于应急人员安排、实施应急处理的具体措施等）进行综合评审： （1）应急人员安排合理，实施应急处理的具体措施详尽可行，切合本项目情况，得10分；  （2）应急人员安排合理，实施应急处理的具体措施较完善，得7分； （3）应急人员安排合理性一般，实施应急处理的具体措施详尽可行性一般，不够切合本项目情况，得4分；  （4）有提交简略的应急人员安排、实施应急处理的具体措施，得1分；  （5）没有提供方案的，不得分。</w:t>
            </w:r>
          </w:p>
        </w:tc>
      </w:tr>
      <w:tr>
        <w:tc>
          <w:tcPr>
            <w:tcW w:type="dxa" w:w="922"/>
            <w:gridSpan w:val="2"/>
            <w:vMerge/>
          </w:tcPr>
          <w:p/>
        </w:tc>
        <w:tc>
          <w:tcPr>
            <w:tcW w:type="dxa" w:w="2307"/>
          </w:tcPr>
          <w:p>
            <w:pPr>
              <w:jc w:val="left"/>
            </w:pPr>
            <w:r>
              <w:rPr/>
              <w:t>服务响应保障措施及便利性 (10.0分)</w:t>
            </w:r>
            <w:r>
              <w:rPr/>
              <w:t>，（等次分值选择：</w:t>
            </w:r>
            <w:r>
              <w:rPr/>
              <w:t>0.0;</w:t>
            </w:r>
            <w:r>
              <w:rPr/>
              <w:t>1.0;</w:t>
            </w:r>
            <w:r>
              <w:rPr/>
              <w:t>4.0;</w:t>
            </w:r>
            <w:r>
              <w:rPr/>
              <w:t>7.0;</w:t>
            </w:r>
            <w:r>
              <w:rPr/>
              <w:t>10.0;</w:t>
            </w:r>
            <w:r>
              <w:rPr/>
              <w:t>）</w:t>
            </w:r>
          </w:p>
        </w:tc>
        <w:tc>
          <w:tcPr>
            <w:tcW w:type="dxa" w:w="5076"/>
          </w:tcPr>
          <w:p>
            <w:pPr>
              <w:jc w:val="left"/>
            </w:pPr>
            <w:r>
              <w:rPr/>
              <w:t>根据投标人提供的服务响应保障措施及便利性进行综合评分：  （1）制定的服务响应保障措施合理、可行、先进的，服务响应便利，得10分；  （2）制定的服务响应保障措施较合理、可行、较先进的，服务响应较便利，得7分；  （3）制定的服务响应保障措施合理、可行、先进性一般，服务响应便利性一般，得4分；  （4）满足项目需求，有提交服务响应保障措施、服务响应便利性较差的，得1分。 （5）没有提供方案的，不得分。</w:t>
            </w:r>
          </w:p>
        </w:tc>
      </w:tr>
      <w:tr>
        <w:tc>
          <w:tcPr>
            <w:tcW w:type="dxa" w:w="922"/>
            <w:gridSpan w:val="2"/>
            <w:vMerge w:val="restart"/>
          </w:tcPr>
          <w:p>
            <w:pPr>
              <w:jc w:val="center"/>
            </w:pPr>
            <w:r>
              <w:rPr/>
              <w:t>商务部分</w:t>
            </w:r>
          </w:p>
        </w:tc>
        <w:tc>
          <w:tcPr>
            <w:tcW w:type="dxa" w:w="2307"/>
          </w:tcPr>
          <w:p>
            <w:pPr>
              <w:jc w:val="left"/>
            </w:pPr>
            <w:r>
              <w:rPr/>
              <w:t>同类项目业绩 (10.0分)</w:t>
            </w:r>
          </w:p>
        </w:tc>
        <w:tc>
          <w:tcPr>
            <w:tcW w:type="dxa" w:w="5076"/>
          </w:tcPr>
          <w:p>
            <w:pPr>
              <w:jc w:val="left"/>
            </w:pPr>
            <w:r>
              <w:rPr/>
              <w:t>投标人自2020年1月1日以来（以合同签订时间为准）独立承接过的同类项目业绩，每提供1项，得2分，本项最高得10分。 注： 须提供合同关键页复印件并加盖投标人公章（须包括项目名称、合同签订时间、项目主要内容和双方盖章页）。是否属于同类项目业绩由评标委员会判定。</w:t>
            </w:r>
          </w:p>
        </w:tc>
      </w:tr>
      <w:tr>
        <w:tc>
          <w:tcPr>
            <w:tcW w:type="dxa" w:w="922"/>
            <w:gridSpan w:val="2"/>
            <w:vMerge/>
          </w:tcPr>
          <w:p/>
        </w:tc>
        <w:tc>
          <w:tcPr>
            <w:tcW w:type="dxa" w:w="2307"/>
          </w:tcPr>
          <w:p>
            <w:pPr>
              <w:jc w:val="left"/>
            </w:pPr>
            <w:r>
              <w:rPr/>
              <w:t>企业管理体系认证 (9.0分)</w:t>
            </w:r>
          </w:p>
        </w:tc>
        <w:tc>
          <w:tcPr>
            <w:tcW w:type="dxa" w:w="5076"/>
          </w:tcPr>
          <w:p>
            <w:pPr>
              <w:jc w:val="left"/>
            </w:pPr>
            <w:r>
              <w:rPr/>
              <w:t>投标人具有以下证书且证书处于有效期内的：  （1）质量管理体系认证证书；  （2）环境管理体系认证证书；  （3）职业健康安全管理体系认证证书。  每具备1项，得3分，最高得9分。 注： 须提供证书复印件并加盖投标人公章。</w:t>
            </w:r>
          </w:p>
        </w:tc>
      </w:tr>
      <w:tr>
        <w:tc>
          <w:tcPr>
            <w:tcW w:type="dxa" w:w="922"/>
            <w:gridSpan w:val="2"/>
            <w:vMerge/>
          </w:tcPr>
          <w:p/>
        </w:tc>
        <w:tc>
          <w:tcPr>
            <w:tcW w:type="dxa" w:w="2307"/>
          </w:tcPr>
          <w:p>
            <w:pPr>
              <w:jc w:val="left"/>
            </w:pPr>
            <w:r>
              <w:rPr/>
              <w:t>施工机械设备 (11.0分)</w:t>
            </w:r>
          </w:p>
        </w:tc>
        <w:tc>
          <w:tcPr>
            <w:tcW w:type="dxa" w:w="5076"/>
          </w:tcPr>
          <w:p>
            <w:pPr>
              <w:jc w:val="left"/>
            </w:pPr>
            <w:r>
              <w:rPr/>
              <w:t>投标人针对本项目所投入的施工机械设备在满足本项目招标文件技术标准与要求的基础上： （1）核定载质量为3吨或以上的货车2辆的基础上，每增加一辆，得1.5分，最高得3分； （2）挖掘机1台的基础上，每增加一台，得2分，最高得4分；  （3）吊臂车1台的基础上，每增加一台，得2分，最高得4分；  本项最高得11分。  注： 1.自有施工机械设备：同时提供①购买发票复印件，施工机械设备须在投标人或其股东名下（须提供工商行政管理部门出具的《核准登记通知书》，以证明其股东身份）、②货车、吊臂车还需提供行驶证；不提供不得分。  2.租赁施工机械设备：同时提供①以投标人名义租赁的租赁合同复印件，②货车、吊臂车还需提供行驶证；不提供不得分。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t>采购包3(2023-2025年度容桂街道零散市政设施破损修复维护项目):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技术部分55.0分</w:t>
            </w:r>
          </w:p>
          <w:p>
            <w:r>
              <w:rPr/>
              <w:t>报价得分15.0分</w:t>
            </w:r>
          </w:p>
        </w:tc>
      </w:tr>
      <w:tr>
        <w:tc>
          <w:tcPr>
            <w:tcW w:type="dxa" w:w="922"/>
            <w:gridSpan w:val="2"/>
            <w:vMerge w:val="restart"/>
          </w:tcPr>
          <w:p>
            <w:pPr>
              <w:jc w:val="center"/>
            </w:pPr>
            <w:r>
              <w:rPr/>
              <w:t>技术部分</w:t>
            </w:r>
          </w:p>
        </w:tc>
        <w:tc>
          <w:tcPr>
            <w:tcW w:type="dxa" w:w="2307"/>
          </w:tcPr>
          <w:p>
            <w:pPr>
              <w:jc w:val="left"/>
            </w:pPr>
            <w:r>
              <w:rPr/>
              <w:t>项目整体理解程度 (5.0分)</w:t>
            </w:r>
            <w:r>
              <w:rPr/>
              <w:t>，（等次分值选择：</w:t>
            </w:r>
            <w:r>
              <w:rPr/>
              <w:t>0.0;</w:t>
            </w:r>
            <w:r>
              <w:rPr/>
              <w:t>1.0;</w:t>
            </w:r>
            <w:r>
              <w:rPr/>
              <w:t>3.0;</w:t>
            </w:r>
            <w:r>
              <w:rPr/>
              <w:t>5.0;</w:t>
            </w:r>
            <w:r>
              <w:rPr/>
              <w:t>）</w:t>
            </w:r>
          </w:p>
        </w:tc>
        <w:tc>
          <w:tcPr>
            <w:tcW w:type="dxa" w:w="5076"/>
          </w:tcPr>
          <w:p>
            <w:pPr>
              <w:jc w:val="left"/>
            </w:pPr>
            <w:r>
              <w:rPr/>
              <w:t>根据投标人对本项目现状的了解情况、整体要求的解读进行综合评审：   （1）对本项目需求、目标分析完整到位、理解深入全面，得5分；  （2）对本项目需求、目标分析较全面，得3分；  （3）对本项目需求、目标分析基本到位，得1分；  （4）没有提供方案的，不得分。</w:t>
            </w:r>
          </w:p>
        </w:tc>
      </w:tr>
      <w:tr>
        <w:tc>
          <w:tcPr>
            <w:tcW w:type="dxa" w:w="922"/>
            <w:gridSpan w:val="2"/>
            <w:vMerge/>
          </w:tcPr>
          <w:p/>
        </w:tc>
        <w:tc>
          <w:tcPr>
            <w:tcW w:type="dxa" w:w="2307"/>
          </w:tcPr>
          <w:p>
            <w:pPr>
              <w:jc w:val="left"/>
            </w:pPr>
            <w:r>
              <w:rPr/>
              <w:t>施工工期保证措施 (10.0分)</w:t>
            </w:r>
            <w:r>
              <w:rPr/>
              <w:t>，（等次分值选择：</w:t>
            </w:r>
            <w:r>
              <w:rPr/>
              <w:t>0.0;</w:t>
            </w:r>
            <w:r>
              <w:rPr/>
              <w:t>1.0;</w:t>
            </w:r>
            <w:r>
              <w:rPr/>
              <w:t>4.0;</w:t>
            </w:r>
            <w:r>
              <w:rPr/>
              <w:t>7.0;</w:t>
            </w:r>
            <w:r>
              <w:rPr/>
              <w:t>10.0;</w:t>
            </w:r>
            <w:r>
              <w:rPr/>
              <w:t>）</w:t>
            </w:r>
          </w:p>
        </w:tc>
        <w:tc>
          <w:tcPr>
            <w:tcW w:type="dxa" w:w="5076"/>
          </w:tcPr>
          <w:p>
            <w:pPr>
              <w:jc w:val="left"/>
            </w:pPr>
            <w:r>
              <w:rPr/>
              <w:t>根据投标人对本项目提供的施工进度控制和工期保证措施方案进行综合评审： （1）提供详细施工整体进度计划，进度控制和工期保证措施有明确可行的节点目标的，得10分；  （2）提供较详细施工整体进度计划，进度控制和工期保证措施有较可行的节点目标的，得7分；  （3）提供的施工整体进度计划详细性一般，进度控制和工期保证措施节点目标可行性一般，得4分； （4）有提供简略的施工整体进度计划，进度控制和工期保证措施的节点目标不够可行，得1分； （5）没有提供方案的，不得分。</w:t>
            </w:r>
          </w:p>
        </w:tc>
      </w:tr>
      <w:tr>
        <w:tc>
          <w:tcPr>
            <w:tcW w:type="dxa" w:w="922"/>
            <w:gridSpan w:val="2"/>
            <w:vMerge/>
          </w:tcPr>
          <w:p/>
        </w:tc>
        <w:tc>
          <w:tcPr>
            <w:tcW w:type="dxa" w:w="2307"/>
          </w:tcPr>
          <w:p>
            <w:pPr>
              <w:jc w:val="left"/>
            </w:pPr>
            <w:r>
              <w:rPr/>
              <w:t>质量保证措施 (10.0分)</w:t>
            </w:r>
            <w:r>
              <w:rPr/>
              <w:t>，（等次分值选择：</w:t>
            </w:r>
            <w:r>
              <w:rPr/>
              <w:t>0.0;</w:t>
            </w:r>
            <w:r>
              <w:rPr/>
              <w:t>1.0;</w:t>
            </w:r>
            <w:r>
              <w:rPr/>
              <w:t>4.0;</w:t>
            </w:r>
            <w:r>
              <w:rPr/>
              <w:t>7.0;</w:t>
            </w:r>
            <w:r>
              <w:rPr/>
              <w:t>10.0;</w:t>
            </w:r>
            <w:r>
              <w:rPr/>
              <w:t>）</w:t>
            </w:r>
          </w:p>
        </w:tc>
        <w:tc>
          <w:tcPr>
            <w:tcW w:type="dxa" w:w="5076"/>
          </w:tcPr>
          <w:p>
            <w:pPr>
              <w:jc w:val="left"/>
            </w:pPr>
            <w:r>
              <w:rPr/>
              <w:t>根据投标人对本项目提供的质量保证措施方案（包括但不限于施工质量管理、施工质量保证措施、材料质量保证措施、质量保修服务方案等）进行综合评审： （1）施工质量管理、施工质量保证措施、材料质量保证措施方案及质量保修服务方案详细合理，对主要工序、施工工艺、材料验收等的质量控制方法合理可行的，得10分； （2）施工质量管理、施工质量保证措施、材料质量保证措施方案及质量保修服务方案较好，对主要工序、施工工艺、材料验收等的质量控制方法基本合理的，得7分； （3）施工质量管理、施工质量保证措施、材料质量保证措施方案及质量保修服务方案详细合理性一般，对主要工序、施工工艺、材料验收等的质量控制方法合理可行性一般的，得4分； （4）有提交简略的施工质量管理、施工质量保证措施、材料质量保证措施方案及质量保修服务方案的，得1分； （5）没有提供方案的，不得分。</w:t>
            </w:r>
          </w:p>
        </w:tc>
      </w:tr>
      <w:tr>
        <w:tc>
          <w:tcPr>
            <w:tcW w:type="dxa" w:w="922"/>
            <w:gridSpan w:val="2"/>
            <w:vMerge/>
          </w:tcPr>
          <w:p/>
        </w:tc>
        <w:tc>
          <w:tcPr>
            <w:tcW w:type="dxa" w:w="2307"/>
          </w:tcPr>
          <w:p>
            <w:pPr>
              <w:jc w:val="left"/>
            </w:pPr>
            <w:r>
              <w:rPr/>
              <w:t>安全保证措施 (10.0分)</w:t>
            </w:r>
            <w:r>
              <w:rPr/>
              <w:t>，（等次分值选择：</w:t>
            </w:r>
            <w:r>
              <w:rPr/>
              <w:t>0.0;</w:t>
            </w:r>
            <w:r>
              <w:rPr/>
              <w:t>1.0;</w:t>
            </w:r>
            <w:r>
              <w:rPr/>
              <w:t>4.0;</w:t>
            </w:r>
            <w:r>
              <w:rPr/>
              <w:t>7.0;</w:t>
            </w:r>
            <w:r>
              <w:rPr/>
              <w:t>10.0;</w:t>
            </w:r>
            <w:r>
              <w:rPr/>
              <w:t>）</w:t>
            </w:r>
          </w:p>
        </w:tc>
        <w:tc>
          <w:tcPr>
            <w:tcW w:type="dxa" w:w="5076"/>
          </w:tcPr>
          <w:p>
            <w:pPr>
              <w:jc w:val="left"/>
            </w:pPr>
            <w:r>
              <w:rPr/>
              <w:t>根据投标人对本项目提供的安全保证措施（包括但不限于施工安全管理措施、施工安全规章制度、风险管理等）进行综合评审： （1）施工安全管理措施规范，施工安全规章制度完善，安全保护方法明确，措施 (含风险管理) 具体可行、实用性与可操作性高的，得10分； （2）施工安全管理措施比较规范，施工安全规章制度比较完善，安全保护方法较 明确，措施 (含风险管理) 基本可行、实用性与可操作性一般的，得7分； （3）施工安全管理措施规范性一般，施工安全规章制度完善性一般，安全保护方法明确性一般，措施 (含风险管理) 具体可行性、实用性与可操作性一般的，得4分； （4）有提交简略的施工安全管理措施，施工安全规章制度、风险管理的，得 1分； （5）没有提供方案的，不得分。</w:t>
            </w:r>
          </w:p>
        </w:tc>
      </w:tr>
      <w:tr>
        <w:tc>
          <w:tcPr>
            <w:tcW w:type="dxa" w:w="922"/>
            <w:gridSpan w:val="2"/>
            <w:vMerge/>
          </w:tcPr>
          <w:p/>
        </w:tc>
        <w:tc>
          <w:tcPr>
            <w:tcW w:type="dxa" w:w="2307"/>
          </w:tcPr>
          <w:p>
            <w:pPr>
              <w:jc w:val="left"/>
            </w:pPr>
            <w:r>
              <w:rPr/>
              <w:t>应急处理措施 (10.0分)</w:t>
            </w:r>
            <w:r>
              <w:rPr/>
              <w:t>，（等次分值选择：</w:t>
            </w:r>
            <w:r>
              <w:rPr/>
              <w:t>0.0;</w:t>
            </w:r>
            <w:r>
              <w:rPr/>
              <w:t>1.0;</w:t>
            </w:r>
            <w:r>
              <w:rPr/>
              <w:t>4.0;</w:t>
            </w:r>
            <w:r>
              <w:rPr/>
              <w:t>7.0;</w:t>
            </w:r>
            <w:r>
              <w:rPr/>
              <w:t>10.0;</w:t>
            </w:r>
            <w:r>
              <w:rPr/>
              <w:t>）</w:t>
            </w:r>
          </w:p>
        </w:tc>
        <w:tc>
          <w:tcPr>
            <w:tcW w:type="dxa" w:w="5076"/>
          </w:tcPr>
          <w:p>
            <w:pPr>
              <w:jc w:val="left"/>
            </w:pPr>
            <w:r>
              <w:rPr/>
              <w:t>根据投标人对本项目提供的应急处理措施（包括但不限于应急人员安排、实施应急处理的具体措施等）进行综合评审： （1）应急人员安排合理，实施应急处理的具体措施详尽可行，切合本项目情况，得10分；  （2）应急人员安排合理，实施应急处理的具体措施较完善，得7分； （3）应急人员安排合理性一般，实施应急处理的具体措施详尽可行性一般，不够切合本项目情况，得4分；  （4）有提交简略的应急人员安排、实施应急处理的具体措施，得1分；  （5）没有提供方案的，不得分。</w:t>
            </w:r>
          </w:p>
        </w:tc>
      </w:tr>
      <w:tr>
        <w:tc>
          <w:tcPr>
            <w:tcW w:type="dxa" w:w="922"/>
            <w:gridSpan w:val="2"/>
            <w:vMerge/>
          </w:tcPr>
          <w:p/>
        </w:tc>
        <w:tc>
          <w:tcPr>
            <w:tcW w:type="dxa" w:w="2307"/>
          </w:tcPr>
          <w:p>
            <w:pPr>
              <w:jc w:val="left"/>
            </w:pPr>
            <w:r>
              <w:rPr/>
              <w:t>服务响应保障措施及便利性 (10.0分)</w:t>
            </w:r>
            <w:r>
              <w:rPr/>
              <w:t>，（等次分值选择：</w:t>
            </w:r>
            <w:r>
              <w:rPr/>
              <w:t>0.0;</w:t>
            </w:r>
            <w:r>
              <w:rPr/>
              <w:t>1.0;</w:t>
            </w:r>
            <w:r>
              <w:rPr/>
              <w:t>4.0;</w:t>
            </w:r>
            <w:r>
              <w:rPr/>
              <w:t>7.0;</w:t>
            </w:r>
            <w:r>
              <w:rPr/>
              <w:t>10.0;</w:t>
            </w:r>
            <w:r>
              <w:rPr/>
              <w:t>）</w:t>
            </w:r>
          </w:p>
        </w:tc>
        <w:tc>
          <w:tcPr>
            <w:tcW w:type="dxa" w:w="5076"/>
          </w:tcPr>
          <w:p>
            <w:pPr>
              <w:jc w:val="left"/>
            </w:pPr>
            <w:r>
              <w:rPr/>
              <w:t>根据投标人提供的服务响应保障措施及便利性进行综合评分：  （1）制定的服务响应保障措施合理、可行、先进的，服务响应便利，得10分；  （2）制定的服务响应保障措施较合理、可行、较先进的，服务响应较便利，得7分；  （3）制定的服务响应保障措施合理、可行、先进性一般，服务响应便利性一般，得4分；  （4）满足项目需求，有提交服务响应保障措施、服务响应便利性较差的，得1分。 （5）没有提供方案的，不得分。</w:t>
            </w:r>
          </w:p>
        </w:tc>
      </w:tr>
      <w:tr>
        <w:tc>
          <w:tcPr>
            <w:tcW w:type="dxa" w:w="922"/>
            <w:gridSpan w:val="2"/>
            <w:vMerge w:val="restart"/>
          </w:tcPr>
          <w:p>
            <w:pPr>
              <w:jc w:val="center"/>
            </w:pPr>
            <w:r>
              <w:rPr/>
              <w:t>商务部分</w:t>
            </w:r>
          </w:p>
        </w:tc>
        <w:tc>
          <w:tcPr>
            <w:tcW w:type="dxa" w:w="2307"/>
          </w:tcPr>
          <w:p>
            <w:pPr>
              <w:jc w:val="left"/>
            </w:pPr>
            <w:r>
              <w:rPr/>
              <w:t>同类项目业绩 (10.0分)</w:t>
            </w:r>
          </w:p>
        </w:tc>
        <w:tc>
          <w:tcPr>
            <w:tcW w:type="dxa" w:w="5076"/>
          </w:tcPr>
          <w:p>
            <w:pPr>
              <w:jc w:val="left"/>
            </w:pPr>
            <w:r>
              <w:rPr/>
              <w:t>投标人自2020年1月1日以来（以合同签订时间为准）独立承接过的同类项目业绩，每提供1项，得2分，本项最高得10分。 注： 须提供合同关键页复印件并加盖投标人公章（须包括项目名称、合同签订时间、项目主要内容和双方盖章页）。是否属于同类项目业绩由评标委员会判定。</w:t>
            </w:r>
          </w:p>
        </w:tc>
      </w:tr>
      <w:tr>
        <w:tc>
          <w:tcPr>
            <w:tcW w:type="dxa" w:w="922"/>
            <w:gridSpan w:val="2"/>
            <w:vMerge/>
          </w:tcPr>
          <w:p/>
        </w:tc>
        <w:tc>
          <w:tcPr>
            <w:tcW w:type="dxa" w:w="2307"/>
          </w:tcPr>
          <w:p>
            <w:pPr>
              <w:jc w:val="left"/>
            </w:pPr>
            <w:r>
              <w:rPr/>
              <w:t>企业管理体系认证 (9.0分)</w:t>
            </w:r>
          </w:p>
        </w:tc>
        <w:tc>
          <w:tcPr>
            <w:tcW w:type="dxa" w:w="5076"/>
          </w:tcPr>
          <w:p>
            <w:pPr>
              <w:jc w:val="left"/>
            </w:pPr>
            <w:r>
              <w:rPr/>
              <w:t>投标人具有以下证书且证书处于有效期内的：  （1）质量管理体系认证证书；  （2）环境管理体系认证证书；  （3）职业健康安全管理体系认证证书。  每具备1项，得3分，最高得9分。 注： 须提供证书复印件并加盖投标人公章。</w:t>
            </w:r>
          </w:p>
        </w:tc>
      </w:tr>
      <w:tr>
        <w:tc>
          <w:tcPr>
            <w:tcW w:type="dxa" w:w="922"/>
            <w:gridSpan w:val="2"/>
            <w:vMerge/>
          </w:tcPr>
          <w:p/>
        </w:tc>
        <w:tc>
          <w:tcPr>
            <w:tcW w:type="dxa" w:w="2307"/>
          </w:tcPr>
          <w:p>
            <w:pPr>
              <w:jc w:val="left"/>
            </w:pPr>
            <w:r>
              <w:rPr/>
              <w:t>施工机械设备 (11.0分)</w:t>
            </w:r>
          </w:p>
        </w:tc>
        <w:tc>
          <w:tcPr>
            <w:tcW w:type="dxa" w:w="5076"/>
          </w:tcPr>
          <w:p>
            <w:pPr>
              <w:jc w:val="left"/>
            </w:pPr>
            <w:r>
              <w:rPr/>
              <w:t>投标人针对本项目所投入的施工机械设备在满足本项目招标文件技术标准与要求的基础上： （1）核定载质量为3吨或以上的货车2辆的基础上，每增加一辆，得1.5分，最高得3分； （2）挖掘机1台的基础上，每增加一台，得2分，最高得4分；  （3）吊臂车1台的基础上，每增加一台，得2分，最高得4分；  本项最高得11分。  注： 1.自有施工机械设备：同时提供①购买发票复印件，施工机械设备须在投标人或其股东名下（须提供工商行政管理部门出具的《核准登记通知书》，以证明其股东身份）、②货车、吊臂车还需提供行驶证；不提供不得分。  2.租赁施工机械设备：同时提供①以投标人名义租赁的租赁合同复印件，②货车、吊臂车还需提供行驶证；不提供不得分。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p>
    <w:p>
      <w:pPr>
        <w:jc w:val="center"/>
      </w:pPr>
    </w:p>
    <w:p>
      <w:pPr>
        <w:jc w:val="center"/>
      </w:pPr>
    </w:p>
    <w:p>
      <w:pPr>
        <w:jc w:val="center"/>
      </w:pPr>
      <w:r>
        <w:rPr>
          <w:b/>
          <w:sz w:val="68"/>
        </w:rPr>
        <w:t>佛山市政府采购项目合同书</w:t>
      </w:r>
    </w:p>
    <w:p>
      <w:pPr>
        <w:jc w:val="center"/>
      </w:pPr>
      <w:r>
        <w:rPr>
          <w:sz w:val="21"/>
        </w:rPr>
        <w:t xml:space="preserve"> </w:t>
      </w:r>
    </w:p>
    <w:p>
      <w:pPr>
        <w:ind w:firstLine="480"/>
        <w:jc w:val="center"/>
      </w:pPr>
      <w:r>
        <w:rPr>
          <w:sz w:val="21"/>
        </w:rPr>
        <w:t xml:space="preserve"> </w:t>
      </w:r>
    </w:p>
    <w:p>
      <w:pPr>
        <w:jc w:val="center"/>
      </w:pPr>
      <w:r>
        <w:rPr>
          <w:sz w:val="21"/>
        </w:rPr>
        <w:t xml:space="preserve"> </w:t>
      </w:r>
    </w:p>
    <w:p>
      <w:pPr>
        <w:jc w:val="center"/>
      </w:pPr>
      <w:r>
        <w:rPr>
          <w:sz w:val="21"/>
        </w:rPr>
        <w:t xml:space="preserve"> </w:t>
      </w:r>
    </w:p>
    <w:p>
      <w:pPr>
        <w:jc w:val="both"/>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ind w:firstLine="1484"/>
        <w:jc w:val="both"/>
      </w:pPr>
      <w:r>
        <w:rPr>
          <w:b/>
          <w:sz w:val="32"/>
        </w:rPr>
        <w:t>项目编号：</w:t>
      </w:r>
      <w:r>
        <w:rPr>
          <w:b/>
          <w:sz w:val="21"/>
          <w:u w:val="single"/>
        </w:rPr>
        <w:t xml:space="preserve">                    </w:t>
      </w:r>
    </w:p>
    <w:p>
      <w:pPr>
        <w:ind w:firstLine="1484"/>
        <w:jc w:val="both"/>
      </w:pPr>
      <w:r>
        <w:rPr>
          <w:b/>
          <w:sz w:val="32"/>
        </w:rPr>
        <w:t>项目名称：</w:t>
      </w:r>
      <w:r>
        <w:rPr>
          <w:b/>
          <w:sz w:val="32"/>
          <w:u w:val="single"/>
        </w:rPr>
        <w:t>2023-2025</w:t>
      </w:r>
      <w:r>
        <w:rPr>
          <w:b/>
          <w:sz w:val="32"/>
          <w:u w:val="single"/>
        </w:rPr>
        <w:t>年度容桂街道零散市政设施破损修复维护项目</w:t>
      </w:r>
    </w:p>
    <w:p>
      <w:pPr>
        <w:ind w:firstLine="1484"/>
        <w:jc w:val="both"/>
      </w:pPr>
      <w:r>
        <w:rPr>
          <w:b/>
          <w:sz w:val="32"/>
        </w:rPr>
        <w:t>合</w:t>
      </w:r>
      <w:r>
        <w:rPr>
          <w:b/>
          <w:sz w:val="21"/>
        </w:rPr>
        <w:t xml:space="preserve"> </w:t>
      </w:r>
      <w:r>
        <w:rPr>
          <w:b/>
          <w:sz w:val="32"/>
        </w:rPr>
        <w:t>同</w:t>
      </w:r>
      <w:r>
        <w:rPr>
          <w:b/>
          <w:sz w:val="21"/>
        </w:rPr>
        <w:t xml:space="preserve"> </w:t>
      </w:r>
      <w:r>
        <w:rPr>
          <w:b/>
          <w:sz w:val="32"/>
        </w:rPr>
        <w:t>包（片区）：</w:t>
      </w:r>
      <w:r>
        <w:rPr>
          <w:b/>
          <w:sz w:val="21"/>
          <w:u w:val="single"/>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both"/>
      </w:pPr>
    </w:p>
    <w:p>
      <w:pPr>
        <w:jc w:val="both"/>
      </w:pPr>
    </w:p>
    <w:p>
      <w:pPr>
        <w:jc w:val="both"/>
      </w:pPr>
    </w:p>
    <w:p>
      <w:pPr>
        <w:jc w:val="both"/>
      </w:pPr>
    </w:p>
    <w:p>
      <w:pPr>
        <w:jc w:val="center"/>
      </w:pPr>
      <w:r>
        <w:rPr>
          <w:sz w:val="21"/>
        </w:rPr>
        <w:t xml:space="preserve"> </w:t>
      </w:r>
    </w:p>
    <w:p>
      <w:pPr>
        <w:jc w:val="center"/>
      </w:pPr>
      <w:r>
        <w:rPr>
          <w:sz w:val="21"/>
        </w:rPr>
        <w:t xml:space="preserve"> </w:t>
      </w:r>
    </w:p>
    <w:p>
      <w:pPr>
        <w:jc w:val="both"/>
      </w:pP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659"/>
        <w:gridCol w:w="5647"/>
      </w:tblGrid>
      <w:tr>
        <w:tc>
          <w:tcPr>
            <w:tcW w:type="dxa" w:w="2659"/>
            <w:tcBorders>
              <w:top w:val="none" w:color="000000" w:sz="4"/>
              <w:left w:val="none" w:color="000000" w:sz="4"/>
              <w:bottom w:val="none" w:color="000000" w:sz="4"/>
              <w:right w:val="none" w:color="000000" w:sz="4"/>
            </w:tcBorders>
            <w:vAlign w:val="top"/>
          </w:tcPr>
          <w:p>
            <w:pPr>
              <w:jc w:val="center"/>
            </w:pPr>
            <w:r>
              <w:rPr>
                <w:sz w:val="28"/>
              </w:rPr>
              <w:t>甲</w:t>
            </w:r>
            <w:r>
              <w:rPr>
                <w:sz w:val="21"/>
              </w:rPr>
              <w:t xml:space="preserve">  </w:t>
            </w:r>
            <w:r>
              <w:rPr>
                <w:sz w:val="28"/>
              </w:rPr>
              <w:t>方（采购人）：</w:t>
            </w:r>
          </w:p>
        </w:tc>
        <w:tc>
          <w:tcPr>
            <w:tcW w:type="dxa" w:w="5647"/>
            <w:tcBorders>
              <w:top w:val="none" w:color="000000" w:sz="4"/>
              <w:left w:val="none" w:color="000000" w:sz="4"/>
              <w:bottom w:val="none" w:color="000000" w:sz="4"/>
              <w:right w:val="none" w:color="000000" w:sz="4"/>
            </w:tcBorders>
            <w:vAlign w:val="top"/>
          </w:tcPr>
          <w:p>
            <w:pPr>
              <w:jc w:val="left"/>
            </w:pPr>
            <w:r>
              <w:rPr>
                <w:sz w:val="28"/>
                <w:u w:val="single"/>
              </w:rPr>
              <w:t>佛山市顺德区容桂街道综合行政执法办公室</w:t>
            </w:r>
          </w:p>
        </w:tc>
      </w:tr>
      <w:tr>
        <w:tc>
          <w:tcPr>
            <w:tcW w:type="dxa" w:w="2659"/>
            <w:tcBorders>
              <w:top w:val="none" w:color="000000" w:sz="4"/>
              <w:left w:val="none" w:color="000000" w:sz="4"/>
              <w:bottom w:val="none" w:color="000000" w:sz="4"/>
              <w:right w:val="none" w:color="000000" w:sz="4"/>
            </w:tcBorders>
            <w:vAlign w:val="top"/>
          </w:tcPr>
          <w:p>
            <w:pPr>
              <w:jc w:val="center"/>
            </w:pPr>
            <w:r>
              <w:rPr>
                <w:sz w:val="28"/>
              </w:rPr>
              <w:t>乙</w:t>
            </w:r>
            <w:r>
              <w:rPr>
                <w:sz w:val="21"/>
              </w:rPr>
              <w:t xml:space="preserve">  </w:t>
            </w:r>
            <w:r>
              <w:rPr>
                <w:sz w:val="28"/>
              </w:rPr>
              <w:t>方（中标人）：</w:t>
            </w:r>
          </w:p>
        </w:tc>
        <w:tc>
          <w:tcPr>
            <w:tcW w:type="dxa" w:w="5647"/>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（中标人名称）</w:t>
            </w:r>
            <w:r>
              <w:rPr>
                <w:sz w:val="21"/>
                <w:u w:val="single"/>
              </w:rPr>
              <w:t xml:space="preserve">                     </w:t>
            </w:r>
          </w:p>
        </w:tc>
      </w:tr>
      <w:tr>
        <w:tc>
          <w:tcPr>
            <w:tcW w:type="dxa" w:w="2659"/>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5647"/>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年</w:t>
            </w:r>
            <w:r>
              <w:rPr>
                <w:sz w:val="21"/>
                <w:u w:val="single"/>
              </w:rPr>
              <w:t xml:space="preserve">     </w:t>
            </w:r>
            <w:r>
              <w:rPr>
                <w:sz w:val="28"/>
                <w:u w:val="single"/>
              </w:rPr>
              <w:t>月</w:t>
            </w:r>
            <w:r>
              <w:rPr>
                <w:sz w:val="21"/>
                <w:u w:val="single"/>
              </w:rPr>
              <w:t xml:space="preserve">     </w:t>
            </w:r>
            <w:r>
              <w:rPr>
                <w:sz w:val="28"/>
                <w:u w:val="single"/>
              </w:rPr>
              <w:t>日</w:t>
            </w:r>
            <w:r>
              <w:rPr>
                <w:sz w:val="21"/>
                <w:u w:val="single"/>
              </w:rPr>
              <w:t xml:space="preserve">                  </w:t>
            </w:r>
          </w:p>
        </w:tc>
      </w:tr>
    </w:tbl>
    <w:p>
      <w:pPr>
        <w:jc w:val="center"/>
      </w:pPr>
      <w:r>
        <w:rPr>
          <w:sz w:val="21"/>
        </w:rPr>
        <w:t xml:space="preserve"> </w:t>
      </w:r>
    </w:p>
    <w:p>
      <w:pPr>
        <w:jc w:val="center"/>
      </w:pPr>
      <w:r>
        <w:rPr>
          <w:sz w:val="21"/>
        </w:rPr>
        <w:t xml:space="preserve"> </w:t>
      </w:r>
    </w:p>
    <w:p>
      <w:pPr>
        <w:jc w:val="center"/>
      </w:pPr>
      <w:r>
        <w:rPr>
          <w:sz w:val="21"/>
        </w:rPr>
        <w:t xml:space="preserve"> </w:t>
      </w:r>
    </w:p>
    <w:p>
      <w:pPr>
        <w:jc w:val="center"/>
      </w:pPr>
    </w:p>
    <w:p>
      <w:pPr>
        <w:jc w:val="both"/>
      </w:pPr>
    </w:p>
    <w:p>
      <w:pPr>
        <w:jc w:val="center"/>
      </w:pPr>
      <w:r>
        <w:rPr>
          <w:b/>
          <w:sz w:val="44"/>
        </w:rPr>
        <w:t>佛山市政府采购项目合同书</w:t>
      </w:r>
    </w:p>
    <w:p>
      <w:pPr>
        <w:jc w:val="both"/>
      </w:pPr>
      <w:r>
        <w:rPr>
          <w:sz w:val="21"/>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298"/>
        <w:gridCol w:w="6008"/>
      </w:tblGrid>
      <w:tr>
        <w:tc>
          <w:tcPr>
            <w:tcW w:type="dxa" w:w="2298"/>
            <w:tcBorders>
              <w:top w:val="none" w:color="000000" w:sz="4"/>
              <w:left w:val="none" w:color="000000" w:sz="4"/>
              <w:bottom w:val="none" w:color="000000" w:sz="4"/>
              <w:right w:val="none" w:color="000000" w:sz="4"/>
            </w:tcBorders>
            <w:vAlign w:val="top"/>
          </w:tcPr>
          <w:p>
            <w:pPr>
              <w:jc w:val="both"/>
            </w:pPr>
            <w:r>
              <w:rPr>
                <w:b/>
                <w:sz w:val="24"/>
              </w:rPr>
              <w:t>项目名称：</w:t>
            </w:r>
          </w:p>
        </w:tc>
        <w:tc>
          <w:tcPr>
            <w:tcW w:type="dxa" w:w="6008"/>
            <w:tcBorders>
              <w:top w:val="none" w:color="000000" w:sz="4"/>
              <w:left w:val="none" w:color="000000" w:sz="4"/>
              <w:bottom w:val="none" w:color="000000" w:sz="4"/>
              <w:right w:val="none" w:color="000000" w:sz="4"/>
            </w:tcBorders>
            <w:vAlign w:val="top"/>
          </w:tcPr>
          <w:p>
            <w:pPr>
              <w:jc w:val="left"/>
            </w:pPr>
            <w:r>
              <w:rPr>
                <w:sz w:val="24"/>
                <w:u w:val="single"/>
              </w:rPr>
              <w:t>2023-2025</w:t>
            </w:r>
            <w:r>
              <w:rPr>
                <w:sz w:val="24"/>
                <w:u w:val="single"/>
              </w:rPr>
              <w:t>年度容桂街道零散市政设施破损修复维护项目</w:t>
            </w:r>
          </w:p>
        </w:tc>
      </w:tr>
      <w:tr>
        <w:tc>
          <w:tcPr>
            <w:tcW w:type="dxa" w:w="2298"/>
            <w:tcBorders>
              <w:top w:val="none" w:color="000000" w:sz="4"/>
              <w:left w:val="none" w:color="000000" w:sz="4"/>
              <w:bottom w:val="none" w:color="000000" w:sz="4"/>
              <w:right w:val="none" w:color="000000" w:sz="4"/>
            </w:tcBorders>
            <w:vAlign w:val="top"/>
          </w:tcPr>
          <w:p>
            <w:pPr>
              <w:jc w:val="both"/>
            </w:pPr>
            <w:r>
              <w:rPr>
                <w:b/>
                <w:sz w:val="24"/>
              </w:rPr>
              <w:t>项目编号：</w:t>
            </w:r>
          </w:p>
        </w:tc>
        <w:tc>
          <w:tcPr>
            <w:tcW w:type="dxa" w:w="6008"/>
            <w:tcBorders>
              <w:top w:val="none" w:color="000000" w:sz="4"/>
              <w:left w:val="none" w:color="000000" w:sz="4"/>
              <w:bottom w:val="none" w:color="000000" w:sz="4"/>
              <w:right w:val="none" w:color="000000" w:sz="4"/>
            </w:tcBorders>
            <w:vAlign w:val="top"/>
          </w:tcPr>
          <w:p>
            <w:pPr>
              <w:jc w:val="both"/>
            </w:pPr>
            <w:r>
              <w:rPr>
                <w:sz w:val="21"/>
                <w:u w:val="single"/>
              </w:rPr>
              <w:t xml:space="preserve">                   </w:t>
            </w:r>
          </w:p>
        </w:tc>
      </w:tr>
      <w:tr>
        <w:tc>
          <w:tcPr>
            <w:tcW w:type="dxa" w:w="2298"/>
            <w:tcBorders>
              <w:top w:val="none" w:color="000000" w:sz="4"/>
              <w:left w:val="none" w:color="000000" w:sz="4"/>
              <w:bottom w:val="none" w:color="000000" w:sz="4"/>
              <w:right w:val="none" w:color="000000" w:sz="4"/>
            </w:tcBorders>
            <w:vAlign w:val="top"/>
          </w:tcPr>
          <w:p>
            <w:pPr>
              <w:jc w:val="both"/>
            </w:pPr>
            <w:r>
              <w:rPr>
                <w:b/>
                <w:sz w:val="24"/>
              </w:rPr>
              <w:t>甲方（采购人）：</w:t>
            </w:r>
          </w:p>
        </w:tc>
        <w:tc>
          <w:tcPr>
            <w:tcW w:type="dxa" w:w="6008"/>
            <w:tcBorders>
              <w:top w:val="none" w:color="000000" w:sz="4"/>
              <w:left w:val="none" w:color="000000" w:sz="4"/>
              <w:bottom w:val="none" w:color="000000" w:sz="4"/>
              <w:right w:val="none" w:color="000000" w:sz="4"/>
            </w:tcBorders>
            <w:vAlign w:val="top"/>
          </w:tcPr>
          <w:p>
            <w:pPr>
              <w:jc w:val="both"/>
            </w:pPr>
            <w:r>
              <w:rPr>
                <w:sz w:val="24"/>
                <w:u w:val="single"/>
              </w:rPr>
              <w:t>佛山市顺德区容桂街道综合行政执法办公室</w:t>
            </w:r>
          </w:p>
        </w:tc>
      </w:tr>
      <w:tr>
        <w:tc>
          <w:tcPr>
            <w:tcW w:type="dxa" w:w="2298"/>
            <w:tcBorders>
              <w:top w:val="none" w:color="000000" w:sz="4"/>
              <w:left w:val="none" w:color="000000" w:sz="4"/>
              <w:bottom w:val="none" w:color="000000" w:sz="4"/>
              <w:right w:val="none" w:color="000000" w:sz="4"/>
            </w:tcBorders>
            <w:vAlign w:val="top"/>
          </w:tcPr>
          <w:p>
            <w:pPr>
              <w:jc w:val="both"/>
            </w:pPr>
            <w:r>
              <w:rPr>
                <w:b/>
                <w:sz w:val="24"/>
              </w:rPr>
              <w:t>乙方（中标人）：</w:t>
            </w:r>
          </w:p>
        </w:tc>
        <w:tc>
          <w:tcPr>
            <w:tcW w:type="dxa" w:w="6008"/>
            <w:tcBorders>
              <w:top w:val="none" w:color="000000" w:sz="4"/>
              <w:left w:val="none" w:color="000000" w:sz="4"/>
              <w:bottom w:val="none" w:color="000000" w:sz="4"/>
              <w:right w:val="none" w:color="000000" w:sz="4"/>
            </w:tcBorders>
            <w:vAlign w:val="top"/>
          </w:tcPr>
          <w:p>
            <w:pPr>
              <w:jc w:val="both"/>
            </w:pPr>
            <w:r>
              <w:rPr>
                <w:sz w:val="24"/>
                <w:u w:val="single"/>
              </w:rPr>
              <w:t>（中标人名称）</w:t>
            </w:r>
            <w:r>
              <w:rPr>
                <w:sz w:val="24"/>
                <w:u w:val="single"/>
              </w:rPr>
              <w:t xml:space="preserve">                     </w:t>
            </w:r>
          </w:p>
        </w:tc>
      </w:tr>
      <w:tr>
        <w:tc>
          <w:tcPr>
            <w:tcW w:type="dxa" w:w="2298"/>
            <w:tcBorders>
              <w:top w:val="none" w:color="000000" w:sz="4"/>
              <w:left w:val="none" w:color="000000" w:sz="4"/>
              <w:bottom w:val="none" w:color="000000" w:sz="4"/>
              <w:right w:val="none" w:color="000000" w:sz="4"/>
            </w:tcBorders>
            <w:vAlign w:val="top"/>
          </w:tcPr>
          <w:p>
            <w:pPr>
              <w:jc w:val="both"/>
            </w:pPr>
            <w:r>
              <w:rPr>
                <w:b/>
                <w:sz w:val="24"/>
              </w:rPr>
              <w:t>合同性质：</w:t>
            </w:r>
          </w:p>
        </w:tc>
        <w:tc>
          <w:tcPr>
            <w:tcW w:type="dxa" w:w="6008"/>
            <w:tcBorders>
              <w:top w:val="none" w:color="000000" w:sz="4"/>
              <w:left w:val="none" w:color="000000" w:sz="4"/>
              <w:bottom w:val="none" w:color="000000" w:sz="4"/>
              <w:right w:val="none" w:color="000000" w:sz="4"/>
            </w:tcBorders>
            <w:vAlign w:val="top"/>
          </w:tcPr>
          <w:p>
            <w:pPr>
              <w:jc w:val="both"/>
            </w:pPr>
            <w:r>
              <w:rPr>
                <w:sz w:val="24"/>
                <w:u w:val="single"/>
              </w:rPr>
              <w:t>本合同为小微企业预留合同</w:t>
            </w:r>
            <w:r>
              <w:rPr>
                <w:sz w:val="24"/>
                <w:u w:val="single"/>
              </w:rPr>
              <w:t xml:space="preserve">            </w:t>
            </w:r>
          </w:p>
        </w:tc>
      </w:tr>
    </w:tbl>
    <w:p>
      <w:pPr>
        <w:jc w:val="both"/>
      </w:pPr>
      <w:r>
        <w:rPr>
          <w:sz w:val="21"/>
        </w:rPr>
        <w:t xml:space="preserve"> </w:t>
      </w:r>
    </w:p>
    <w:p>
      <w:pPr>
        <w:ind w:firstLine="420"/>
        <w:jc w:val="both"/>
      </w:pPr>
      <w:r>
        <w:rPr>
          <w:sz w:val="24"/>
        </w:rPr>
        <w:t>根据《中华人民共和国政府采购法》《中华人民共和国民法典》和本项目采购文件的要求，经双方协商，本着平等互利和诚实信用的原则，一致同意签订本合同如下。</w:t>
      </w:r>
    </w:p>
    <w:p>
      <w:pPr>
        <w:ind w:firstLine="482"/>
        <w:jc w:val="both"/>
      </w:pPr>
      <w:r>
        <w:rPr>
          <w:b/>
          <w:sz w:val="24"/>
        </w:rPr>
        <w:t>一、项目概况：</w:t>
      </w:r>
    </w:p>
    <w:p>
      <w:pPr>
        <w:ind w:firstLine="480"/>
        <w:jc w:val="left"/>
      </w:pPr>
      <w:r>
        <w:rPr>
          <w:sz w:val="24"/>
        </w:rPr>
        <w:t>由于市政设施的长期使用，部分破损、损坏的情况时常发生，影响到市民的出行，同时存在一定安全隐患，为更有效率的对零散破损的市政设施进行维护、修复，消除安全隐患，将零散市政设施破损修复维护项目（以下简称</w:t>
      </w:r>
      <w:r>
        <w:rPr>
          <w:sz w:val="24"/>
        </w:rPr>
        <w:t>“</w:t>
      </w:r>
      <w:r>
        <w:rPr>
          <w:sz w:val="24"/>
        </w:rPr>
        <w:t>零散项目</w:t>
      </w:r>
      <w:r>
        <w:rPr>
          <w:sz w:val="24"/>
        </w:rPr>
        <w:t>”</w:t>
      </w:r>
      <w:r>
        <w:rPr>
          <w:sz w:val="24"/>
        </w:rPr>
        <w:t>）委托给中标人实施。本项目分</w:t>
      </w:r>
      <w:r>
        <w:rPr>
          <w:sz w:val="24"/>
        </w:rPr>
        <w:t>3</w:t>
      </w:r>
      <w:r>
        <w:rPr>
          <w:sz w:val="24"/>
        </w:rPr>
        <w:t>个片区开展，每个片区为一个采购包，分别是：</w:t>
      </w:r>
    </w:p>
    <w:p>
      <w:pPr>
        <w:ind w:firstLine="480"/>
        <w:jc w:val="left"/>
      </w:pPr>
      <w:r>
        <w:rPr>
          <w:sz w:val="24"/>
        </w:rPr>
        <w:t>（</w:t>
      </w:r>
      <w:r>
        <w:rPr>
          <w:sz w:val="24"/>
        </w:rPr>
        <w:t>1</w:t>
      </w:r>
      <w:r>
        <w:rPr>
          <w:sz w:val="24"/>
        </w:rPr>
        <w:t>）</w:t>
      </w:r>
      <w:r>
        <w:rPr>
          <w:sz w:val="24"/>
        </w:rPr>
        <w:t>2023-2025</w:t>
      </w:r>
      <w:r>
        <w:rPr>
          <w:sz w:val="24"/>
        </w:rPr>
        <w:t>年度容桂街道零散市政设施破损修复维护项目（采购包</w:t>
      </w:r>
      <w:r>
        <w:rPr>
          <w:sz w:val="24"/>
        </w:rPr>
        <w:t>1</w:t>
      </w:r>
      <w:r>
        <w:rPr>
          <w:sz w:val="24"/>
        </w:rPr>
        <w:t>）对应范围：北至滨河路</w:t>
      </w:r>
      <w:r>
        <w:rPr>
          <w:sz w:val="24"/>
        </w:rPr>
        <w:t>--</w:t>
      </w:r>
      <w:r>
        <w:rPr>
          <w:sz w:val="24"/>
        </w:rPr>
        <w:t>马冈社区</w:t>
      </w:r>
      <w:r>
        <w:rPr>
          <w:sz w:val="24"/>
        </w:rPr>
        <w:t>(</w:t>
      </w:r>
      <w:r>
        <w:rPr>
          <w:sz w:val="24"/>
        </w:rPr>
        <w:t>金马路</w:t>
      </w:r>
      <w:r>
        <w:rPr>
          <w:sz w:val="24"/>
        </w:rPr>
        <w:t>)</w:t>
      </w:r>
      <w:r>
        <w:rPr>
          <w:sz w:val="24"/>
        </w:rPr>
        <w:t>；南至桂洲大道中；  西至工农路</w:t>
      </w:r>
      <w:r>
        <w:rPr>
          <w:sz w:val="24"/>
        </w:rPr>
        <w:t>--</w:t>
      </w:r>
      <w:r>
        <w:rPr>
          <w:sz w:val="24"/>
        </w:rPr>
        <w:t>容桂大道北；东至</w:t>
      </w:r>
      <w:r>
        <w:rPr>
          <w:sz w:val="24"/>
        </w:rPr>
        <w:t>105</w:t>
      </w:r>
      <w:r>
        <w:rPr>
          <w:sz w:val="24"/>
        </w:rPr>
        <w:t>国道；</w:t>
      </w:r>
    </w:p>
    <w:p>
      <w:pPr>
        <w:ind w:firstLine="480"/>
        <w:jc w:val="left"/>
      </w:pPr>
      <w:r>
        <w:rPr>
          <w:sz w:val="24"/>
        </w:rPr>
        <w:t>（</w:t>
      </w:r>
      <w:r>
        <w:rPr>
          <w:sz w:val="24"/>
        </w:rPr>
        <w:t>2</w:t>
      </w:r>
      <w:r>
        <w:rPr>
          <w:sz w:val="24"/>
        </w:rPr>
        <w:t>）</w:t>
      </w:r>
      <w:r>
        <w:rPr>
          <w:sz w:val="24"/>
        </w:rPr>
        <w:t>2023-2025</w:t>
      </w:r>
      <w:r>
        <w:rPr>
          <w:sz w:val="24"/>
        </w:rPr>
        <w:t>年度容桂街道零散市政设施破损修复维护项目（采购包</w:t>
      </w:r>
      <w:r>
        <w:rPr>
          <w:sz w:val="24"/>
        </w:rPr>
        <w:t>2</w:t>
      </w:r>
      <w:r>
        <w:rPr>
          <w:sz w:val="24"/>
        </w:rPr>
        <w:t>）对应范围：北至桂洲大道中</w:t>
      </w:r>
      <w:r>
        <w:rPr>
          <w:sz w:val="24"/>
        </w:rPr>
        <w:t>--</w:t>
      </w:r>
      <w:r>
        <w:rPr>
          <w:sz w:val="24"/>
        </w:rPr>
        <w:t>工农路</w:t>
      </w:r>
      <w:r>
        <w:rPr>
          <w:sz w:val="24"/>
        </w:rPr>
        <w:t>--</w:t>
      </w:r>
      <w:r>
        <w:rPr>
          <w:sz w:val="24"/>
        </w:rPr>
        <w:t>西堤 四路</w:t>
      </w:r>
      <w:r>
        <w:rPr>
          <w:sz w:val="24"/>
        </w:rPr>
        <w:t>--</w:t>
      </w:r>
      <w:r>
        <w:rPr>
          <w:sz w:val="24"/>
        </w:rPr>
        <w:t>丰业路；南至西提二路；西至伦桂路；东至</w:t>
      </w:r>
      <w:r>
        <w:rPr>
          <w:sz w:val="24"/>
        </w:rPr>
        <w:t>105</w:t>
      </w:r>
      <w:r>
        <w:rPr>
          <w:sz w:val="24"/>
        </w:rPr>
        <w:t>国道；</w:t>
      </w:r>
    </w:p>
    <w:p>
      <w:pPr>
        <w:jc w:val="both"/>
      </w:pPr>
      <w:r>
        <w:rPr>
          <w:sz w:val="24"/>
        </w:rPr>
        <w:t>（</w:t>
      </w:r>
      <w:r>
        <w:rPr>
          <w:sz w:val="24"/>
        </w:rPr>
        <w:t>3</w:t>
      </w:r>
      <w:r>
        <w:rPr>
          <w:sz w:val="24"/>
        </w:rPr>
        <w:t>）</w:t>
      </w:r>
      <w:r>
        <w:rPr>
          <w:sz w:val="24"/>
        </w:rPr>
        <w:t>2023-2025</w:t>
      </w:r>
      <w:r>
        <w:rPr>
          <w:sz w:val="24"/>
        </w:rPr>
        <w:t>年度容桂街道零散市政设施破损修复维护项目（采购包</w:t>
      </w:r>
      <w:r>
        <w:rPr>
          <w:sz w:val="24"/>
        </w:rPr>
        <w:t>3</w:t>
      </w:r>
      <w:r>
        <w:rPr>
          <w:sz w:val="24"/>
        </w:rPr>
        <w:t>）对应范围：北至容奇大道东；南至南堤二路； 西至</w:t>
      </w:r>
      <w:r>
        <w:rPr>
          <w:sz w:val="24"/>
        </w:rPr>
        <w:t>105</w:t>
      </w:r>
      <w:r>
        <w:rPr>
          <w:sz w:val="24"/>
        </w:rPr>
        <w:t>国道；东至东堤三路。</w:t>
      </w:r>
    </w:p>
    <w:p>
      <w:pPr>
        <w:ind w:firstLine="420"/>
        <w:jc w:val="both"/>
      </w:pPr>
      <w:r>
        <w:rPr>
          <w:sz w:val="24"/>
        </w:rPr>
        <w:t>合同执行过程中，如存在分工含糊的区域，以甲方的安排为准，最终解释权归甲方所有。</w:t>
      </w:r>
    </w:p>
    <w:p>
      <w:pPr>
        <w:ind w:firstLine="420"/>
        <w:jc w:val="both"/>
      </w:pPr>
      <w:r>
        <w:rPr>
          <w:sz w:val="24"/>
        </w:rPr>
        <w:t>零散市政设施的破损修复维护项目的内容：包括路面拆除、路面修复、下水道、检查井边拆除及修复、标线、下水道管道、检查井及雨水井、临水护栏、倒车挡杆、新建伸缩缝、路长制牌、更换井盖、更换标志牌、翻新桥面栏杆、防撞柱、新建路名牌、新建沥青混凝土面层、铣刨路面、抬高雨水检查井、电缆井等零散项目。</w:t>
      </w:r>
    </w:p>
    <w:p>
      <w:pPr>
        <w:ind w:firstLine="420"/>
        <w:jc w:val="both"/>
      </w:pPr>
      <w:r>
        <w:rPr>
          <w:sz w:val="24"/>
        </w:rPr>
        <w:t>服务量清单及单项服务最高上限价详见附件。</w:t>
      </w:r>
    </w:p>
    <w:p>
      <w:pPr>
        <w:ind w:firstLine="482"/>
        <w:jc w:val="both"/>
      </w:pPr>
      <w:r>
        <w:rPr>
          <w:b/>
          <w:sz w:val="24"/>
        </w:rPr>
        <w:t>二、项目主要内容及实现功能目标：</w:t>
      </w:r>
    </w:p>
    <w:p>
      <w:pPr>
        <w:ind w:firstLine="480"/>
        <w:jc w:val="both"/>
      </w:pPr>
      <w:r>
        <w:rPr>
          <w:sz w:val="24"/>
        </w:rPr>
        <w:t>（按照采购文件和投标文件执行）</w:t>
      </w:r>
    </w:p>
    <w:p>
      <w:pPr>
        <w:jc w:val="both"/>
      </w:pPr>
    </w:p>
    <w:p>
      <w:pPr>
        <w:ind w:firstLine="482"/>
        <w:jc w:val="left"/>
      </w:pPr>
      <w:r>
        <w:rPr>
          <w:b/>
          <w:sz w:val="24"/>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61"/>
        <w:gridCol w:w="1427"/>
        <w:gridCol w:w="6218"/>
      </w:tblGrid>
      <w:tr>
        <w:tc>
          <w:tcPr>
            <w:tcW w:type="dxa" w:w="661"/>
            <w:tcBorders>
              <w:top w:val="single" w:color="000000" w:sz="4"/>
              <w:left w:val="single" w:color="000000" w:sz="4"/>
              <w:bottom w:val="single" w:color="000000" w:sz="4"/>
              <w:right w:val="single" w:color="000000" w:sz="4"/>
            </w:tcBorders>
            <w:vAlign w:val="top"/>
          </w:tcPr>
          <w:p>
            <w:pPr>
              <w:jc w:val="both"/>
            </w:pPr>
            <w:r>
              <w:rPr>
                <w:b/>
                <w:sz w:val="22"/>
              </w:rPr>
              <w:t>序号</w:t>
            </w:r>
          </w:p>
        </w:tc>
        <w:tc>
          <w:tcPr>
            <w:tcW w:type="dxa" w:w="1427"/>
            <w:tcBorders>
              <w:top w:val="single" w:color="000000" w:sz="4"/>
              <w:left w:val="none" w:color="000000" w:sz="4"/>
              <w:bottom w:val="single" w:color="000000" w:sz="4"/>
              <w:right w:val="single" w:color="000000" w:sz="4"/>
            </w:tcBorders>
            <w:vAlign w:val="top"/>
          </w:tcPr>
          <w:p>
            <w:pPr>
              <w:jc w:val="both"/>
            </w:pPr>
            <w:r>
              <w:rPr>
                <w:b/>
                <w:sz w:val="22"/>
              </w:rPr>
              <w:t>合同条款</w:t>
            </w:r>
          </w:p>
        </w:tc>
        <w:tc>
          <w:tcPr>
            <w:tcW w:type="dxa" w:w="6218"/>
            <w:tcBorders>
              <w:top w:val="single" w:color="000000" w:sz="4"/>
              <w:left w:val="none" w:color="000000" w:sz="4"/>
              <w:bottom w:val="single" w:color="000000" w:sz="4"/>
              <w:right w:val="single" w:color="000000" w:sz="4"/>
            </w:tcBorders>
            <w:vAlign w:val="top"/>
          </w:tcPr>
          <w:p>
            <w:pPr>
              <w:jc w:val="both"/>
            </w:pPr>
            <w:r>
              <w:rPr>
                <w:b/>
                <w:sz w:val="22"/>
              </w:rPr>
              <w:t>内容</w:t>
            </w:r>
          </w:p>
        </w:tc>
      </w:tr>
      <w:tr>
        <w:tc>
          <w:tcPr>
            <w:tcW w:type="dxa" w:w="661"/>
            <w:tcBorders>
              <w:top w:val="none" w:color="000000" w:sz="4"/>
              <w:left w:val="single" w:color="000000" w:sz="4"/>
              <w:bottom w:val="single" w:color="000000" w:sz="4"/>
              <w:right w:val="single" w:color="000000" w:sz="4"/>
            </w:tcBorders>
            <w:vAlign w:val="top"/>
          </w:tcPr>
          <w:p>
            <w:pPr>
              <w:jc w:val="both"/>
            </w:pPr>
            <w:r>
              <w:rPr>
                <w:b/>
                <w:sz w:val="22"/>
              </w:rPr>
              <w:t>1</w:t>
            </w:r>
          </w:p>
        </w:tc>
        <w:tc>
          <w:tcPr>
            <w:tcW w:type="dxa" w:w="1427"/>
            <w:tcBorders>
              <w:top w:val="none" w:color="000000" w:sz="4"/>
              <w:left w:val="none" w:color="000000" w:sz="4"/>
              <w:bottom w:val="single" w:color="000000" w:sz="4"/>
              <w:right w:val="single" w:color="000000" w:sz="4"/>
            </w:tcBorders>
            <w:vAlign w:val="top"/>
          </w:tcPr>
          <w:p>
            <w:pPr>
              <w:jc w:val="both"/>
            </w:pPr>
            <w:r>
              <w:rPr>
                <w:b/>
                <w:sz w:val="22"/>
              </w:rPr>
              <w:t>合同总额</w:t>
            </w:r>
          </w:p>
        </w:tc>
        <w:tc>
          <w:tcPr>
            <w:tcW w:type="dxa" w:w="6218"/>
            <w:tcBorders>
              <w:top w:val="none" w:color="000000" w:sz="4"/>
              <w:left w:val="none" w:color="000000" w:sz="4"/>
              <w:bottom w:val="single" w:color="000000" w:sz="4"/>
              <w:right w:val="single" w:color="000000" w:sz="4"/>
            </w:tcBorders>
            <w:vAlign w:val="top"/>
          </w:tcPr>
          <w:p>
            <w:pPr>
              <w:jc w:val="both"/>
            </w:pPr>
            <w:r>
              <w:rPr>
                <w:sz w:val="22"/>
              </w:rPr>
              <w:t>（</w:t>
            </w:r>
            <w:r>
              <w:rPr>
                <w:sz w:val="22"/>
              </w:rPr>
              <w:t>1</w:t>
            </w:r>
            <w:r>
              <w:rPr>
                <w:sz w:val="22"/>
              </w:rPr>
              <w:t>）本项目各采购包的预算金额作为对应的暂时约定签约合同总金额，服务期限内根据乙方完成的业务数量按实结算，甲方支付给乙方的费用总额不超过采购包的预算金额。暂时约定签约合同总金额：</w:t>
            </w:r>
          </w:p>
          <w:p>
            <w:pPr>
              <w:jc w:val="both"/>
            </w:pPr>
            <w:r>
              <w:rPr>
                <w:sz w:val="22"/>
              </w:rPr>
              <w:t>人民币小写：</w:t>
            </w:r>
            <w:r>
              <w:rPr>
                <w:sz w:val="21"/>
                <w:u w:val="single"/>
              </w:rPr>
              <w:t xml:space="preserve">             </w:t>
            </w:r>
            <w:r>
              <w:rPr>
                <w:sz w:val="22"/>
              </w:rPr>
              <w:t>元；</w:t>
            </w:r>
          </w:p>
          <w:p>
            <w:pPr>
              <w:jc w:val="both"/>
            </w:pPr>
            <w:r>
              <w:rPr>
                <w:sz w:val="22"/>
              </w:rPr>
              <w:t>大写：</w:t>
            </w:r>
            <w:r>
              <w:rPr>
                <w:sz w:val="21"/>
                <w:u w:val="single"/>
              </w:rPr>
              <w:t xml:space="preserve">                       </w:t>
            </w:r>
            <w:r>
              <w:rPr>
                <w:sz w:val="22"/>
              </w:rPr>
              <w:t>；</w:t>
            </w:r>
          </w:p>
          <w:p>
            <w:pPr>
              <w:jc w:val="both"/>
            </w:pPr>
            <w:r>
              <w:rPr>
                <w:sz w:val="22"/>
              </w:rPr>
              <w:t>（</w:t>
            </w:r>
            <w:r>
              <w:rPr>
                <w:sz w:val="22"/>
              </w:rPr>
              <w:t>2</w:t>
            </w:r>
            <w:r>
              <w:rPr>
                <w:sz w:val="22"/>
              </w:rPr>
              <w:t>）中标折扣率：</w:t>
            </w:r>
            <w:r>
              <w:rPr>
                <w:sz w:val="22"/>
                <w:u w:val="single"/>
              </w:rPr>
              <w:t xml:space="preserve">          %</w:t>
            </w:r>
            <w:r>
              <w:rPr>
                <w:sz w:val="22"/>
                <w:u w:val="single"/>
              </w:rPr>
              <w:t>（百分之         ）</w:t>
            </w:r>
          </w:p>
        </w:tc>
      </w:tr>
      <w:tr>
        <w:tc>
          <w:tcPr>
            <w:tcW w:type="dxa" w:w="661"/>
            <w:tcBorders>
              <w:top w:val="none" w:color="000000" w:sz="4"/>
              <w:left w:val="single" w:color="000000" w:sz="4"/>
              <w:bottom w:val="single" w:color="000000" w:sz="4"/>
              <w:right w:val="single" w:color="000000" w:sz="4"/>
            </w:tcBorders>
            <w:vAlign w:val="top"/>
          </w:tcPr>
          <w:p>
            <w:pPr>
              <w:jc w:val="both"/>
            </w:pPr>
            <w:r>
              <w:rPr>
                <w:b/>
                <w:sz w:val="22"/>
              </w:rPr>
              <w:t>2</w:t>
            </w:r>
          </w:p>
        </w:tc>
        <w:tc>
          <w:tcPr>
            <w:tcW w:type="dxa" w:w="1427"/>
            <w:tcBorders>
              <w:top w:val="none" w:color="000000" w:sz="4"/>
              <w:left w:val="none" w:color="000000" w:sz="4"/>
              <w:bottom w:val="single" w:color="000000" w:sz="4"/>
              <w:right w:val="single" w:color="000000" w:sz="4"/>
            </w:tcBorders>
            <w:vAlign w:val="top"/>
          </w:tcPr>
          <w:p>
            <w:pPr>
              <w:jc w:val="both"/>
            </w:pPr>
            <w:r>
              <w:rPr>
                <w:b/>
                <w:sz w:val="22"/>
              </w:rPr>
              <w:t>合同总额</w:t>
            </w:r>
          </w:p>
          <w:p>
            <w:pPr>
              <w:jc w:val="both"/>
            </w:pPr>
            <w:r>
              <w:rPr>
                <w:b/>
                <w:sz w:val="22"/>
              </w:rPr>
              <w:t>内容</w:t>
            </w:r>
          </w:p>
        </w:tc>
        <w:tc>
          <w:tcPr>
            <w:tcW w:type="dxa" w:w="6218"/>
            <w:tcBorders>
              <w:top w:val="none" w:color="000000" w:sz="4"/>
              <w:left w:val="none" w:color="000000" w:sz="4"/>
              <w:bottom w:val="single" w:color="000000" w:sz="4"/>
              <w:right w:val="single" w:color="000000" w:sz="4"/>
            </w:tcBorders>
            <w:vAlign w:val="top"/>
          </w:tcPr>
          <w:p>
            <w:pPr>
              <w:jc w:val="both"/>
            </w:pPr>
            <w:r>
              <w:rPr>
                <w:sz w:val="22"/>
              </w:rPr>
              <w:t>（</w:t>
            </w:r>
            <w:r>
              <w:rPr>
                <w:sz w:val="22"/>
              </w:rPr>
              <w:t>1</w:t>
            </w:r>
            <w:r>
              <w:rPr>
                <w:sz w:val="22"/>
              </w:rPr>
              <w:t>）承包方式：本项目由乙方根据甲方及招标文件的要求，包工、包料、包质量、包工期、包安全、包文明施工、包资料移交（归档）、包验收及整理验收资料。投标报价已包括完成本项目的成本、利润、税金、各项措施费、大型机械进出场费、风险费、人员工资、社会保险费、住房公积金、定额测定费、建筑企业管理费、排污费、安全、文明施工、防尘、施工噪声排污费、招标代理费、意外保险费及政策性文件规定费用等所有费用。</w:t>
            </w:r>
            <w:r>
              <w:rPr>
                <w:sz w:val="21"/>
              </w:rPr>
              <w:t xml:space="preserve"> </w:t>
            </w:r>
          </w:p>
          <w:p>
            <w:pPr>
              <w:jc w:val="both"/>
            </w:pPr>
            <w:r>
              <w:rPr>
                <w:sz w:val="22"/>
              </w:rPr>
              <w:t>（</w:t>
            </w:r>
            <w:r>
              <w:rPr>
                <w:sz w:val="22"/>
              </w:rPr>
              <w:t>2</w:t>
            </w:r>
            <w:r>
              <w:rPr>
                <w:sz w:val="22"/>
              </w:rPr>
              <w:t>）本合同为固定折率承包合同；项目综合单价已包垃圾清运、包完工清场、包水电费用、包运输、包装卸、包安装、包调试、包检验、包检测等乙方履行本合同项下义务所必需的的一切费用、支出、成本和利润。</w:t>
            </w:r>
          </w:p>
        </w:tc>
      </w:tr>
      <w:tr>
        <w:tc>
          <w:tcPr>
            <w:tcW w:type="dxa" w:w="661"/>
            <w:tcBorders>
              <w:top w:val="none" w:color="000000" w:sz="4"/>
              <w:left w:val="single" w:color="000000" w:sz="4"/>
              <w:bottom w:val="single" w:color="000000" w:sz="4"/>
              <w:right w:val="single" w:color="000000" w:sz="4"/>
            </w:tcBorders>
            <w:vAlign w:val="top"/>
          </w:tcPr>
          <w:p>
            <w:pPr>
              <w:jc w:val="both"/>
            </w:pPr>
            <w:r>
              <w:rPr>
                <w:b/>
                <w:sz w:val="22"/>
              </w:rPr>
              <w:t>3</w:t>
            </w:r>
          </w:p>
        </w:tc>
        <w:tc>
          <w:tcPr>
            <w:tcW w:type="dxa" w:w="1427"/>
            <w:tcBorders>
              <w:top w:val="none" w:color="000000" w:sz="4"/>
              <w:left w:val="none" w:color="000000" w:sz="4"/>
              <w:bottom w:val="single" w:color="000000" w:sz="4"/>
              <w:right w:val="single" w:color="000000" w:sz="4"/>
            </w:tcBorders>
            <w:vAlign w:val="top"/>
          </w:tcPr>
          <w:p>
            <w:pPr>
              <w:jc w:val="both"/>
            </w:pPr>
            <w:r>
              <w:rPr>
                <w:b/>
                <w:sz w:val="22"/>
              </w:rPr>
              <w:t>项目服务</w:t>
            </w:r>
          </w:p>
          <w:p>
            <w:pPr>
              <w:jc w:val="both"/>
            </w:pPr>
            <w:r>
              <w:rPr>
                <w:b/>
                <w:sz w:val="22"/>
              </w:rPr>
              <w:t>地点</w:t>
            </w:r>
          </w:p>
        </w:tc>
        <w:tc>
          <w:tcPr>
            <w:tcW w:type="dxa" w:w="6218"/>
            <w:tcBorders>
              <w:top w:val="none" w:color="000000" w:sz="4"/>
              <w:left w:val="none" w:color="000000" w:sz="4"/>
              <w:bottom w:val="single" w:color="000000" w:sz="4"/>
              <w:right w:val="single" w:color="000000" w:sz="4"/>
            </w:tcBorders>
            <w:vAlign w:val="top"/>
          </w:tcPr>
          <w:p>
            <w:pPr>
              <w:jc w:val="both"/>
            </w:pPr>
            <w:r>
              <w:rPr>
                <w:sz w:val="22"/>
              </w:rPr>
              <w:t>甲方（用户）指定地点。</w:t>
            </w:r>
          </w:p>
        </w:tc>
      </w:tr>
      <w:tr>
        <w:tc>
          <w:tcPr>
            <w:tcW w:type="dxa" w:w="661"/>
            <w:tcBorders>
              <w:top w:val="none" w:color="000000" w:sz="4"/>
              <w:left w:val="single" w:color="000000" w:sz="4"/>
              <w:bottom w:val="single" w:color="000000" w:sz="4"/>
              <w:right w:val="single" w:color="000000" w:sz="4"/>
            </w:tcBorders>
            <w:vAlign w:val="top"/>
          </w:tcPr>
          <w:p>
            <w:pPr>
              <w:jc w:val="both"/>
            </w:pPr>
            <w:r>
              <w:rPr>
                <w:b/>
                <w:sz w:val="22"/>
              </w:rPr>
              <w:t>4</w:t>
            </w:r>
          </w:p>
        </w:tc>
        <w:tc>
          <w:tcPr>
            <w:tcW w:type="dxa" w:w="1427"/>
            <w:tcBorders>
              <w:top w:val="none" w:color="000000" w:sz="4"/>
              <w:left w:val="none" w:color="000000" w:sz="4"/>
              <w:bottom w:val="single" w:color="000000" w:sz="4"/>
              <w:right w:val="single" w:color="000000" w:sz="4"/>
            </w:tcBorders>
            <w:vAlign w:val="top"/>
          </w:tcPr>
          <w:p>
            <w:pPr>
              <w:jc w:val="both"/>
            </w:pPr>
            <w:r>
              <w:rPr>
                <w:b/>
                <w:sz w:val="22"/>
              </w:rPr>
              <w:t>服务期</w:t>
            </w:r>
          </w:p>
        </w:tc>
        <w:tc>
          <w:tcPr>
            <w:tcW w:type="dxa" w:w="6218"/>
            <w:tcBorders>
              <w:top w:val="none" w:color="000000" w:sz="4"/>
              <w:left w:val="none" w:color="000000" w:sz="4"/>
              <w:bottom w:val="single" w:color="000000" w:sz="4"/>
              <w:right w:val="single" w:color="000000" w:sz="4"/>
            </w:tcBorders>
            <w:vAlign w:val="top"/>
          </w:tcPr>
          <w:p>
            <w:pPr>
              <w:jc w:val="both"/>
            </w:pPr>
            <w:r>
              <w:rPr>
                <w:sz w:val="22"/>
              </w:rPr>
              <w:t>合同签订生效之日起</w:t>
            </w:r>
            <w:r>
              <w:rPr>
                <w:sz w:val="22"/>
              </w:rPr>
              <w:t>2</w:t>
            </w:r>
            <w:r>
              <w:rPr>
                <w:sz w:val="22"/>
              </w:rPr>
              <w:t>年，服务期内预算上限金额用完合同终止。即从</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2"/>
              </w:rPr>
              <w:t>日至</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2"/>
              </w:rPr>
              <w:t>日。</w:t>
            </w:r>
          </w:p>
        </w:tc>
      </w:tr>
      <w:tr>
        <w:tc>
          <w:tcPr>
            <w:tcW w:type="dxa" w:w="661"/>
            <w:tcBorders>
              <w:top w:val="none" w:color="000000" w:sz="4"/>
              <w:left w:val="single" w:color="000000" w:sz="4"/>
              <w:bottom w:val="single" w:color="000000" w:sz="4"/>
              <w:right w:val="single" w:color="000000" w:sz="4"/>
            </w:tcBorders>
            <w:vAlign w:val="top"/>
          </w:tcPr>
          <w:p>
            <w:pPr>
              <w:jc w:val="both"/>
            </w:pPr>
            <w:r>
              <w:rPr>
                <w:b/>
                <w:sz w:val="22"/>
              </w:rPr>
              <w:t>5</w:t>
            </w:r>
          </w:p>
        </w:tc>
        <w:tc>
          <w:tcPr>
            <w:tcW w:type="dxa" w:w="1427"/>
            <w:tcBorders>
              <w:top w:val="none" w:color="000000" w:sz="4"/>
              <w:left w:val="none" w:color="000000" w:sz="4"/>
              <w:bottom w:val="single" w:color="000000" w:sz="4"/>
              <w:right w:val="single" w:color="000000" w:sz="4"/>
            </w:tcBorders>
            <w:vAlign w:val="top"/>
          </w:tcPr>
          <w:p>
            <w:pPr>
              <w:jc w:val="both"/>
            </w:pPr>
            <w:r>
              <w:rPr>
                <w:b/>
                <w:sz w:val="22"/>
              </w:rPr>
              <w:t>合同签订方式及情况</w:t>
            </w:r>
          </w:p>
        </w:tc>
        <w:tc>
          <w:tcPr>
            <w:tcW w:type="dxa" w:w="6218"/>
            <w:tcBorders>
              <w:top w:val="none" w:color="000000" w:sz="4"/>
              <w:left w:val="none" w:color="000000" w:sz="4"/>
              <w:bottom w:val="single" w:color="000000" w:sz="4"/>
              <w:right w:val="single" w:color="000000" w:sz="4"/>
            </w:tcBorders>
            <w:vAlign w:val="top"/>
          </w:tcPr>
          <w:p>
            <w:pPr>
              <w:jc w:val="both"/>
            </w:pPr>
            <w:r>
              <w:rPr>
                <w:sz w:val="22"/>
              </w:rPr>
              <w:t>一次性签订本项目采购合同。</w:t>
            </w:r>
          </w:p>
        </w:tc>
      </w:tr>
      <w:tr>
        <w:tc>
          <w:tcPr>
            <w:tcW w:type="dxa" w:w="661"/>
            <w:tcBorders>
              <w:top w:val="none" w:color="000000" w:sz="4"/>
              <w:left w:val="single" w:color="000000" w:sz="4"/>
              <w:bottom w:val="single" w:color="000000" w:sz="4"/>
              <w:right w:val="single" w:color="000000" w:sz="4"/>
            </w:tcBorders>
            <w:vAlign w:val="top"/>
          </w:tcPr>
          <w:p>
            <w:pPr>
              <w:jc w:val="both"/>
            </w:pPr>
            <w:r>
              <w:rPr>
                <w:b/>
                <w:sz w:val="22"/>
              </w:rPr>
              <w:t>6</w:t>
            </w:r>
          </w:p>
        </w:tc>
        <w:tc>
          <w:tcPr>
            <w:tcW w:type="dxa" w:w="1427"/>
            <w:tcBorders>
              <w:top w:val="none" w:color="000000" w:sz="4"/>
              <w:left w:val="none" w:color="000000" w:sz="4"/>
              <w:bottom w:val="single" w:color="000000" w:sz="4"/>
              <w:right w:val="single" w:color="000000" w:sz="4"/>
            </w:tcBorders>
            <w:vAlign w:val="top"/>
          </w:tcPr>
          <w:p>
            <w:pPr>
              <w:jc w:val="both"/>
            </w:pPr>
            <w:r>
              <w:rPr>
                <w:b/>
                <w:sz w:val="24"/>
              </w:rPr>
              <w:t>质保期</w:t>
            </w:r>
          </w:p>
        </w:tc>
        <w:tc>
          <w:tcPr>
            <w:tcW w:type="dxa" w:w="6218"/>
            <w:tcBorders>
              <w:top w:val="none" w:color="000000" w:sz="4"/>
              <w:left w:val="none" w:color="000000" w:sz="4"/>
              <w:bottom w:val="single" w:color="000000" w:sz="4"/>
              <w:right w:val="single" w:color="000000" w:sz="4"/>
            </w:tcBorders>
            <w:vAlign w:val="top"/>
          </w:tcPr>
          <w:p>
            <w:pPr>
              <w:jc w:val="both"/>
            </w:pPr>
            <w:r>
              <w:rPr>
                <w:sz w:val="22"/>
              </w:rPr>
              <w:t>单项零散项目的质保期均为自验收合格之日起的</w:t>
            </w:r>
            <w:r>
              <w:rPr>
                <w:sz w:val="22"/>
              </w:rPr>
              <w:t>1</w:t>
            </w:r>
            <w:r>
              <w:rPr>
                <w:sz w:val="22"/>
              </w:rPr>
              <w:t>年。如质保期内双方的服务期限届满且没有续签合同的，乙方仍需继续承担质保责任，直至质保期届满为止。</w:t>
            </w:r>
          </w:p>
        </w:tc>
      </w:tr>
      <w:tr>
        <w:tc>
          <w:tcPr>
            <w:tcW w:type="dxa" w:w="661"/>
            <w:tcBorders>
              <w:top w:val="none" w:color="000000" w:sz="4"/>
              <w:left w:val="single" w:color="000000" w:sz="4"/>
              <w:bottom w:val="single" w:color="000000" w:sz="4"/>
              <w:right w:val="single" w:color="000000" w:sz="4"/>
            </w:tcBorders>
            <w:vAlign w:val="top"/>
          </w:tcPr>
          <w:p>
            <w:pPr>
              <w:jc w:val="both"/>
            </w:pPr>
            <w:r>
              <w:rPr>
                <w:b/>
                <w:sz w:val="22"/>
              </w:rPr>
              <w:t>7</w:t>
            </w:r>
          </w:p>
        </w:tc>
        <w:tc>
          <w:tcPr>
            <w:tcW w:type="dxa" w:w="1427"/>
            <w:tcBorders>
              <w:top w:val="none" w:color="000000" w:sz="4"/>
              <w:left w:val="none" w:color="000000" w:sz="4"/>
              <w:bottom w:val="single" w:color="000000" w:sz="4"/>
              <w:right w:val="single" w:color="000000" w:sz="4"/>
            </w:tcBorders>
            <w:vAlign w:val="top"/>
          </w:tcPr>
          <w:p>
            <w:pPr>
              <w:jc w:val="both"/>
            </w:pPr>
            <w:r>
              <w:rPr>
                <w:b/>
                <w:sz w:val="24"/>
              </w:rPr>
              <w:t>合同签订</w:t>
            </w:r>
          </w:p>
        </w:tc>
        <w:tc>
          <w:tcPr>
            <w:tcW w:type="dxa" w:w="6218"/>
            <w:tcBorders>
              <w:top w:val="none" w:color="000000" w:sz="4"/>
              <w:left w:val="none" w:color="000000" w:sz="4"/>
              <w:bottom w:val="single" w:color="000000" w:sz="4"/>
              <w:right w:val="single" w:color="000000" w:sz="4"/>
            </w:tcBorders>
            <w:vAlign w:val="top"/>
          </w:tcPr>
          <w:p>
            <w:pPr>
              <w:jc w:val="both"/>
            </w:pPr>
            <w:r>
              <w:rPr>
                <w:sz w:val="22"/>
              </w:rPr>
              <w:t>在中标（成交）通知书发出之日起</w:t>
            </w:r>
            <w:r>
              <w:rPr>
                <w:sz w:val="22"/>
              </w:rPr>
              <w:t>20</w:t>
            </w:r>
            <w:r>
              <w:rPr>
                <w:sz w:val="22"/>
              </w:rPr>
              <w:t>日内，中标（成交）供应商须与甲方签订政府采购合同。</w:t>
            </w:r>
          </w:p>
        </w:tc>
      </w:tr>
      <w:tr>
        <w:tc>
          <w:tcPr>
            <w:tcW w:type="dxa" w:w="661"/>
            <w:tcBorders>
              <w:top w:val="none" w:color="000000" w:sz="4"/>
              <w:left w:val="single" w:color="000000" w:sz="4"/>
              <w:bottom w:val="single" w:color="000000" w:sz="4"/>
              <w:right w:val="single" w:color="000000" w:sz="4"/>
            </w:tcBorders>
            <w:vAlign w:val="top"/>
          </w:tcPr>
          <w:p>
            <w:pPr>
              <w:jc w:val="both"/>
            </w:pPr>
            <w:r>
              <w:rPr>
                <w:b/>
                <w:sz w:val="22"/>
              </w:rPr>
              <w:t>8</w:t>
            </w:r>
          </w:p>
        </w:tc>
        <w:tc>
          <w:tcPr>
            <w:tcW w:type="dxa" w:w="1427"/>
            <w:tcBorders>
              <w:top w:val="none" w:color="000000" w:sz="4"/>
              <w:left w:val="none" w:color="000000" w:sz="4"/>
              <w:bottom w:val="single" w:color="000000" w:sz="4"/>
              <w:right w:val="single" w:color="000000" w:sz="4"/>
            </w:tcBorders>
            <w:vAlign w:val="top"/>
          </w:tcPr>
          <w:p>
            <w:pPr>
              <w:jc w:val="both"/>
            </w:pPr>
            <w:r>
              <w:rPr>
                <w:b/>
                <w:sz w:val="22"/>
              </w:rPr>
              <w:t>付款方式</w:t>
            </w:r>
          </w:p>
        </w:tc>
        <w:tc>
          <w:tcPr>
            <w:tcW w:type="dxa" w:w="6218"/>
            <w:tcBorders>
              <w:top w:val="none" w:color="000000" w:sz="4"/>
              <w:left w:val="none" w:color="000000" w:sz="4"/>
              <w:bottom w:val="single" w:color="000000" w:sz="4"/>
              <w:right w:val="single" w:color="000000" w:sz="4"/>
            </w:tcBorders>
            <w:vAlign w:val="top"/>
          </w:tcPr>
          <w:p>
            <w:pPr>
              <w:jc w:val="both"/>
            </w:pPr>
            <w:r>
              <w:rPr>
                <w:sz w:val="22"/>
              </w:rPr>
              <w:t>1</w:t>
            </w:r>
            <w:r>
              <w:rPr>
                <w:sz w:val="22"/>
              </w:rPr>
              <w:t>、付款方式：本项目每</w:t>
            </w:r>
            <w:r>
              <w:rPr>
                <w:sz w:val="22"/>
              </w:rPr>
              <w:t>6</w:t>
            </w:r>
            <w:r>
              <w:rPr>
                <w:sz w:val="22"/>
              </w:rPr>
              <w:t>个月进行一次结算支付，支付当期金额的</w:t>
            </w:r>
            <w:r>
              <w:rPr>
                <w:sz w:val="22"/>
              </w:rPr>
              <w:t>100%</w:t>
            </w:r>
            <w:r>
              <w:rPr>
                <w:sz w:val="22"/>
              </w:rPr>
              <w:t>。本项目的付款时间为甲方向财政支付部门提出支付申请的时间（不含财政支付部门的审查时间）。若由于财政拨款不到位或该项目相关手续和程序因流转政府采购审批流程及办理手续而造成项目支付进度有所推延的，甲方不承担违约责任，并且此情况不能成为乙方拒绝提供服务的理由。</w:t>
            </w:r>
          </w:p>
          <w:p>
            <w:pPr>
              <w:jc w:val="both"/>
            </w:pPr>
            <w:r>
              <w:rPr>
                <w:sz w:val="22"/>
              </w:rPr>
              <w:t>2</w:t>
            </w:r>
            <w:r>
              <w:rPr>
                <w:sz w:val="22"/>
              </w:rPr>
              <w:t>、结算方式：单次零散项目施工完成并在验收合格后，乙方向甲方提供相关结算材料、付款申请书，经甲方核实无误后，甲方在收到乙方开具的发票后一个月内将应支付金额提交政府财政支出部门办理支付申请，具体资金支付方式及到账时间以政府财政部门审批为准。单项零散项目的收费金额＝零散项目结算价</w:t>
            </w:r>
            <w:r>
              <w:rPr>
                <w:sz w:val="22"/>
              </w:rPr>
              <w:t>×</w:t>
            </w:r>
            <w:r>
              <w:rPr>
                <w:sz w:val="22"/>
              </w:rPr>
              <w:t>中标下浮系数。</w:t>
            </w:r>
          </w:p>
          <w:p>
            <w:pPr>
              <w:jc w:val="both"/>
            </w:pPr>
            <w:r>
              <w:rPr>
                <w:sz w:val="22"/>
              </w:rPr>
              <w:t>3</w:t>
            </w:r>
            <w:r>
              <w:rPr>
                <w:sz w:val="22"/>
              </w:rPr>
              <w:t>、结算原则：服务量按实结算，综合单价按照招标文件技术标准与要求的</w:t>
            </w:r>
            <w:r>
              <w:rPr>
                <w:sz w:val="22"/>
              </w:rPr>
              <w:t>“</w:t>
            </w:r>
            <w:r>
              <w:rPr>
                <w:sz w:val="22"/>
              </w:rPr>
              <w:t>单方指标价</w:t>
            </w:r>
            <w:r>
              <w:rPr>
                <w:sz w:val="22"/>
              </w:rPr>
              <w:t>”</w:t>
            </w:r>
            <w:r>
              <w:rPr>
                <w:sz w:val="22"/>
              </w:rPr>
              <w:t>执行，乙方若对结算金额有异议可在收到中介机构编制的结算报告后</w:t>
            </w:r>
            <w:r>
              <w:rPr>
                <w:sz w:val="22"/>
              </w:rPr>
              <w:t>3</w:t>
            </w:r>
            <w:r>
              <w:rPr>
                <w:sz w:val="22"/>
              </w:rPr>
              <w:t>个工作日内提出。</w:t>
            </w:r>
            <w:r>
              <w:rPr>
                <w:sz w:val="22"/>
              </w:rPr>
              <w:t>“单方指标价”没有的价格统一以施工期间顺德工程造价信息公布的相关价格并经采购人或采购人委托的中介机构审核后为计算依据（如顺德工程造价信息中没有的价格则参考佛山市工程造价信息公布为依据）。</w:t>
            </w:r>
          </w:p>
          <w:p>
            <w:pPr>
              <w:jc w:val="both"/>
            </w:pPr>
            <w:r>
              <w:rPr>
                <w:sz w:val="22"/>
              </w:rPr>
              <w:t>4</w:t>
            </w:r>
            <w:r>
              <w:rPr>
                <w:sz w:val="22"/>
              </w:rPr>
              <w:t>、如当期的项目款结算价大于合同上限金额时，超过部分不予支付，乙方在实施过程中自行评估并承担此风险。</w:t>
            </w:r>
          </w:p>
          <w:p>
            <w:pPr>
              <w:jc w:val="both"/>
            </w:pPr>
            <w:r>
              <w:rPr>
                <w:sz w:val="22"/>
              </w:rPr>
              <w:t>5</w:t>
            </w:r>
            <w:r>
              <w:rPr>
                <w:sz w:val="22"/>
              </w:rPr>
              <w:t>、税金按照实际缴纳比例进行结算。</w:t>
            </w:r>
          </w:p>
          <w:p>
            <w:pPr>
              <w:jc w:val="both"/>
            </w:pPr>
            <w:r>
              <w:rPr>
                <w:sz w:val="22"/>
              </w:rPr>
              <w:t>6</w:t>
            </w:r>
            <w:r>
              <w:rPr>
                <w:sz w:val="22"/>
              </w:rPr>
              <w:t>、乙方应当按照有关法律法规的规定缴纳增值税、企业所得税等税费。如乙方所在地为非零散项目所在地的，应先到零散项目所在地税务部门办理跨地区经营涉税事项报告，并按规定在零散项目所在地预缴税款。申请支付项目款时，应提供预缴税款的申报表、缴税凭证、合法有效的发票。乙方未能向甲方提供符合要求的发票等资料时，甲方有权拒绝付款且不承担迟延付款的责任，所造成的一切后果由乙方自负。</w:t>
            </w:r>
          </w:p>
          <w:p>
            <w:pPr>
              <w:jc w:val="both"/>
            </w:pPr>
            <w:r>
              <w:rPr>
                <w:sz w:val="22"/>
              </w:rPr>
              <w:t>7</w:t>
            </w:r>
            <w:r>
              <w:rPr>
                <w:sz w:val="22"/>
              </w:rPr>
              <w:t>、乙方应理解政府部门付款的相关程序，因甲方使用的是财政资金，甲方在前款规定的付款时间为向政府财政支付部门提出办理财政支付申请手续的时间，不含政府财政支付部门审核的时间。因政府财政支付审批流程及办理手续而造成项目支付进度有所推延，而导致甲方逾期付款的，甲方不承担逾期付款违约责任。</w:t>
            </w:r>
          </w:p>
          <w:p>
            <w:pPr>
              <w:jc w:val="both"/>
            </w:pPr>
            <w:r>
              <w:rPr>
                <w:sz w:val="22"/>
              </w:rPr>
              <w:t>7</w:t>
            </w:r>
            <w:r>
              <w:rPr>
                <w:sz w:val="22"/>
              </w:rPr>
              <w:t>、如财政资金没能及时全额支付当期项目款时，乙方须确保不发生拖欠工人工资维稳事件，乙方对此知悉并同意。</w:t>
            </w:r>
          </w:p>
        </w:tc>
      </w:tr>
      <w:tr>
        <w:tc>
          <w:tcPr>
            <w:tcW w:type="dxa" w:w="661"/>
            <w:tcBorders>
              <w:top w:val="none" w:color="000000" w:sz="4"/>
              <w:left w:val="single" w:color="000000" w:sz="4"/>
              <w:bottom w:val="single" w:color="000000" w:sz="4"/>
              <w:right w:val="single" w:color="000000" w:sz="4"/>
            </w:tcBorders>
            <w:vAlign w:val="top"/>
          </w:tcPr>
          <w:p>
            <w:pPr>
              <w:jc w:val="both"/>
            </w:pPr>
            <w:r>
              <w:rPr>
                <w:b/>
                <w:sz w:val="22"/>
              </w:rPr>
              <w:t>9</w:t>
            </w:r>
          </w:p>
        </w:tc>
        <w:tc>
          <w:tcPr>
            <w:tcW w:type="dxa" w:w="1427"/>
            <w:tcBorders>
              <w:top w:val="none" w:color="000000" w:sz="4"/>
              <w:left w:val="none" w:color="000000" w:sz="4"/>
              <w:bottom w:val="single" w:color="000000" w:sz="4"/>
              <w:right w:val="single" w:color="000000" w:sz="4"/>
            </w:tcBorders>
            <w:vAlign w:val="top"/>
          </w:tcPr>
          <w:p>
            <w:pPr>
              <w:jc w:val="both"/>
            </w:pPr>
            <w:r>
              <w:rPr>
                <w:b/>
                <w:sz w:val="22"/>
              </w:rPr>
              <w:t>付款要求</w:t>
            </w:r>
          </w:p>
        </w:tc>
        <w:tc>
          <w:tcPr>
            <w:tcW w:type="dxa" w:w="6218"/>
            <w:tcBorders>
              <w:top w:val="none" w:color="000000" w:sz="4"/>
              <w:left w:val="none" w:color="000000" w:sz="4"/>
              <w:bottom w:val="single" w:color="000000" w:sz="4"/>
              <w:right w:val="single" w:color="000000" w:sz="4"/>
            </w:tcBorders>
            <w:vAlign w:val="top"/>
          </w:tcPr>
          <w:p>
            <w:pPr>
              <w:jc w:val="both"/>
            </w:pPr>
            <w:r>
              <w:rPr>
                <w:sz w:val="22"/>
              </w:rPr>
              <w:t>（</w:t>
            </w:r>
            <w:r>
              <w:rPr>
                <w:sz w:val="22"/>
              </w:rPr>
              <w:t>1</w:t>
            </w:r>
            <w:r>
              <w:rPr>
                <w:sz w:val="22"/>
              </w:rPr>
              <w:t>）乙方须向甲方提供依法纳税的服务费发票。</w:t>
            </w:r>
          </w:p>
          <w:p>
            <w:pPr>
              <w:jc w:val="both"/>
            </w:pPr>
            <w:r>
              <w:rPr>
                <w:sz w:val="22"/>
              </w:rPr>
              <w:t>（</w:t>
            </w:r>
            <w:r>
              <w:rPr>
                <w:sz w:val="22"/>
              </w:rPr>
              <w:t>2</w:t>
            </w:r>
            <w:r>
              <w:rPr>
                <w:sz w:val="22"/>
              </w:rPr>
              <w:t>）服务费以转账方式转入乙方的银行账户。</w:t>
            </w:r>
          </w:p>
          <w:p>
            <w:pPr>
              <w:jc w:val="both"/>
            </w:pPr>
            <w:r>
              <w:rPr>
                <w:sz w:val="22"/>
              </w:rPr>
              <w:t>（</w:t>
            </w:r>
            <w:r>
              <w:rPr>
                <w:sz w:val="22"/>
              </w:rPr>
              <w:t>3</w:t>
            </w:r>
            <w:r>
              <w:rPr>
                <w:sz w:val="22"/>
              </w:rPr>
              <w:t>）收款方、出具发票方均必须与乙方名称一致。</w:t>
            </w:r>
          </w:p>
        </w:tc>
      </w:tr>
      <w:tr>
        <w:tc>
          <w:tcPr>
            <w:tcW w:type="dxa" w:w="661"/>
            <w:tcBorders>
              <w:top w:val="none" w:color="000000" w:sz="4"/>
              <w:left w:val="single" w:color="000000" w:sz="4"/>
              <w:bottom w:val="single" w:color="000000" w:sz="4"/>
              <w:right w:val="single" w:color="000000" w:sz="4"/>
            </w:tcBorders>
            <w:vAlign w:val="top"/>
          </w:tcPr>
          <w:p>
            <w:pPr>
              <w:jc w:val="both"/>
            </w:pPr>
            <w:r>
              <w:rPr>
                <w:b/>
                <w:sz w:val="22"/>
              </w:rPr>
              <w:t>10</w:t>
            </w:r>
          </w:p>
        </w:tc>
        <w:tc>
          <w:tcPr>
            <w:tcW w:type="dxa" w:w="1427"/>
            <w:tcBorders>
              <w:top w:val="none" w:color="000000" w:sz="4"/>
              <w:left w:val="none" w:color="000000" w:sz="4"/>
              <w:bottom w:val="single" w:color="000000" w:sz="4"/>
              <w:right w:val="single" w:color="000000" w:sz="4"/>
            </w:tcBorders>
            <w:vAlign w:val="top"/>
          </w:tcPr>
          <w:p>
            <w:pPr>
              <w:jc w:val="both"/>
            </w:pPr>
            <w:r>
              <w:rPr>
                <w:b/>
                <w:sz w:val="22"/>
              </w:rPr>
              <w:t>履约保证金</w:t>
            </w:r>
          </w:p>
        </w:tc>
        <w:tc>
          <w:tcPr>
            <w:tcW w:type="dxa" w:w="6218"/>
            <w:tcBorders>
              <w:top w:val="none" w:color="000000" w:sz="4"/>
              <w:left w:val="none" w:color="000000" w:sz="4"/>
              <w:bottom w:val="single" w:color="000000" w:sz="4"/>
              <w:right w:val="single" w:color="000000" w:sz="4"/>
            </w:tcBorders>
            <w:vAlign w:val="top"/>
          </w:tcPr>
          <w:p>
            <w:pPr>
              <w:jc w:val="both"/>
            </w:pPr>
            <w:r>
              <w:rPr>
                <w:sz w:val="22"/>
              </w:rPr>
              <w:t>收取比例：</w:t>
            </w:r>
            <w:r>
              <w:rPr>
                <w:sz w:val="22"/>
              </w:rPr>
              <w:t>5%,</w:t>
            </w:r>
            <w:r>
              <w:rPr>
                <w:sz w:val="22"/>
              </w:rPr>
              <w:t>说明：</w:t>
            </w:r>
          </w:p>
          <w:p>
            <w:pPr>
              <w:jc w:val="both"/>
            </w:pPr>
            <w:r>
              <w:rPr>
                <w:sz w:val="22"/>
              </w:rPr>
              <w:t>1</w:t>
            </w:r>
            <w:r>
              <w:rPr>
                <w:sz w:val="22"/>
              </w:rPr>
              <w:t>、乙方须自合同签订之日起</w:t>
            </w:r>
            <w:r>
              <w:rPr>
                <w:sz w:val="22"/>
              </w:rPr>
              <w:t>15</w:t>
            </w:r>
            <w:r>
              <w:rPr>
                <w:sz w:val="22"/>
              </w:rPr>
              <w:t>个工作日内，以支票、汇票、本票或者金融机构、担保机构出具的保函等非现金形式向甲方交纳履约保证金，履约保证金金额为</w:t>
            </w:r>
            <w:r>
              <w:rPr>
                <w:sz w:val="21"/>
                <w:u w:val="single"/>
              </w:rPr>
              <w:t xml:space="preserve">         </w:t>
            </w:r>
            <w:r>
              <w:rPr>
                <w:sz w:val="22"/>
              </w:rPr>
              <w:t>（即采购包预算金额</w:t>
            </w:r>
            <w:r>
              <w:rPr>
                <w:sz w:val="22"/>
              </w:rPr>
              <w:t>×5%</w:t>
            </w:r>
            <w:r>
              <w:rPr>
                <w:sz w:val="22"/>
              </w:rPr>
              <w:t>），四舍五入到分。</w:t>
            </w:r>
          </w:p>
          <w:p>
            <w:pPr>
              <w:jc w:val="both"/>
            </w:pPr>
            <w:r>
              <w:rPr>
                <w:sz w:val="22"/>
              </w:rPr>
              <w:t>2</w:t>
            </w:r>
            <w:r>
              <w:rPr>
                <w:sz w:val="22"/>
              </w:rPr>
              <w:t>、采用保函时，保函须为见索即付、不可撤销的保函，履约担保期限：自合同签订生效之日起至合同期满后</w:t>
            </w:r>
            <w:r>
              <w:rPr>
                <w:sz w:val="22"/>
              </w:rPr>
              <w:t>90</w:t>
            </w:r>
            <w:r>
              <w:rPr>
                <w:sz w:val="22"/>
              </w:rPr>
              <w:t>个日历日止，且必须包含以下内容：</w:t>
            </w:r>
          </w:p>
          <w:p>
            <w:pPr>
              <w:jc w:val="both"/>
            </w:pPr>
            <w:r>
              <w:rPr>
                <w:sz w:val="22"/>
              </w:rPr>
              <w:t>（</w:t>
            </w:r>
            <w:r>
              <w:rPr>
                <w:sz w:val="22"/>
              </w:rPr>
              <w:t>1</w:t>
            </w:r>
            <w:r>
              <w:rPr>
                <w:sz w:val="22"/>
              </w:rPr>
              <w:t>）甲方名称、项目名称、乙方名称、担保金额、担保期限；</w:t>
            </w:r>
          </w:p>
          <w:p>
            <w:pPr>
              <w:jc w:val="both"/>
            </w:pPr>
            <w:r>
              <w:rPr>
                <w:sz w:val="22"/>
              </w:rPr>
              <w:t>（</w:t>
            </w:r>
            <w:r>
              <w:rPr>
                <w:sz w:val="22"/>
              </w:rPr>
              <w:t>2</w:t>
            </w:r>
            <w:r>
              <w:rPr>
                <w:sz w:val="22"/>
              </w:rPr>
              <w:t>）保证方式为连带责任保证；</w:t>
            </w:r>
          </w:p>
          <w:p>
            <w:pPr>
              <w:jc w:val="both"/>
            </w:pPr>
            <w:r>
              <w:rPr>
                <w:sz w:val="22"/>
              </w:rPr>
              <w:t>（</w:t>
            </w:r>
            <w:r>
              <w:rPr>
                <w:sz w:val="22"/>
              </w:rPr>
              <w:t>3</w:t>
            </w:r>
            <w:r>
              <w:rPr>
                <w:sz w:val="22"/>
              </w:rPr>
              <w:t>）在甲方向银行提出索赔时，银行将不要求甲方先向乙方提出索赔或要求甲方提供其他任何证明材料；</w:t>
            </w:r>
          </w:p>
          <w:p>
            <w:pPr>
              <w:jc w:val="both"/>
            </w:pPr>
            <w:r>
              <w:rPr>
                <w:sz w:val="22"/>
              </w:rPr>
              <w:t>（</w:t>
            </w:r>
            <w:r>
              <w:rPr>
                <w:sz w:val="22"/>
              </w:rPr>
              <w:t>4</w:t>
            </w:r>
            <w:r>
              <w:rPr>
                <w:sz w:val="22"/>
              </w:rPr>
              <w:t>）如在履约担保期限内，乙方自行解除合同或违反合同有关规定被甲方解除合同的，则履约担保金归甲方所有；</w:t>
            </w:r>
          </w:p>
          <w:p>
            <w:pPr>
              <w:jc w:val="both"/>
            </w:pPr>
            <w:r>
              <w:rPr>
                <w:sz w:val="22"/>
              </w:rPr>
              <w:t>（</w:t>
            </w:r>
            <w:r>
              <w:rPr>
                <w:sz w:val="22"/>
              </w:rPr>
              <w:t>5</w:t>
            </w:r>
            <w:r>
              <w:rPr>
                <w:sz w:val="22"/>
              </w:rPr>
              <w:t>）甲方可在担保限额内要求多次赔付；</w:t>
            </w:r>
          </w:p>
          <w:p>
            <w:pPr>
              <w:jc w:val="both"/>
            </w:pPr>
            <w:r>
              <w:rPr>
                <w:sz w:val="22"/>
              </w:rPr>
              <w:t>（</w:t>
            </w:r>
            <w:r>
              <w:rPr>
                <w:sz w:val="22"/>
              </w:rPr>
              <w:t>6</w:t>
            </w:r>
            <w:r>
              <w:rPr>
                <w:sz w:val="22"/>
              </w:rPr>
              <w:t>）因本保函发生的纠纷，由甲方和乙方协商解决，协商不成的，任意一方均有权将争议提交项目所在地有管辖权的人民法院诉讼解决；</w:t>
            </w:r>
          </w:p>
          <w:p>
            <w:pPr>
              <w:jc w:val="both"/>
            </w:pPr>
            <w:r>
              <w:rPr>
                <w:sz w:val="22"/>
              </w:rPr>
              <w:t>（</w:t>
            </w:r>
            <w:r>
              <w:rPr>
                <w:sz w:val="22"/>
              </w:rPr>
              <w:t>7</w:t>
            </w:r>
            <w:r>
              <w:rPr>
                <w:sz w:val="22"/>
              </w:rPr>
              <w:t>）乙方在提供履约担保时所发生的一切费用由乙方承担。</w:t>
            </w:r>
          </w:p>
          <w:p>
            <w:pPr>
              <w:jc w:val="both"/>
            </w:pPr>
            <w:r>
              <w:rPr>
                <w:sz w:val="22"/>
              </w:rPr>
              <w:t>3</w:t>
            </w:r>
            <w:r>
              <w:rPr>
                <w:sz w:val="22"/>
              </w:rPr>
              <w:t>、合同履行期间，履约担保被扣除、没收或履约保函过期的，乙方应于</w:t>
            </w:r>
            <w:r>
              <w:rPr>
                <w:sz w:val="22"/>
              </w:rPr>
              <w:t>15</w:t>
            </w:r>
            <w:r>
              <w:rPr>
                <w:sz w:val="22"/>
              </w:rPr>
              <w:t>个工作日内向甲方补足被扣除部分或按本合同约定重新出具合法有效的履约保函。自逾期之日起，乙方应每日以履约担保不足部分为基数按银行同期贷款利率向甲方支付滞纳金。逾期超过</w:t>
            </w:r>
            <w:r>
              <w:rPr>
                <w:sz w:val="22"/>
              </w:rPr>
              <w:t>30</w:t>
            </w:r>
            <w:r>
              <w:rPr>
                <w:sz w:val="22"/>
              </w:rPr>
              <w:t>个工作的，乙方除应每日以履约担保不足部分为基数按银行同期贷款利率向年方支付滞纳金外，还应向甲方支付与本合同履约保证金同等金额的违约金，同时甲方有权单方解除合同。</w:t>
            </w:r>
          </w:p>
          <w:p>
            <w:pPr>
              <w:jc w:val="both"/>
            </w:pPr>
            <w:r>
              <w:rPr>
                <w:sz w:val="22"/>
              </w:rPr>
              <w:t>4</w:t>
            </w:r>
            <w:r>
              <w:rPr>
                <w:sz w:val="22"/>
              </w:rPr>
              <w:t>、在乙方按合同要求全部完成规定的项目内容工作后，如乙方无违约行为的，乙方向甲方提出后，甲方于合同期满后</w:t>
            </w:r>
            <w:r>
              <w:rPr>
                <w:sz w:val="22"/>
              </w:rPr>
              <w:t>90</w:t>
            </w:r>
            <w:r>
              <w:rPr>
                <w:sz w:val="22"/>
              </w:rPr>
              <w:t>个日历日后</w:t>
            </w:r>
            <w:r>
              <w:rPr>
                <w:sz w:val="22"/>
              </w:rPr>
              <w:t>15</w:t>
            </w:r>
            <w:r>
              <w:rPr>
                <w:sz w:val="22"/>
              </w:rPr>
              <w:t>个工作日内退还给乙方。</w:t>
            </w:r>
          </w:p>
          <w:p>
            <w:pPr>
              <w:jc w:val="both"/>
            </w:pPr>
            <w:r>
              <w:rPr>
                <w:sz w:val="22"/>
              </w:rPr>
              <w:t>5</w:t>
            </w:r>
            <w:r>
              <w:rPr>
                <w:sz w:val="22"/>
              </w:rPr>
              <w:t>、因甲方原因单方解除合同的，甲方于合同解除之日起</w:t>
            </w:r>
            <w:r>
              <w:rPr>
                <w:sz w:val="22"/>
              </w:rPr>
              <w:t>90</w:t>
            </w:r>
            <w:r>
              <w:rPr>
                <w:sz w:val="22"/>
              </w:rPr>
              <w:t>个日历天后</w:t>
            </w:r>
            <w:r>
              <w:rPr>
                <w:sz w:val="22"/>
              </w:rPr>
              <w:t>15</w:t>
            </w:r>
            <w:r>
              <w:rPr>
                <w:sz w:val="22"/>
              </w:rPr>
              <w:t>个工作日内不计利息退还履约保证金给乙方。</w:t>
            </w:r>
          </w:p>
          <w:p>
            <w:pPr>
              <w:jc w:val="left"/>
            </w:pPr>
            <w:r>
              <w:rPr>
                <w:sz w:val="22"/>
              </w:rPr>
              <w:t>6</w:t>
            </w:r>
            <w:r>
              <w:rPr>
                <w:sz w:val="22"/>
              </w:rPr>
              <w:t>、履约保证金可以以履约保函（保险）形式提供，目前</w:t>
            </w:r>
            <w:r>
              <w:rPr>
                <w:sz w:val="22"/>
              </w:rPr>
              <w:t>"</w:t>
            </w:r>
            <w:r>
              <w:rPr>
                <w:sz w:val="22"/>
              </w:rPr>
              <w:t>广东政府采购智慧云平台金融服务中心</w:t>
            </w:r>
            <w:r>
              <w:rPr>
                <w:sz w:val="22"/>
              </w:rPr>
              <w:t>(https://gdgpo.czt.gd.gov.cn/zcdservice/zcd/guangdong/)</w:t>
            </w:r>
            <w:r>
              <w:rPr>
                <w:sz w:val="22"/>
              </w:rPr>
              <w:t>已实现电子履约保函（保险）在线办理功能，有意愿供应商可自行办理提供。</w:t>
            </w:r>
          </w:p>
        </w:tc>
      </w:tr>
    </w:tbl>
    <w:p>
      <w:pPr>
        <w:jc w:val="both"/>
      </w:pPr>
      <w:r>
        <w:rPr>
          <w:sz w:val="21"/>
        </w:rPr>
        <w:t xml:space="preserve"> </w:t>
      </w:r>
    </w:p>
    <w:p>
      <w:pPr>
        <w:ind w:firstLine="482"/>
        <w:jc w:val="left"/>
      </w:pPr>
      <w:r>
        <w:rPr>
          <w:b/>
          <w:sz w:val="24"/>
        </w:rPr>
        <w:t>四、服务响应要求</w:t>
      </w:r>
    </w:p>
    <w:p>
      <w:pPr>
        <w:ind w:firstLine="480"/>
        <w:jc w:val="both"/>
      </w:pPr>
      <w:r>
        <w:rPr>
          <w:sz w:val="24"/>
        </w:rPr>
        <w:t>1</w:t>
      </w:r>
      <w:r>
        <w:rPr>
          <w:sz w:val="24"/>
        </w:rPr>
        <w:t>、乙方须提供常设全天候</w:t>
      </w:r>
      <w:r>
        <w:rPr>
          <w:sz w:val="24"/>
        </w:rPr>
        <w:t>24</w:t>
      </w:r>
      <w:r>
        <w:rPr>
          <w:sz w:val="24"/>
        </w:rPr>
        <w:t>小时热线服务，能快速、及时、有效地响应甲方需求。乙方于协议生效期间，在接到甲方以电话、邮件、微信等形式发出的零散项目需求时，应在</w:t>
      </w:r>
      <w:r>
        <w:rPr>
          <w:sz w:val="24"/>
        </w:rPr>
        <w:t>4</w:t>
      </w:r>
      <w:r>
        <w:rPr>
          <w:sz w:val="24"/>
        </w:rPr>
        <w:t>小时内响应，并按规定时间内到达指定地点进行施工。</w:t>
      </w:r>
    </w:p>
    <w:p>
      <w:pPr>
        <w:ind w:firstLine="480"/>
        <w:jc w:val="both"/>
      </w:pPr>
      <w:r>
        <w:rPr>
          <w:sz w:val="24"/>
        </w:rPr>
        <w:t>2</w:t>
      </w:r>
      <w:r>
        <w:rPr>
          <w:sz w:val="24"/>
        </w:rPr>
        <w:t>、对甲方委托的紧急项目或迎接上级部门的检查，乙方应无条件响应。</w:t>
      </w:r>
    </w:p>
    <w:p>
      <w:pPr>
        <w:ind w:firstLine="480"/>
        <w:jc w:val="both"/>
      </w:pPr>
      <w:r>
        <w:rPr>
          <w:sz w:val="24"/>
        </w:rPr>
        <w:t>3</w:t>
      </w:r>
      <w:r>
        <w:rPr>
          <w:sz w:val="24"/>
        </w:rPr>
        <w:t>、对甲方的其他预约服务，要求到达指定地点的应按其要求准时到达。</w:t>
      </w:r>
    </w:p>
    <w:p>
      <w:pPr>
        <w:ind w:firstLine="480"/>
        <w:jc w:val="both"/>
      </w:pPr>
      <w:r>
        <w:rPr>
          <w:sz w:val="24"/>
        </w:rPr>
        <w:t>4</w:t>
      </w:r>
      <w:r>
        <w:rPr>
          <w:sz w:val="24"/>
        </w:rPr>
        <w:t>、乙方应为本项目安排固定的联系人，若因特殊情况需变更联系人，应当及时以书面形式通知甲方，并说明情况，获得甲方同意。签订合同的同时乙方需附联系人的身份证明、联系方式及授权委托。</w:t>
      </w:r>
    </w:p>
    <w:p>
      <w:pPr>
        <w:ind w:firstLine="482"/>
        <w:jc w:val="left"/>
      </w:pPr>
      <w:r>
        <w:rPr>
          <w:b/>
          <w:sz w:val="24"/>
        </w:rPr>
        <w:t>五、双方权利、责任及义务</w:t>
      </w:r>
    </w:p>
    <w:p>
      <w:pPr>
        <w:ind w:firstLine="480"/>
        <w:jc w:val="both"/>
      </w:pPr>
      <w:r>
        <w:rPr>
          <w:sz w:val="24"/>
        </w:rPr>
        <w:t>1</w:t>
      </w:r>
      <w:r>
        <w:rPr>
          <w:sz w:val="24"/>
        </w:rPr>
        <w:t>、甲方权利与责任</w:t>
      </w:r>
    </w:p>
    <w:p>
      <w:pPr>
        <w:ind w:firstLine="480"/>
        <w:jc w:val="both"/>
      </w:pPr>
      <w:r>
        <w:rPr>
          <w:sz w:val="24"/>
        </w:rPr>
        <w:t>（</w:t>
      </w:r>
      <w:r>
        <w:rPr>
          <w:sz w:val="24"/>
        </w:rPr>
        <w:t>1</w:t>
      </w:r>
      <w:r>
        <w:rPr>
          <w:sz w:val="24"/>
        </w:rPr>
        <w:t>）甲方对乙方实施统筹管理；</w:t>
      </w:r>
    </w:p>
    <w:p>
      <w:pPr>
        <w:ind w:firstLine="480"/>
        <w:jc w:val="both"/>
      </w:pPr>
      <w:r>
        <w:rPr>
          <w:sz w:val="24"/>
        </w:rPr>
        <w:t>（</w:t>
      </w:r>
      <w:r>
        <w:rPr>
          <w:sz w:val="24"/>
        </w:rPr>
        <w:t>2</w:t>
      </w:r>
      <w:r>
        <w:rPr>
          <w:sz w:val="24"/>
        </w:rPr>
        <w:t>）甲方如发现乙方经办人不按合同约定履行其职责，有权要求乙方更换经办人员或终止合同；</w:t>
      </w:r>
    </w:p>
    <w:p>
      <w:pPr>
        <w:ind w:firstLine="480"/>
        <w:jc w:val="both"/>
      </w:pPr>
      <w:r>
        <w:rPr>
          <w:sz w:val="24"/>
        </w:rPr>
        <w:t>（</w:t>
      </w:r>
      <w:r>
        <w:rPr>
          <w:sz w:val="24"/>
        </w:rPr>
        <w:t>3</w:t>
      </w:r>
      <w:r>
        <w:rPr>
          <w:sz w:val="24"/>
        </w:rPr>
        <w:t>）如乙方在工作中遇到需要协调的问题，甲方应给与配合，协助乙方解决；</w:t>
      </w:r>
    </w:p>
    <w:p>
      <w:pPr>
        <w:ind w:firstLine="480"/>
        <w:jc w:val="both"/>
      </w:pPr>
      <w:r>
        <w:rPr>
          <w:sz w:val="24"/>
        </w:rPr>
        <w:t>（</w:t>
      </w:r>
      <w:r>
        <w:rPr>
          <w:sz w:val="24"/>
        </w:rPr>
        <w:t>4</w:t>
      </w:r>
      <w:r>
        <w:rPr>
          <w:sz w:val="24"/>
        </w:rPr>
        <w:t>）甲方按合同约定支付服务费用。</w:t>
      </w:r>
    </w:p>
    <w:p>
      <w:pPr>
        <w:ind w:firstLine="480"/>
        <w:jc w:val="both"/>
      </w:pPr>
      <w:r>
        <w:rPr>
          <w:sz w:val="24"/>
        </w:rPr>
        <w:t>2</w:t>
      </w:r>
      <w:r>
        <w:rPr>
          <w:sz w:val="24"/>
        </w:rPr>
        <w:t>、乙方责任与义务</w:t>
      </w:r>
    </w:p>
    <w:p>
      <w:pPr>
        <w:ind w:firstLine="480"/>
        <w:jc w:val="both"/>
      </w:pPr>
      <w:r>
        <w:rPr>
          <w:sz w:val="24"/>
        </w:rPr>
        <w:t>（</w:t>
      </w:r>
      <w:r>
        <w:rPr>
          <w:sz w:val="24"/>
        </w:rPr>
        <w:t>1</w:t>
      </w:r>
      <w:r>
        <w:rPr>
          <w:sz w:val="24"/>
        </w:rPr>
        <w:t>）乙方必须严格按照协议书和具体项目合同约定完成全部工作内容，未经甲方批准不得分包及转包，实施期间不得更换项目负责人。</w:t>
      </w:r>
    </w:p>
    <w:p>
      <w:pPr>
        <w:ind w:firstLine="480"/>
        <w:jc w:val="both"/>
      </w:pPr>
      <w:r>
        <w:rPr>
          <w:sz w:val="24"/>
        </w:rPr>
        <w:t>（</w:t>
      </w:r>
      <w:r>
        <w:rPr>
          <w:sz w:val="24"/>
        </w:rPr>
        <w:t>2</w:t>
      </w:r>
      <w:r>
        <w:rPr>
          <w:sz w:val="24"/>
        </w:rPr>
        <w:t>）由甲方制定《考核标准及细则》，乙方应严格执行。</w:t>
      </w:r>
    </w:p>
    <w:p>
      <w:pPr>
        <w:ind w:firstLine="480"/>
        <w:jc w:val="both"/>
      </w:pPr>
      <w:r>
        <w:rPr>
          <w:sz w:val="24"/>
        </w:rPr>
        <w:t>（</w:t>
      </w:r>
      <w:r>
        <w:rPr>
          <w:sz w:val="24"/>
        </w:rPr>
        <w:t>3</w:t>
      </w:r>
      <w:r>
        <w:rPr>
          <w:sz w:val="24"/>
        </w:rPr>
        <w:t>）乙方应在自身业务资质范围内承接施工业务，若存在项目规模超过乙方业务资质承接范围的情况时，应当及时报告甲方，甲方有权将该项目直接委派本项目另一中标单位实施。</w:t>
      </w:r>
    </w:p>
    <w:p>
      <w:pPr>
        <w:ind w:firstLine="480"/>
        <w:jc w:val="both"/>
      </w:pPr>
      <w:r>
        <w:rPr>
          <w:sz w:val="24"/>
        </w:rPr>
        <w:t>（</w:t>
      </w:r>
      <w:r>
        <w:rPr>
          <w:sz w:val="24"/>
        </w:rPr>
        <w:t>4</w:t>
      </w:r>
      <w:r>
        <w:rPr>
          <w:sz w:val="24"/>
        </w:rPr>
        <w:t>）乙方的企业资质等级发生变化的，应当及时报告甲方。如果乙方资质等级条件不再满足本项目的资格要求，甲方有权取消该乙方的中标资格。</w:t>
      </w:r>
    </w:p>
    <w:p>
      <w:pPr>
        <w:ind w:firstLine="480"/>
        <w:jc w:val="both"/>
      </w:pPr>
      <w:r>
        <w:rPr>
          <w:sz w:val="24"/>
        </w:rPr>
        <w:t>（</w:t>
      </w:r>
      <w:r>
        <w:rPr>
          <w:sz w:val="24"/>
        </w:rPr>
        <w:t>5</w:t>
      </w:r>
      <w:r>
        <w:rPr>
          <w:sz w:val="24"/>
        </w:rPr>
        <w:t>）乙方应当履行下列义务：</w:t>
      </w:r>
    </w:p>
    <w:p>
      <w:pPr>
        <w:ind w:firstLine="480"/>
        <w:jc w:val="both"/>
      </w:pPr>
      <w:r>
        <w:rPr>
          <w:sz w:val="24"/>
        </w:rPr>
        <w:t>1</w:t>
      </w:r>
      <w:r>
        <w:rPr>
          <w:sz w:val="24"/>
        </w:rPr>
        <w:t>）没有违反有关法律法规，受到有关行政主管部门吊销其营业执照、取消或暂停其资质、限制其市场准入资格等处罚的；</w:t>
      </w:r>
    </w:p>
    <w:p>
      <w:pPr>
        <w:ind w:firstLine="480"/>
        <w:jc w:val="both"/>
      </w:pPr>
      <w:r>
        <w:rPr>
          <w:sz w:val="24"/>
        </w:rPr>
        <w:t>2</w:t>
      </w:r>
      <w:r>
        <w:rPr>
          <w:sz w:val="24"/>
        </w:rPr>
        <w:t>）没有因违规违纪行为，受到行业监督管理部门通报、查处的；</w:t>
      </w:r>
    </w:p>
    <w:p>
      <w:pPr>
        <w:ind w:firstLine="480"/>
        <w:jc w:val="both"/>
      </w:pPr>
      <w:r>
        <w:rPr>
          <w:sz w:val="24"/>
        </w:rPr>
        <w:t>3</w:t>
      </w:r>
      <w:r>
        <w:rPr>
          <w:sz w:val="24"/>
        </w:rPr>
        <w:t>）遵守有关安全生产规定和施工规范，不得造成重大质量问题或安全事故、环保事故或引发群体性事件（如拖欠工人工资等）受到政府相关部门处罚的；</w:t>
      </w:r>
    </w:p>
    <w:p>
      <w:pPr>
        <w:ind w:firstLine="480"/>
        <w:jc w:val="both"/>
      </w:pPr>
      <w:r>
        <w:rPr>
          <w:sz w:val="24"/>
        </w:rPr>
        <w:t>4</w:t>
      </w:r>
      <w:r>
        <w:rPr>
          <w:sz w:val="24"/>
        </w:rPr>
        <w:t>）在组织项目施工过程中不得违反项目施工相关法律法规或出现重大失误造成恶劣影响的；</w:t>
      </w:r>
    </w:p>
    <w:p>
      <w:pPr>
        <w:ind w:firstLine="480"/>
        <w:jc w:val="both"/>
      </w:pPr>
      <w:r>
        <w:rPr>
          <w:sz w:val="24"/>
        </w:rPr>
        <w:t>5</w:t>
      </w:r>
      <w:r>
        <w:rPr>
          <w:sz w:val="24"/>
        </w:rPr>
        <w:t>）必须按甲方要求提供真实有效信息；</w:t>
      </w:r>
    </w:p>
    <w:p>
      <w:pPr>
        <w:ind w:firstLine="480"/>
        <w:jc w:val="both"/>
      </w:pPr>
      <w:r>
        <w:rPr>
          <w:sz w:val="24"/>
        </w:rPr>
        <w:t>6</w:t>
      </w:r>
      <w:r>
        <w:rPr>
          <w:sz w:val="24"/>
        </w:rPr>
        <w:t>）诚实信用和遵守投标承诺，严格执行相关质量、服务和收费标准；</w:t>
      </w:r>
    </w:p>
    <w:p>
      <w:pPr>
        <w:ind w:firstLine="480"/>
        <w:jc w:val="both"/>
      </w:pPr>
      <w:r>
        <w:rPr>
          <w:sz w:val="24"/>
        </w:rPr>
        <w:t>7</w:t>
      </w:r>
      <w:r>
        <w:rPr>
          <w:sz w:val="24"/>
        </w:rPr>
        <w:t>）必须接受相关部门监督和检查的；</w:t>
      </w:r>
    </w:p>
    <w:p>
      <w:pPr>
        <w:ind w:firstLine="480"/>
        <w:jc w:val="both"/>
      </w:pPr>
      <w:r>
        <w:rPr>
          <w:sz w:val="24"/>
        </w:rPr>
        <w:t>8</w:t>
      </w:r>
      <w:r>
        <w:rPr>
          <w:sz w:val="24"/>
        </w:rPr>
        <w:t>）不得采用非法手段进行不正当竞争的，造成恶劣影响的；</w:t>
      </w:r>
    </w:p>
    <w:p>
      <w:pPr>
        <w:ind w:firstLine="480"/>
        <w:jc w:val="both"/>
      </w:pPr>
      <w:r>
        <w:rPr>
          <w:sz w:val="24"/>
        </w:rPr>
        <w:t>9</w:t>
      </w:r>
      <w:r>
        <w:rPr>
          <w:sz w:val="24"/>
        </w:rPr>
        <w:t>）在施工过程中不得非法获取与项目有关的任何非法利益的；</w:t>
      </w:r>
    </w:p>
    <w:p>
      <w:pPr>
        <w:ind w:firstLine="480"/>
        <w:jc w:val="both"/>
      </w:pPr>
      <w:r>
        <w:rPr>
          <w:sz w:val="24"/>
        </w:rPr>
        <w:t>10</w:t>
      </w:r>
      <w:r>
        <w:rPr>
          <w:sz w:val="24"/>
        </w:rPr>
        <w:t>）乙方单位的资质条件发生变化，不适合承建服务相关零散项目或已不符合资格条件的，须及时报告甲方的；</w:t>
      </w:r>
    </w:p>
    <w:p>
      <w:pPr>
        <w:ind w:firstLine="480"/>
        <w:jc w:val="both"/>
      </w:pPr>
      <w:r>
        <w:rPr>
          <w:sz w:val="24"/>
        </w:rPr>
        <w:t>11</w:t>
      </w:r>
      <w:r>
        <w:rPr>
          <w:sz w:val="24"/>
        </w:rPr>
        <w:t>）遵守本省、市、区及街道政府的相关管理规定的。</w:t>
      </w:r>
    </w:p>
    <w:p>
      <w:pPr>
        <w:ind w:firstLine="480"/>
        <w:jc w:val="both"/>
      </w:pPr>
      <w:r>
        <w:rPr>
          <w:sz w:val="24"/>
        </w:rPr>
        <w:t>12</w:t>
      </w:r>
      <w:r>
        <w:rPr>
          <w:sz w:val="24"/>
        </w:rPr>
        <w:t>）每次均接受发包价格及单项服务合同条款（违约处罚、履约保证金等）承接零散项目。</w:t>
      </w:r>
    </w:p>
    <w:p>
      <w:pPr>
        <w:ind w:firstLine="482"/>
        <w:jc w:val="left"/>
      </w:pPr>
      <w:r>
        <w:rPr>
          <w:b/>
          <w:sz w:val="24"/>
        </w:rPr>
        <w:t>六、验收要求</w:t>
      </w:r>
    </w:p>
    <w:p>
      <w:pPr>
        <w:ind w:firstLine="480"/>
        <w:jc w:val="both"/>
      </w:pPr>
      <w:r>
        <w:rPr>
          <w:sz w:val="24"/>
        </w:rPr>
        <w:t>质量标准按执行国家、省或行业现行的标准及规范，确保项目质量达到合格或以上验收质量等级标准。保证项目一次性验收合格，否则乙方必须按《考核标准及细则》承担违约责任并采取补救或返工措施，直到达到承诺的项目质量验收标准为止，补救或返工所需费用由乙方承担。如经过补救或返工措施仍未达到合格质量标准的，甲方有权将该部分项目委托给其他单位实施。</w:t>
      </w:r>
    </w:p>
    <w:p>
      <w:pPr>
        <w:ind w:firstLine="482"/>
        <w:jc w:val="left"/>
      </w:pPr>
      <w:r>
        <w:rPr>
          <w:b/>
          <w:sz w:val="24"/>
        </w:rPr>
        <w:t>七、零散项目的工期要求</w:t>
      </w:r>
    </w:p>
    <w:p>
      <w:pPr>
        <w:ind w:firstLine="480"/>
        <w:jc w:val="both"/>
      </w:pPr>
      <w:r>
        <w:rPr>
          <w:sz w:val="24"/>
        </w:rPr>
        <w:t>项目内容：以甲方在每个合同期期间安排的零散项目为准，乙方必须按甲方发出的工作联系单、按质、按量、按时独立完成，以甲方发出具体项目的施工图纸或项目内容为准，并在通过验收后向发包单位办理移交手续。</w:t>
      </w:r>
    </w:p>
    <w:p>
      <w:pPr>
        <w:ind w:firstLine="480"/>
        <w:jc w:val="both"/>
      </w:pPr>
      <w:r>
        <w:rPr>
          <w:sz w:val="24"/>
        </w:rPr>
        <w:t>乙方必须按甲方确认的进度计划组织施工，接受甲方对进度的检查、监督。项目实际进度与经确认的进度计划不符时，乙方应无条件地按甲方的要求提出改进措施，经甲方确认后执行，确保项目的施工进度。如为保证在工期内完工，甲方认为有必要采取赶工措施的，乙方应该积极配合，因赶工而增加的费用由乙方自行承担。</w:t>
      </w:r>
    </w:p>
    <w:p>
      <w:pPr>
        <w:ind w:firstLine="480"/>
        <w:jc w:val="both"/>
      </w:pPr>
      <w:r>
        <w:rPr>
          <w:b/>
          <w:sz w:val="24"/>
        </w:rPr>
        <w:t>八、本项目采购预算及项目金额确定及发包流程</w:t>
      </w:r>
      <w:r>
        <w:rPr>
          <w:sz w:val="24"/>
        </w:rPr>
        <w:t>（一）单宗零散项目金额确定：按《建设工程工程量清单计价规范》</w:t>
      </w:r>
      <w:r>
        <w:rPr>
          <w:sz w:val="24"/>
        </w:rPr>
        <w:t>(GB50500—2013)</w:t>
      </w:r>
      <w:r>
        <w:rPr>
          <w:sz w:val="24"/>
        </w:rPr>
        <w:t>、</w:t>
      </w:r>
      <w:r>
        <w:rPr>
          <w:sz w:val="24"/>
        </w:rPr>
        <w:t>2018</w:t>
      </w:r>
      <w:r>
        <w:rPr>
          <w:sz w:val="24"/>
        </w:rPr>
        <w:t>年《广东省建设工程计价依据》、《通用安装工程工程量计算规范》</w:t>
      </w:r>
      <w:r>
        <w:rPr>
          <w:sz w:val="24"/>
        </w:rPr>
        <w:t>(GB50858-2013)</w:t>
      </w:r>
      <w:r>
        <w:rPr>
          <w:sz w:val="24"/>
        </w:rPr>
        <w:t>、《广东省市政工程综合定额</w:t>
      </w:r>
      <w:r>
        <w:rPr>
          <w:sz w:val="24"/>
        </w:rPr>
        <w:t>(2018)</w:t>
      </w:r>
      <w:r>
        <w:rPr>
          <w:sz w:val="24"/>
        </w:rPr>
        <w:t>》、《广东省通用安装工程综合定额</w:t>
      </w:r>
      <w:r>
        <w:rPr>
          <w:sz w:val="24"/>
        </w:rPr>
        <w:t>(2018)</w:t>
      </w:r>
      <w:r>
        <w:rPr>
          <w:sz w:val="24"/>
        </w:rPr>
        <w:t>》、《广东省建设工程施工机具台班费用编制规则</w:t>
      </w:r>
      <w:r>
        <w:rPr>
          <w:sz w:val="24"/>
        </w:rPr>
        <w:t>(2018)</w:t>
      </w:r>
      <w:r>
        <w:rPr>
          <w:sz w:val="24"/>
        </w:rPr>
        <w:t>》等相关国家、省、市标准为依据（如有新的规范等则按最新的执行），并按项目有关的资料进行计量编制，其中人工、材料、机械价格以单宗零散项目实施起当月的佛山市工程造价管理机构发布的信息价格（简称信息价）进行组价，信息价缺价的，采用施工当地市场价格。本项目不调价差。</w:t>
      </w:r>
    </w:p>
    <w:p>
      <w:pPr>
        <w:ind w:firstLine="480"/>
        <w:jc w:val="both"/>
      </w:pPr>
      <w:r>
        <w:rPr>
          <w:sz w:val="24"/>
        </w:rPr>
        <w:t>（二）甲方根据实际需要与乙方签订一份具体的单宗零散项目服务委派单，确定零散项目金额上限价结算办法，承包单位须无条件接受。有关发包零散项目的价款及结算价款的确定办法如下：</w:t>
      </w:r>
    </w:p>
    <w:p>
      <w:pPr>
        <w:ind w:firstLine="480"/>
        <w:jc w:val="both"/>
      </w:pPr>
      <w:r>
        <w:rPr>
          <w:sz w:val="24"/>
        </w:rPr>
        <w:t>（</w:t>
      </w:r>
      <w:r>
        <w:rPr>
          <w:sz w:val="24"/>
        </w:rPr>
        <w:t>1</w:t>
      </w:r>
      <w:r>
        <w:rPr>
          <w:sz w:val="24"/>
        </w:rPr>
        <w:t>）发包前，甲方根据资金立项情况，签订服务委派单上限金额；</w:t>
      </w:r>
    </w:p>
    <w:p>
      <w:pPr>
        <w:ind w:firstLine="480"/>
        <w:jc w:val="both"/>
      </w:pPr>
      <w:r>
        <w:rPr>
          <w:sz w:val="24"/>
        </w:rPr>
        <w:t>（</w:t>
      </w:r>
      <w:r>
        <w:rPr>
          <w:sz w:val="24"/>
        </w:rPr>
        <w:t>2</w:t>
      </w:r>
      <w:r>
        <w:rPr>
          <w:sz w:val="24"/>
        </w:rPr>
        <w:t>）发包时，甲方在服务委派单期期间安排零散项目，乙方按甲方提出的零散项目按质、按量、按时独立完成，并通过甲方的验收，单宗零散项目竣工结算按中介（造价公司）核算的结算金额为依据。</w:t>
      </w:r>
    </w:p>
    <w:p>
      <w:pPr>
        <w:ind w:firstLine="480"/>
        <w:jc w:val="both"/>
      </w:pPr>
      <w:r>
        <w:rPr>
          <w:sz w:val="24"/>
        </w:rPr>
        <w:t>即：单宗零散项目结算价＝中介（造价公司）核算的结算金额</w:t>
      </w:r>
      <w:r>
        <w:rPr>
          <w:sz w:val="24"/>
        </w:rPr>
        <w:t>×</w:t>
      </w:r>
      <w:r>
        <w:rPr>
          <w:sz w:val="24"/>
        </w:rPr>
        <w:t>中标折扣率。</w:t>
      </w:r>
    </w:p>
    <w:p>
      <w:pPr>
        <w:ind w:firstLine="480"/>
        <w:jc w:val="both"/>
      </w:pPr>
      <w:r>
        <w:rPr>
          <w:sz w:val="24"/>
        </w:rPr>
        <w:t>（</w:t>
      </w:r>
      <w:r>
        <w:rPr>
          <w:sz w:val="24"/>
        </w:rPr>
        <w:t>3</w:t>
      </w:r>
      <w:r>
        <w:rPr>
          <w:sz w:val="24"/>
        </w:rPr>
        <w:t>）要求乙方按发包服务委派单总价对发包零散项目的服务量清单或相关资料所涵括的全部项目内容进行承包施工（包施工、包材料、包工期、包安全、包质量、包文明施工），合同价格应包括施工费、利润、各项税费等完成发包项目的全部费用。</w:t>
      </w:r>
    </w:p>
    <w:p>
      <w:pPr>
        <w:ind w:firstLine="480"/>
        <w:jc w:val="both"/>
      </w:pPr>
      <w:r>
        <w:rPr>
          <w:sz w:val="24"/>
        </w:rPr>
        <w:t>（</w:t>
      </w:r>
      <w:r>
        <w:rPr>
          <w:sz w:val="24"/>
        </w:rPr>
        <w:t>4</w:t>
      </w:r>
      <w:r>
        <w:rPr>
          <w:sz w:val="24"/>
        </w:rPr>
        <w:t>）在施工过程中如遇有设计变更、现场签证等事件时，有关的措施项目费用及服务委派单总价按合同专用条款、通用条款或相关约定进行调整，合同结算以造价咨询单位审核并经甲方确认的结论为准。</w:t>
      </w:r>
    </w:p>
    <w:p>
      <w:pPr>
        <w:ind w:firstLine="480"/>
        <w:jc w:val="both"/>
      </w:pPr>
      <w:r>
        <w:rPr>
          <w:sz w:val="24"/>
        </w:rPr>
        <w:t>（</w:t>
      </w:r>
      <w:r>
        <w:rPr>
          <w:sz w:val="24"/>
        </w:rPr>
        <w:t>5</w:t>
      </w:r>
      <w:r>
        <w:rPr>
          <w:sz w:val="24"/>
        </w:rPr>
        <w:t>）结算时，乙方需向甲方提交结算文件及申请资料，由甲方委托造价咨询机构进行结算审核。最终的合同结算价以经甲方审核确认的项目结算造价乘以中标折扣率的计算值为准。</w:t>
      </w:r>
    </w:p>
    <w:p>
      <w:pPr>
        <w:ind w:firstLine="480"/>
        <w:jc w:val="both"/>
      </w:pPr>
      <w:r>
        <w:rPr>
          <w:sz w:val="24"/>
        </w:rPr>
        <w:t>（</w:t>
      </w:r>
      <w:r>
        <w:rPr>
          <w:sz w:val="24"/>
        </w:rPr>
        <w:t>6</w:t>
      </w:r>
      <w:r>
        <w:rPr>
          <w:sz w:val="24"/>
        </w:rPr>
        <w:t>）乙方在填报投标报价时，应根据企业自身的成本核算情况，采购文件、主要合同条款、街道内道路交通环境及市场情况、充分考虑风险因素等进行自主报价。中标后，中标折扣率不得调整。一经投标，即认为该乙方已充分考虑有关风险，愿意承担因这些风险所造成的一切经济损失，并放弃因此造成的损失求偿权。</w:t>
      </w:r>
    </w:p>
    <w:p>
      <w:pPr>
        <w:ind w:firstLine="480"/>
        <w:jc w:val="both"/>
      </w:pPr>
      <w:r>
        <w:rPr>
          <w:sz w:val="24"/>
        </w:rPr>
        <w:t>（三）项目发包流程</w:t>
      </w:r>
    </w:p>
    <w:p>
      <w:pPr>
        <w:ind w:firstLine="480"/>
        <w:jc w:val="both"/>
      </w:pPr>
      <w:r>
        <w:rPr>
          <w:sz w:val="24"/>
        </w:rPr>
        <w:t>甲方单宗发包的零散项目，将与乙方签订一个服务委派单。</w:t>
      </w:r>
    </w:p>
    <w:p>
      <w:pPr>
        <w:ind w:firstLine="482"/>
        <w:jc w:val="left"/>
      </w:pPr>
      <w:r>
        <w:rPr>
          <w:b/>
          <w:sz w:val="24"/>
        </w:rPr>
        <w:t>八、有关零散项目任务的施工管理要求</w:t>
      </w:r>
    </w:p>
    <w:p>
      <w:pPr>
        <w:ind w:firstLine="480"/>
        <w:jc w:val="both"/>
      </w:pPr>
      <w:r>
        <w:rPr>
          <w:sz w:val="24"/>
        </w:rPr>
        <w:t>（</w:t>
      </w:r>
      <w:r>
        <w:rPr>
          <w:sz w:val="24"/>
        </w:rPr>
        <w:t>1</w:t>
      </w:r>
      <w:r>
        <w:rPr>
          <w:sz w:val="24"/>
        </w:rPr>
        <w:t>）乙方在承包零散项目任务时应遵守项目所在地建设管理部门的相关管理规定。</w:t>
      </w:r>
    </w:p>
    <w:p>
      <w:pPr>
        <w:ind w:firstLine="480"/>
        <w:jc w:val="both"/>
      </w:pPr>
      <w:r>
        <w:rPr>
          <w:sz w:val="24"/>
        </w:rPr>
        <w:t>（</w:t>
      </w:r>
      <w:r>
        <w:rPr>
          <w:sz w:val="24"/>
        </w:rPr>
        <w:t>2</w:t>
      </w:r>
      <w:r>
        <w:rPr>
          <w:sz w:val="24"/>
        </w:rPr>
        <w:t>）乙方在承包零散项目任务时，对项目所投入的材料及设备均须采用符合国家相关质量标准的合格产品（有质量等级分类的，应采用最高质量等级或甲方认可的质量等级的产品），并提供样品经甲方认可封板后才可实施材料采购，采购到货后须经甲方初验核查满意并确认后方可投入施工。否则，甲方有权要求乙方无条件进行返工，直至符合要求为止，所产生的一切费用及工期延误均由乙方自行承担。</w:t>
      </w:r>
    </w:p>
    <w:p>
      <w:pPr>
        <w:ind w:firstLine="480"/>
        <w:jc w:val="both"/>
      </w:pPr>
      <w:r>
        <w:rPr>
          <w:sz w:val="24"/>
        </w:rPr>
        <w:t>（</w:t>
      </w:r>
      <w:r>
        <w:rPr>
          <w:sz w:val="24"/>
        </w:rPr>
        <w:t>3</w:t>
      </w:r>
      <w:r>
        <w:rPr>
          <w:sz w:val="24"/>
        </w:rPr>
        <w:t>）乙方在项目组织施工时，须做好施工现场地下管线和邻近建筑物、构筑物、邻近道路、加油站、地下管道、线缆的保护工作并避免损坏道路，因保护不当或施工原因造成的损失，均由乙方自行承担赔偿责任；由此造成甲方经济损失的，甲方有权向乙方追偿。</w:t>
      </w:r>
    </w:p>
    <w:p>
      <w:pPr>
        <w:ind w:firstLine="480"/>
        <w:jc w:val="both"/>
      </w:pPr>
      <w:r>
        <w:rPr>
          <w:sz w:val="24"/>
        </w:rPr>
        <w:t>（</w:t>
      </w:r>
      <w:r>
        <w:rPr>
          <w:sz w:val="24"/>
        </w:rPr>
        <w:t>4</w:t>
      </w:r>
      <w:r>
        <w:rPr>
          <w:sz w:val="24"/>
        </w:rPr>
        <w:t>）乙方在已竣工项目未交付甲方之前，乙方须负责已完项目的成品保护工作以及存于工地的设备、材料的保管工作。保护、保管期间发生损坏、遗失的，乙方须负责予以修复和补充，并承担由此发生的费用，如因此造成的公共危险须由乙方负责。</w:t>
      </w:r>
    </w:p>
    <w:p>
      <w:pPr>
        <w:ind w:firstLine="480"/>
        <w:jc w:val="both"/>
      </w:pPr>
      <w:r>
        <w:rPr>
          <w:sz w:val="24"/>
        </w:rPr>
        <w:t>（</w:t>
      </w:r>
      <w:r>
        <w:rPr>
          <w:sz w:val="24"/>
        </w:rPr>
        <w:t>5</w:t>
      </w:r>
      <w:r>
        <w:rPr>
          <w:sz w:val="24"/>
        </w:rPr>
        <w:t>）乙方须负责施工及竣工验收资料的收集、整理和完善，并须按《城市建设档案管理规定》的要求向甲方移交经验收合格的档案资料。否则，甲方有权不予支付剩余进度款。</w:t>
      </w:r>
    </w:p>
    <w:p>
      <w:pPr>
        <w:ind w:firstLine="480"/>
        <w:jc w:val="both"/>
      </w:pPr>
      <w:r>
        <w:rPr>
          <w:sz w:val="24"/>
        </w:rPr>
        <w:t>（</w:t>
      </w:r>
      <w:r>
        <w:rPr>
          <w:sz w:val="24"/>
        </w:rPr>
        <w:t>6</w:t>
      </w:r>
      <w:r>
        <w:rPr>
          <w:sz w:val="24"/>
        </w:rPr>
        <w:t>）在本协议签订生效并承担零散项目任务后，乙方须组织足够的人力物力进行施工，确保零散项目按甲方发包时约定的工期、质量按时完工交付。如发生非甲方原因导致的误期，则甲方将按合同的约定对乙方进行处罚。</w:t>
      </w:r>
    </w:p>
    <w:p>
      <w:pPr>
        <w:ind w:firstLine="480"/>
        <w:jc w:val="both"/>
      </w:pPr>
      <w:r>
        <w:rPr>
          <w:sz w:val="24"/>
        </w:rPr>
        <w:t>（</w:t>
      </w:r>
      <w:r>
        <w:rPr>
          <w:sz w:val="24"/>
        </w:rPr>
        <w:t>7</w:t>
      </w:r>
      <w:r>
        <w:rPr>
          <w:sz w:val="24"/>
        </w:rPr>
        <w:t>）乙方于本协议生效期间，在接到甲方发出的零散项目需求时，应在</w:t>
      </w:r>
      <w:r>
        <w:rPr>
          <w:sz w:val="24"/>
        </w:rPr>
        <w:t>2</w:t>
      </w:r>
      <w:r>
        <w:rPr>
          <w:sz w:val="24"/>
        </w:rPr>
        <w:t>小时内响应，并按规定时间内到达指定地点进行项目承包分配程序并确认分配结果；乙方承接零散项目后，应在甲方规定的时间内完成相应的任务，并严格执行施工规范、安全操作规程、防火安全规定、环境保护规定进行施工，确保项目质量达到合格或以上验收标准，并保质、保量、按期完成施工任务并组织竣工验收。</w:t>
      </w:r>
    </w:p>
    <w:p>
      <w:pPr>
        <w:ind w:firstLine="480"/>
        <w:jc w:val="both"/>
      </w:pPr>
      <w:r>
        <w:rPr>
          <w:sz w:val="24"/>
        </w:rPr>
        <w:t>（</w:t>
      </w:r>
      <w:r>
        <w:rPr>
          <w:sz w:val="24"/>
        </w:rPr>
        <w:t>8</w:t>
      </w:r>
      <w:r>
        <w:rPr>
          <w:sz w:val="24"/>
        </w:rPr>
        <w:t>）扬尘污染防治费和用工实名管理费，该费不得挪作他用，乙方按照佛山市顺德区国土城建和水利局关于建设工程施工扬尘污染防治措施和用工实名管理费用计价有关事项的通知《顺建函〔</w:t>
      </w:r>
      <w:r>
        <w:rPr>
          <w:sz w:val="24"/>
        </w:rPr>
        <w:t>2018</w:t>
      </w:r>
      <w:r>
        <w:rPr>
          <w:sz w:val="24"/>
        </w:rPr>
        <w:t>〕</w:t>
      </w:r>
      <w:r>
        <w:rPr>
          <w:sz w:val="24"/>
        </w:rPr>
        <w:t>1045</w:t>
      </w:r>
      <w:r>
        <w:rPr>
          <w:sz w:val="24"/>
        </w:rPr>
        <w:t>号》执行，否则将按有关通知的处罚条款依法进行扣罚违约金及追究法律责任。</w:t>
      </w:r>
    </w:p>
    <w:p>
      <w:pPr>
        <w:ind w:firstLine="480"/>
        <w:jc w:val="both"/>
      </w:pPr>
      <w:r>
        <w:rPr>
          <w:sz w:val="24"/>
        </w:rPr>
        <w:t>（</w:t>
      </w:r>
      <w:r>
        <w:rPr>
          <w:sz w:val="24"/>
        </w:rPr>
        <w:t>9</w:t>
      </w:r>
      <w:r>
        <w:rPr>
          <w:sz w:val="24"/>
        </w:rPr>
        <w:t>）施工过程中乙方应采取有效措施对施工范围内的绿化或设施进行管养（管理），费用包含或视为已包含在合同总价中。施工过程中若因施工原因造成损坏，乙方须负责原貌恢复，一切费用均由乙方负责。</w:t>
      </w:r>
    </w:p>
    <w:p>
      <w:pPr>
        <w:ind w:firstLine="480"/>
        <w:jc w:val="both"/>
      </w:pPr>
      <w:r>
        <w:rPr>
          <w:sz w:val="24"/>
        </w:rPr>
        <w:t>（</w:t>
      </w:r>
      <w:r>
        <w:rPr>
          <w:sz w:val="24"/>
        </w:rPr>
        <w:t>10</w:t>
      </w:r>
      <w:r>
        <w:rPr>
          <w:sz w:val="24"/>
        </w:rPr>
        <w:t>）本项目实施过程必须做好安全围蔽措施及交通疏导措施。严格按照《佛山市顺德区国土城建和水利局关于进一步规范我区建筑工地现场围挡设置的通知》顺建函</w:t>
      </w:r>
      <w:r>
        <w:rPr>
          <w:sz w:val="24"/>
        </w:rPr>
        <w:t>[2019]421</w:t>
      </w:r>
      <w:r>
        <w:rPr>
          <w:sz w:val="24"/>
        </w:rPr>
        <w:t>号要求进行围蔽（围挡应设置项目概况、文明施工、安全质量、公益宣传等广告，所需费用乙方应综合考虑在报价内）。交通疏导方案须得到学校、道路主管部门及交警部门的审批后实施。上述发生的费用甲方不再另行支付，由乙方在投标报价中综合考虑。施工过程中发生的交通事故或安全事故，由中标单位负责其责任及费用。施工围蔽必须按照甲方要求设置。</w:t>
      </w:r>
    </w:p>
    <w:p>
      <w:pPr>
        <w:ind w:firstLine="480"/>
        <w:jc w:val="both"/>
      </w:pPr>
      <w:r>
        <w:rPr>
          <w:sz w:val="24"/>
        </w:rPr>
        <w:t>（</w:t>
      </w:r>
      <w:r>
        <w:rPr>
          <w:sz w:val="24"/>
        </w:rPr>
        <w:t>11</w:t>
      </w:r>
      <w:r>
        <w:rPr>
          <w:sz w:val="24"/>
        </w:rPr>
        <w:t>）乙方须负责施工及竣工验收资料的收集、整理和完善，并须按甲方的要求向甲方移交经验收合格的档案资料。否则，甲方有权不予支付结算款。</w:t>
      </w:r>
    </w:p>
    <w:p>
      <w:pPr>
        <w:ind w:firstLine="482"/>
        <w:jc w:val="left"/>
      </w:pPr>
      <w:r>
        <w:rPr>
          <w:b/>
          <w:sz w:val="24"/>
        </w:rPr>
        <w:t>九、项目团队</w:t>
      </w:r>
    </w:p>
    <w:p>
      <w:pPr>
        <w:ind w:firstLine="480"/>
        <w:jc w:val="both"/>
      </w:pPr>
      <w:r>
        <w:rPr>
          <w:sz w:val="24"/>
        </w:rPr>
        <w:t>1</w:t>
      </w:r>
      <w:r>
        <w:rPr>
          <w:sz w:val="24"/>
        </w:rPr>
        <w:t>、招标人可根据项目建设需要，对乙方的拟派单宗小额建设项目项目负责人提出相应的资格要求，乙方需无条件服从。</w:t>
      </w:r>
    </w:p>
    <w:p>
      <w:pPr>
        <w:ind w:firstLine="480"/>
        <w:jc w:val="both"/>
      </w:pPr>
      <w:r>
        <w:rPr>
          <w:sz w:val="24"/>
        </w:rPr>
        <w:t>2</w:t>
      </w:r>
      <w:r>
        <w:rPr>
          <w:sz w:val="24"/>
        </w:rPr>
        <w:t>、拟任项目团队中管理人员：配备施工员、质量员、材料员、资料员、劳务员、机械员、安全员各</w:t>
      </w:r>
      <w:r>
        <w:rPr>
          <w:sz w:val="24"/>
        </w:rPr>
        <w:t>1</w:t>
      </w:r>
      <w:r>
        <w:rPr>
          <w:sz w:val="24"/>
        </w:rPr>
        <w:t>名。</w:t>
      </w:r>
    </w:p>
    <w:p>
      <w:pPr>
        <w:ind w:firstLine="482"/>
        <w:jc w:val="left"/>
      </w:pPr>
      <w:r>
        <w:rPr>
          <w:b/>
          <w:sz w:val="24"/>
        </w:rPr>
        <w:t>十、乙方拟投入本项目的施工机械设备</w:t>
      </w:r>
    </w:p>
    <w:p>
      <w:pPr>
        <w:ind w:firstLine="480"/>
        <w:jc w:val="both"/>
      </w:pPr>
      <w:r>
        <w:rPr>
          <w:sz w:val="24"/>
        </w:rPr>
        <w:t>乙方拟投入的施工机械设备情况：</w:t>
      </w:r>
    </w:p>
    <w:tbl>
      <w:tblPr>
        <w:tblW w:w="0" w:type="auto"/>
        <w:tblBorders>
          <w:top w:val="none" w:color="000000" w:sz="4"/>
          <w:left w:val="none" w:color="000000" w:sz="4"/>
          <w:bottom w:val="none" w:color="000000" w:sz="4"/>
          <w:right w:val="none" w:color="000000" w:sz="4"/>
          <w:insideH w:val="none"/>
          <w:insideV w:val="none"/>
        </w:tblBorders>
      </w:tblPr>
      <w:tblGrid>
        <w:gridCol w:w="1098"/>
        <w:gridCol w:w="1986"/>
        <w:gridCol w:w="2317"/>
        <w:gridCol w:w="2904"/>
      </w:tblGrid>
      <w:tr>
        <w:tc>
          <w:tcPr>
            <w:tcW w:type="dxa" w:w="1098"/>
            <w:tcBorders>
              <w:top w:val="single" w:color="000000" w:sz="4"/>
              <w:left w:val="single" w:color="000000" w:sz="4"/>
              <w:bottom w:val="single" w:color="000000" w:sz="4"/>
              <w:right w:val="single" w:color="000000" w:sz="4"/>
            </w:tcBorders>
            <w:vAlign w:val="top"/>
          </w:tcPr>
          <w:p>
            <w:pPr>
              <w:jc w:val="both"/>
            </w:pPr>
          </w:p>
        </w:tc>
        <w:tc>
          <w:tcPr>
            <w:tcW w:type="dxa" w:w="1986"/>
            <w:tcBorders>
              <w:top w:val="single" w:color="000000" w:sz="4"/>
              <w:left w:val="none" w:color="000000" w:sz="4"/>
              <w:bottom w:val="single" w:color="000000" w:sz="4"/>
              <w:right w:val="single" w:color="000000" w:sz="4"/>
            </w:tcBorders>
            <w:vAlign w:val="top"/>
          </w:tcPr>
          <w:p>
            <w:pPr>
              <w:jc w:val="both"/>
            </w:pPr>
          </w:p>
        </w:tc>
        <w:tc>
          <w:tcPr>
            <w:tcW w:type="dxa" w:w="2317"/>
            <w:tcBorders>
              <w:top w:val="single" w:color="000000" w:sz="4"/>
              <w:left w:val="none" w:color="000000" w:sz="4"/>
              <w:bottom w:val="single" w:color="000000" w:sz="4"/>
              <w:right w:val="single" w:color="000000" w:sz="4"/>
            </w:tcBorders>
            <w:vAlign w:val="top"/>
          </w:tcPr>
          <w:p>
            <w:pPr>
              <w:jc w:val="both"/>
            </w:pPr>
          </w:p>
        </w:tc>
        <w:tc>
          <w:tcPr>
            <w:tcW w:type="dxa" w:w="2904"/>
            <w:tcBorders>
              <w:top w:val="single" w:color="000000" w:sz="4"/>
              <w:left w:val="none" w:color="000000" w:sz="4"/>
              <w:bottom w:val="single" w:color="000000" w:sz="4"/>
              <w:right w:val="single" w:color="000000" w:sz="4"/>
            </w:tcBorders>
            <w:vAlign w:val="top"/>
          </w:tcPr>
          <w:p>
            <w:pPr>
              <w:jc w:val="both"/>
            </w:pPr>
          </w:p>
        </w:tc>
      </w:tr>
      <w:tr>
        <w:tc>
          <w:tcPr>
            <w:tcW w:type="dxa" w:w="1098"/>
            <w:tcBorders>
              <w:top w:val="none" w:color="000000" w:sz="4"/>
              <w:left w:val="single" w:color="000000" w:sz="4"/>
              <w:bottom w:val="single" w:color="000000" w:sz="4"/>
              <w:right w:val="single" w:color="000000" w:sz="4"/>
            </w:tcBorders>
            <w:vAlign w:val="top"/>
          </w:tcPr>
          <w:p>
            <w:pPr>
              <w:jc w:val="both"/>
            </w:pPr>
          </w:p>
        </w:tc>
        <w:tc>
          <w:tcPr>
            <w:tcW w:type="dxa" w:w="1986"/>
            <w:tcBorders>
              <w:top w:val="none" w:color="000000" w:sz="4"/>
              <w:left w:val="none" w:color="000000" w:sz="4"/>
              <w:bottom w:val="single" w:color="000000" w:sz="4"/>
              <w:right w:val="single" w:color="000000" w:sz="4"/>
            </w:tcBorders>
            <w:vAlign w:val="top"/>
          </w:tcPr>
          <w:p>
            <w:pPr>
              <w:jc w:val="both"/>
            </w:pPr>
          </w:p>
        </w:tc>
        <w:tc>
          <w:tcPr>
            <w:tcW w:type="dxa" w:w="2317"/>
            <w:tcBorders>
              <w:top w:val="none" w:color="000000" w:sz="4"/>
              <w:left w:val="none" w:color="000000" w:sz="4"/>
              <w:bottom w:val="single" w:color="000000" w:sz="4"/>
              <w:right w:val="single" w:color="000000" w:sz="4"/>
            </w:tcBorders>
            <w:vAlign w:val="top"/>
          </w:tcPr>
          <w:p>
            <w:pPr>
              <w:jc w:val="both"/>
            </w:pPr>
          </w:p>
        </w:tc>
        <w:tc>
          <w:tcPr>
            <w:tcW w:type="dxa" w:w="2904"/>
            <w:tcBorders>
              <w:top w:val="none" w:color="000000" w:sz="4"/>
              <w:left w:val="none" w:color="000000" w:sz="4"/>
              <w:bottom w:val="single" w:color="000000" w:sz="4"/>
              <w:right w:val="single" w:color="000000" w:sz="4"/>
            </w:tcBorders>
            <w:vAlign w:val="top"/>
          </w:tcPr>
          <w:p>
            <w:pPr>
              <w:jc w:val="both"/>
            </w:pPr>
          </w:p>
        </w:tc>
      </w:tr>
      <w:tr>
        <w:tc>
          <w:tcPr>
            <w:tcW w:type="dxa" w:w="1098"/>
            <w:tcBorders>
              <w:top w:val="none" w:color="000000" w:sz="4"/>
              <w:left w:val="single" w:color="000000" w:sz="4"/>
              <w:bottom w:val="single" w:color="000000" w:sz="4"/>
              <w:right w:val="single" w:color="000000" w:sz="4"/>
            </w:tcBorders>
            <w:vAlign w:val="top"/>
          </w:tcPr>
          <w:p>
            <w:pPr>
              <w:jc w:val="both"/>
            </w:pPr>
          </w:p>
        </w:tc>
        <w:tc>
          <w:tcPr>
            <w:tcW w:type="dxa" w:w="1986"/>
            <w:tcBorders>
              <w:top w:val="none" w:color="000000" w:sz="4"/>
              <w:left w:val="none" w:color="000000" w:sz="4"/>
              <w:bottom w:val="single" w:color="000000" w:sz="4"/>
              <w:right w:val="single" w:color="000000" w:sz="4"/>
            </w:tcBorders>
            <w:vAlign w:val="top"/>
          </w:tcPr>
          <w:p>
            <w:pPr>
              <w:jc w:val="both"/>
            </w:pPr>
          </w:p>
        </w:tc>
        <w:tc>
          <w:tcPr>
            <w:tcW w:type="dxa" w:w="2317"/>
            <w:tcBorders>
              <w:top w:val="none" w:color="000000" w:sz="4"/>
              <w:left w:val="none" w:color="000000" w:sz="4"/>
              <w:bottom w:val="single" w:color="000000" w:sz="4"/>
              <w:right w:val="single" w:color="000000" w:sz="4"/>
            </w:tcBorders>
            <w:vAlign w:val="top"/>
          </w:tcPr>
          <w:p>
            <w:pPr>
              <w:jc w:val="both"/>
            </w:pPr>
          </w:p>
        </w:tc>
        <w:tc>
          <w:tcPr>
            <w:tcW w:type="dxa" w:w="2904"/>
            <w:tcBorders>
              <w:top w:val="none" w:color="000000" w:sz="4"/>
              <w:left w:val="none" w:color="000000" w:sz="4"/>
              <w:bottom w:val="single" w:color="000000" w:sz="4"/>
              <w:right w:val="single" w:color="000000" w:sz="4"/>
            </w:tcBorders>
            <w:vAlign w:val="top"/>
          </w:tcPr>
          <w:p>
            <w:pPr>
              <w:jc w:val="both"/>
            </w:pPr>
          </w:p>
        </w:tc>
      </w:tr>
    </w:tbl>
    <w:p>
      <w:pPr>
        <w:ind w:firstLine="482"/>
        <w:jc w:val="left"/>
      </w:pPr>
      <w:r>
        <w:rPr>
          <w:b/>
          <w:sz w:val="24"/>
        </w:rPr>
        <w:t>十一、违约责任</w:t>
      </w:r>
    </w:p>
    <w:p>
      <w:pPr>
        <w:ind w:firstLine="480"/>
        <w:jc w:val="both"/>
      </w:pPr>
      <w:r>
        <w:rPr>
          <w:sz w:val="24"/>
        </w:rPr>
        <w:t>违约责任</w:t>
      </w:r>
    </w:p>
    <w:p>
      <w:pPr>
        <w:ind w:firstLine="480"/>
        <w:jc w:val="both"/>
      </w:pPr>
      <w:r>
        <w:rPr>
          <w:sz w:val="24"/>
        </w:rPr>
        <w:t>乙方合同服务期间，如有以下行为之一的，将视为乙方违约，甲方有权解除或终止合同，不合格零散项目的结算款项将不再支付，并全额没收该乙方的履约保证金；同时，甲方将上报街道监管部门，将其不良行为记入信誉档案；情节严重者，将上报区相关主管部门依法作进一步处罚：</w:t>
      </w:r>
    </w:p>
    <w:p>
      <w:pPr>
        <w:ind w:firstLine="480"/>
        <w:jc w:val="both"/>
      </w:pPr>
      <w:r>
        <w:rPr>
          <w:sz w:val="24"/>
        </w:rPr>
        <w:t>（</w:t>
      </w:r>
      <w:r>
        <w:rPr>
          <w:sz w:val="24"/>
        </w:rPr>
        <w:t>1</w:t>
      </w:r>
      <w:r>
        <w:rPr>
          <w:sz w:val="24"/>
        </w:rPr>
        <w:t>）乙方违反有关法律法规，受到有关行政主管部门吊销其营业执照、取消或暂停其资质、限制其市场准入资格等处罚的；</w:t>
      </w:r>
    </w:p>
    <w:p>
      <w:pPr>
        <w:ind w:firstLine="480"/>
        <w:jc w:val="both"/>
      </w:pPr>
      <w:r>
        <w:rPr>
          <w:sz w:val="24"/>
        </w:rPr>
        <w:t>（</w:t>
      </w:r>
      <w:r>
        <w:rPr>
          <w:sz w:val="24"/>
        </w:rPr>
        <w:t>2</w:t>
      </w:r>
      <w:r>
        <w:rPr>
          <w:sz w:val="24"/>
        </w:rPr>
        <w:t>）乙方因违规违纪行为，受到行业监督管理部门通报、查处的；</w:t>
      </w:r>
    </w:p>
    <w:p>
      <w:pPr>
        <w:ind w:firstLine="480"/>
        <w:jc w:val="both"/>
      </w:pPr>
      <w:r>
        <w:rPr>
          <w:sz w:val="24"/>
        </w:rPr>
        <w:t>（</w:t>
      </w:r>
      <w:r>
        <w:rPr>
          <w:sz w:val="24"/>
        </w:rPr>
        <w:t>3</w:t>
      </w:r>
      <w:r>
        <w:rPr>
          <w:sz w:val="24"/>
        </w:rPr>
        <w:t>）乙方违反有关安全生产规定和施工规范，造成重大质量问题或安全事故的；</w:t>
      </w:r>
    </w:p>
    <w:p>
      <w:pPr>
        <w:ind w:firstLine="480"/>
        <w:jc w:val="both"/>
      </w:pPr>
      <w:r>
        <w:rPr>
          <w:sz w:val="24"/>
        </w:rPr>
        <w:t>（</w:t>
      </w:r>
      <w:r>
        <w:rPr>
          <w:sz w:val="24"/>
        </w:rPr>
        <w:t>4</w:t>
      </w:r>
      <w:r>
        <w:rPr>
          <w:sz w:val="24"/>
        </w:rPr>
        <w:t>）乙方在组织零散项目实施过程中违反相关法律法规或出现重大失误造成恶劣影响的；</w:t>
      </w:r>
    </w:p>
    <w:p>
      <w:pPr>
        <w:ind w:firstLine="480"/>
        <w:jc w:val="both"/>
      </w:pPr>
      <w:r>
        <w:rPr>
          <w:sz w:val="24"/>
        </w:rPr>
        <w:t>（</w:t>
      </w:r>
      <w:r>
        <w:rPr>
          <w:sz w:val="24"/>
        </w:rPr>
        <w:t>5</w:t>
      </w:r>
      <w:r>
        <w:rPr>
          <w:sz w:val="24"/>
        </w:rPr>
        <w:t>）乙方所承包零散项目验收不合格且拒不积极采取措施进行补救或返工，给甲方造成经济损失和不良影响的；</w:t>
      </w:r>
    </w:p>
    <w:p>
      <w:pPr>
        <w:ind w:firstLine="480"/>
        <w:jc w:val="both"/>
      </w:pPr>
      <w:r>
        <w:rPr>
          <w:sz w:val="24"/>
        </w:rPr>
        <w:t>（</w:t>
      </w:r>
      <w:r>
        <w:rPr>
          <w:sz w:val="24"/>
        </w:rPr>
        <w:t>6</w:t>
      </w:r>
      <w:r>
        <w:rPr>
          <w:sz w:val="24"/>
        </w:rPr>
        <w:t>）乙方工作态度不端正，被甲方提出书面整改（或警告）通知仍未采取有效措施进行改善达</w:t>
      </w:r>
      <w:r>
        <w:rPr>
          <w:sz w:val="24"/>
        </w:rPr>
        <w:t>2</w:t>
      </w:r>
      <w:r>
        <w:rPr>
          <w:sz w:val="24"/>
        </w:rPr>
        <w:t>次以上的；</w:t>
      </w:r>
    </w:p>
    <w:p>
      <w:pPr>
        <w:ind w:firstLine="480"/>
        <w:jc w:val="both"/>
      </w:pPr>
      <w:r>
        <w:rPr>
          <w:sz w:val="24"/>
        </w:rPr>
        <w:t>（</w:t>
      </w:r>
      <w:r>
        <w:rPr>
          <w:sz w:val="24"/>
        </w:rPr>
        <w:t>7</w:t>
      </w:r>
      <w:r>
        <w:rPr>
          <w:sz w:val="24"/>
        </w:rPr>
        <w:t>）除前款规定的特殊情况外，乙方无故推托或拒绝接受零散项目或申请放弃零散项目的；</w:t>
      </w:r>
    </w:p>
    <w:p>
      <w:pPr>
        <w:ind w:firstLine="480"/>
        <w:jc w:val="both"/>
      </w:pPr>
      <w:r>
        <w:rPr>
          <w:sz w:val="24"/>
        </w:rPr>
        <w:t>（</w:t>
      </w:r>
      <w:r>
        <w:rPr>
          <w:sz w:val="24"/>
        </w:rPr>
        <w:t>8</w:t>
      </w:r>
      <w:r>
        <w:rPr>
          <w:sz w:val="24"/>
        </w:rPr>
        <w:t>）乙方提供虚假信息，误导或欺骗甲方，以谋取非法利益的；</w:t>
      </w:r>
    </w:p>
    <w:p>
      <w:pPr>
        <w:ind w:firstLine="480"/>
        <w:jc w:val="both"/>
      </w:pPr>
      <w:r>
        <w:rPr>
          <w:sz w:val="24"/>
        </w:rPr>
        <w:t>（</w:t>
      </w:r>
      <w:r>
        <w:rPr>
          <w:sz w:val="24"/>
        </w:rPr>
        <w:t>9</w:t>
      </w:r>
      <w:r>
        <w:rPr>
          <w:sz w:val="24"/>
        </w:rPr>
        <w:t>）乙方违反了诚实信用和投标承诺，没有严格执行相关质量、服务和收费标准，损害甲方利益的；</w:t>
      </w:r>
    </w:p>
    <w:p>
      <w:pPr>
        <w:ind w:firstLine="480"/>
        <w:jc w:val="both"/>
      </w:pPr>
      <w:r>
        <w:rPr>
          <w:sz w:val="24"/>
        </w:rPr>
        <w:t>（</w:t>
      </w:r>
      <w:r>
        <w:rPr>
          <w:sz w:val="24"/>
        </w:rPr>
        <w:t>10</w:t>
      </w:r>
      <w:r>
        <w:rPr>
          <w:sz w:val="24"/>
        </w:rPr>
        <w:t>）乙方拒绝接受相关部门监督和检查的；</w:t>
      </w:r>
    </w:p>
    <w:p>
      <w:pPr>
        <w:ind w:firstLine="480"/>
        <w:jc w:val="both"/>
      </w:pPr>
      <w:r>
        <w:rPr>
          <w:sz w:val="24"/>
        </w:rPr>
        <w:t>（</w:t>
      </w:r>
      <w:r>
        <w:rPr>
          <w:sz w:val="24"/>
        </w:rPr>
        <w:t>11</w:t>
      </w:r>
      <w:r>
        <w:rPr>
          <w:sz w:val="24"/>
        </w:rPr>
        <w:t>）乙方出现信用危机、财务危机、经营危机甚至破产、倒闭，无法继续履行合同的；</w:t>
      </w:r>
    </w:p>
    <w:p>
      <w:pPr>
        <w:ind w:firstLine="480"/>
        <w:jc w:val="both"/>
      </w:pPr>
      <w:r>
        <w:rPr>
          <w:sz w:val="24"/>
        </w:rPr>
        <w:t>（</w:t>
      </w:r>
      <w:r>
        <w:rPr>
          <w:sz w:val="24"/>
        </w:rPr>
        <w:t>12</w:t>
      </w:r>
      <w:r>
        <w:rPr>
          <w:sz w:val="24"/>
        </w:rPr>
        <w:t>）乙方采用非法手段进行不正当竞争的，造成恶劣影响的；</w:t>
      </w:r>
    </w:p>
    <w:p>
      <w:pPr>
        <w:ind w:firstLine="480"/>
        <w:jc w:val="both"/>
      </w:pPr>
      <w:r>
        <w:rPr>
          <w:sz w:val="24"/>
        </w:rPr>
        <w:t>（</w:t>
      </w:r>
      <w:r>
        <w:rPr>
          <w:sz w:val="24"/>
        </w:rPr>
        <w:t>13</w:t>
      </w:r>
      <w:r>
        <w:rPr>
          <w:sz w:val="24"/>
        </w:rPr>
        <w:t>）乙方在施工过程中非法获取与项目有关的任何非法利益的；</w:t>
      </w:r>
    </w:p>
    <w:p>
      <w:pPr>
        <w:ind w:firstLine="480"/>
        <w:jc w:val="both"/>
      </w:pPr>
      <w:r>
        <w:rPr>
          <w:sz w:val="24"/>
        </w:rPr>
        <w:t>（</w:t>
      </w:r>
      <w:r>
        <w:rPr>
          <w:sz w:val="24"/>
        </w:rPr>
        <w:t>14</w:t>
      </w:r>
      <w:r>
        <w:rPr>
          <w:sz w:val="24"/>
        </w:rPr>
        <w:t>）乙方在施工过程中与零散项目相关方串通，非法影响零散项目质量、损害甲方利益的；</w:t>
      </w:r>
    </w:p>
    <w:p>
      <w:pPr>
        <w:ind w:firstLine="480"/>
        <w:jc w:val="both"/>
      </w:pPr>
      <w:r>
        <w:rPr>
          <w:sz w:val="24"/>
        </w:rPr>
        <w:t>（</w:t>
      </w:r>
      <w:r>
        <w:rPr>
          <w:sz w:val="24"/>
        </w:rPr>
        <w:t>15</w:t>
      </w:r>
      <w:r>
        <w:rPr>
          <w:sz w:val="24"/>
        </w:rPr>
        <w:t>）乙方违反省、市、区及街道政府的相关管理规定的；</w:t>
      </w:r>
    </w:p>
    <w:p>
      <w:pPr>
        <w:ind w:firstLine="480"/>
        <w:jc w:val="both"/>
      </w:pPr>
      <w:r>
        <w:rPr>
          <w:sz w:val="24"/>
        </w:rPr>
        <w:t>乙方在服务期间，如发生上述违约情形，甲方有权单方发出解除或终止合同通知书。</w:t>
      </w:r>
    </w:p>
    <w:p>
      <w:pPr>
        <w:ind w:firstLine="482"/>
        <w:jc w:val="left"/>
      </w:pPr>
      <w:r>
        <w:rPr>
          <w:b/>
          <w:sz w:val="24"/>
        </w:rPr>
        <w:t>十二、退出机制</w:t>
      </w:r>
    </w:p>
    <w:p>
      <w:pPr>
        <w:ind w:firstLine="480"/>
        <w:jc w:val="both"/>
      </w:pPr>
      <w:r>
        <w:rPr>
          <w:sz w:val="24"/>
        </w:rPr>
        <w:t>1</w:t>
      </w:r>
      <w:r>
        <w:rPr>
          <w:sz w:val="24"/>
        </w:rPr>
        <w:t>、甲方将按《考核标准及细则》对乙方进行考核与处罚。在服务期间，甲方有权对《考核标准及细则》进行修改。</w:t>
      </w:r>
    </w:p>
    <w:p>
      <w:pPr>
        <w:ind w:firstLine="480"/>
        <w:jc w:val="both"/>
      </w:pPr>
      <w:r>
        <w:rPr>
          <w:sz w:val="24"/>
        </w:rPr>
        <w:t>2</w:t>
      </w:r>
      <w:r>
        <w:rPr>
          <w:sz w:val="24"/>
        </w:rPr>
        <w:t>、实行考核评分制。甲方对乙方服务的项目进行考核评分，具体要求如下：</w:t>
      </w:r>
    </w:p>
    <w:p>
      <w:pPr>
        <w:ind w:firstLine="480"/>
        <w:jc w:val="both"/>
      </w:pPr>
      <w:r>
        <w:rPr>
          <w:sz w:val="24"/>
        </w:rPr>
        <w:t>（</w:t>
      </w:r>
      <w:r>
        <w:rPr>
          <w:sz w:val="24"/>
        </w:rPr>
        <w:t>1</w:t>
      </w:r>
      <w:r>
        <w:rPr>
          <w:sz w:val="24"/>
        </w:rPr>
        <w:t>）甲方对乙方考核每扣</w:t>
      </w:r>
      <w:r>
        <w:rPr>
          <w:sz w:val="24"/>
        </w:rPr>
        <w:t>1</w:t>
      </w:r>
      <w:r>
        <w:rPr>
          <w:sz w:val="24"/>
        </w:rPr>
        <w:t>分，则在其履约保证金中扣除</w:t>
      </w:r>
      <w:r>
        <w:rPr>
          <w:sz w:val="24"/>
        </w:rPr>
        <w:t>5000</w:t>
      </w:r>
      <w:r>
        <w:rPr>
          <w:sz w:val="24"/>
        </w:rPr>
        <w:t>元。在任何单项服务中，如乙方考评累计扣分达</w:t>
      </w:r>
      <w:r>
        <w:rPr>
          <w:sz w:val="24"/>
        </w:rPr>
        <w:t>15</w:t>
      </w:r>
      <w:r>
        <w:rPr>
          <w:sz w:val="24"/>
        </w:rPr>
        <w:t>分，或在服务期内，如乙方考评累计扣分达</w:t>
      </w:r>
      <w:r>
        <w:rPr>
          <w:sz w:val="24"/>
        </w:rPr>
        <w:t>50</w:t>
      </w:r>
      <w:r>
        <w:rPr>
          <w:sz w:val="24"/>
        </w:rPr>
        <w:t>分，则甲方有权无条件终止和解除服务合同，没收履约保证金，一切经济和法律责任由乙方承担。如履约保证金不足以弥补乙方给甲方所造成的损失的，甲方有权向乙方作进一步的追讨。</w:t>
      </w:r>
    </w:p>
    <w:p>
      <w:pPr>
        <w:ind w:firstLine="480"/>
        <w:jc w:val="both"/>
      </w:pPr>
      <w:r>
        <w:rPr>
          <w:sz w:val="24"/>
        </w:rPr>
        <w:t>（</w:t>
      </w:r>
      <w:r>
        <w:rPr>
          <w:sz w:val="24"/>
        </w:rPr>
        <w:t>2</w:t>
      </w:r>
      <w:r>
        <w:rPr>
          <w:sz w:val="24"/>
        </w:rPr>
        <w:t>）</w:t>
      </w:r>
      <w:r>
        <w:rPr>
          <w:sz w:val="24"/>
        </w:rPr>
        <w:t>2023-2025</w:t>
      </w:r>
      <w:r>
        <w:rPr>
          <w:sz w:val="24"/>
        </w:rPr>
        <w:t>年度容桂街道零散市政设施破损修复维护项目《考核标准及细则》：</w:t>
      </w:r>
    </w:p>
    <w:tbl>
      <w:tblPr>
        <w:tblW w:w="0" w:type="auto"/>
        <w:tblBorders>
          <w:top w:val="none" w:color="000000" w:sz="4"/>
          <w:left w:val="none" w:color="000000" w:sz="4"/>
          <w:bottom w:val="none" w:color="000000" w:sz="4"/>
          <w:right w:val="none" w:color="000000" w:sz="4"/>
          <w:insideH w:val="none"/>
          <w:insideV w:val="none"/>
        </w:tblBorders>
      </w:tblPr>
      <w:tblGrid>
        <w:gridCol w:w="617"/>
        <w:gridCol w:w="2347"/>
        <w:gridCol w:w="5342"/>
      </w:tblGrid>
      <w:tr>
        <w:tc>
          <w:tcPr>
            <w:tcW w:type="dxa" w:w="617"/>
            <w:tcBorders>
              <w:top w:val="single" w:color="000000" w:sz="4"/>
              <w:left w:val="single" w:color="000000" w:sz="4"/>
              <w:bottom w:val="single" w:color="000000" w:sz="4"/>
              <w:right w:val="single" w:color="000000" w:sz="4"/>
            </w:tcBorders>
            <w:vAlign w:val="top"/>
          </w:tcPr>
          <w:p>
            <w:pPr>
              <w:jc w:val="center"/>
            </w:pPr>
            <w:r>
              <w:rPr>
                <w:b/>
                <w:sz w:val="22"/>
              </w:rPr>
              <w:t>序号</w:t>
            </w:r>
          </w:p>
        </w:tc>
        <w:tc>
          <w:tcPr>
            <w:tcW w:type="dxa" w:w="2347"/>
            <w:tcBorders>
              <w:top w:val="single" w:color="000000" w:sz="4"/>
              <w:left w:val="none" w:color="000000" w:sz="4"/>
              <w:bottom w:val="single" w:color="000000" w:sz="4"/>
              <w:right w:val="single" w:color="000000" w:sz="4"/>
            </w:tcBorders>
            <w:vAlign w:val="top"/>
          </w:tcPr>
          <w:p>
            <w:pPr>
              <w:jc w:val="center"/>
            </w:pPr>
            <w:r>
              <w:rPr>
                <w:b/>
                <w:sz w:val="22"/>
              </w:rPr>
              <w:t>考评内容</w:t>
            </w:r>
          </w:p>
        </w:tc>
        <w:tc>
          <w:tcPr>
            <w:tcW w:type="dxa" w:w="5342"/>
            <w:tcBorders>
              <w:top w:val="single" w:color="000000" w:sz="4"/>
              <w:left w:val="none" w:color="000000" w:sz="4"/>
              <w:bottom w:val="single" w:color="000000" w:sz="4"/>
              <w:right w:val="single" w:color="000000" w:sz="4"/>
            </w:tcBorders>
            <w:vAlign w:val="top"/>
          </w:tcPr>
          <w:p>
            <w:pPr>
              <w:jc w:val="center"/>
            </w:pPr>
            <w:r>
              <w:rPr>
                <w:b/>
                <w:sz w:val="22"/>
              </w:rPr>
              <w:t>扣分标准</w:t>
            </w:r>
          </w:p>
        </w:tc>
      </w:tr>
      <w:tr>
        <w:tc>
          <w:tcPr>
            <w:tcW w:type="dxa" w:w="617"/>
            <w:tcBorders>
              <w:top w:val="none" w:color="000000" w:sz="4"/>
              <w:left w:val="single" w:color="000000" w:sz="4"/>
              <w:bottom w:val="single" w:color="000000" w:sz="4"/>
              <w:right w:val="single" w:color="000000" w:sz="4"/>
            </w:tcBorders>
            <w:vAlign w:val="top"/>
          </w:tcPr>
          <w:p>
            <w:pPr>
              <w:jc w:val="center"/>
            </w:pPr>
            <w:r>
              <w:rPr>
                <w:sz w:val="22"/>
              </w:rPr>
              <w:t>1</w:t>
            </w:r>
          </w:p>
        </w:tc>
        <w:tc>
          <w:tcPr>
            <w:tcW w:type="dxa" w:w="2347"/>
            <w:tcBorders>
              <w:top w:val="none" w:color="000000" w:sz="4"/>
              <w:left w:val="none" w:color="000000" w:sz="4"/>
              <w:bottom w:val="single" w:color="000000" w:sz="4"/>
              <w:right w:val="single" w:color="000000" w:sz="4"/>
            </w:tcBorders>
            <w:vAlign w:val="top"/>
          </w:tcPr>
          <w:p>
            <w:pPr>
              <w:jc w:val="center"/>
            </w:pPr>
            <w:r>
              <w:rPr>
                <w:sz w:val="22"/>
              </w:rPr>
              <w:t>服务质量问题</w:t>
            </w:r>
          </w:p>
        </w:tc>
        <w:tc>
          <w:tcPr>
            <w:tcW w:type="dxa" w:w="5342"/>
            <w:tcBorders>
              <w:top w:val="none" w:color="000000" w:sz="4"/>
              <w:left w:val="none" w:color="000000" w:sz="4"/>
              <w:bottom w:val="single" w:color="000000" w:sz="4"/>
              <w:right w:val="single" w:color="000000" w:sz="4"/>
            </w:tcBorders>
            <w:vAlign w:val="top"/>
          </w:tcPr>
          <w:p>
            <w:pPr>
              <w:jc w:val="center"/>
            </w:pPr>
            <w:r>
              <w:rPr>
                <w:sz w:val="22"/>
              </w:rPr>
              <w:t>服务完成如验收不合格的，扣</w:t>
            </w:r>
            <w:r>
              <w:rPr>
                <w:sz w:val="22"/>
              </w:rPr>
              <w:t>5</w:t>
            </w:r>
            <w:r>
              <w:rPr>
                <w:sz w:val="22"/>
              </w:rPr>
              <w:t>分；服务验收合格后，因质量问题需要返工的，每返工一次扣</w:t>
            </w:r>
            <w:r>
              <w:rPr>
                <w:sz w:val="22"/>
              </w:rPr>
              <w:t>3</w:t>
            </w:r>
            <w:r>
              <w:rPr>
                <w:sz w:val="22"/>
              </w:rPr>
              <w:t>分。</w:t>
            </w:r>
          </w:p>
        </w:tc>
      </w:tr>
      <w:tr>
        <w:tc>
          <w:tcPr>
            <w:tcW w:type="dxa" w:w="617"/>
            <w:tcBorders>
              <w:top w:val="none" w:color="000000" w:sz="4"/>
              <w:left w:val="single" w:color="000000" w:sz="4"/>
              <w:bottom w:val="single" w:color="000000" w:sz="4"/>
              <w:right w:val="single" w:color="000000" w:sz="4"/>
            </w:tcBorders>
            <w:vAlign w:val="top"/>
          </w:tcPr>
          <w:p>
            <w:pPr>
              <w:jc w:val="center"/>
            </w:pPr>
            <w:r>
              <w:rPr>
                <w:sz w:val="22"/>
              </w:rPr>
              <w:t>2</w:t>
            </w:r>
          </w:p>
        </w:tc>
        <w:tc>
          <w:tcPr>
            <w:tcW w:type="dxa" w:w="2347"/>
            <w:tcBorders>
              <w:top w:val="none" w:color="000000" w:sz="4"/>
              <w:left w:val="none" w:color="000000" w:sz="4"/>
              <w:bottom w:val="single" w:color="000000" w:sz="4"/>
              <w:right w:val="single" w:color="000000" w:sz="4"/>
            </w:tcBorders>
            <w:vAlign w:val="top"/>
          </w:tcPr>
          <w:p>
            <w:pPr>
              <w:jc w:val="center"/>
            </w:pPr>
            <w:r>
              <w:rPr>
                <w:sz w:val="22"/>
              </w:rPr>
              <w:t>服务过程围蔽措施</w:t>
            </w:r>
          </w:p>
        </w:tc>
        <w:tc>
          <w:tcPr>
            <w:tcW w:type="dxa" w:w="5342"/>
            <w:tcBorders>
              <w:top w:val="none" w:color="000000" w:sz="4"/>
              <w:left w:val="none" w:color="000000" w:sz="4"/>
              <w:bottom w:val="single" w:color="000000" w:sz="4"/>
              <w:right w:val="single" w:color="000000" w:sz="4"/>
            </w:tcBorders>
            <w:vAlign w:val="top"/>
          </w:tcPr>
          <w:p>
            <w:pPr>
              <w:jc w:val="center"/>
            </w:pPr>
            <w:r>
              <w:rPr>
                <w:sz w:val="22"/>
              </w:rPr>
              <w:t>服务过程中出现围蔽措施不符合全围蔽要求的，每发现一次扣</w:t>
            </w:r>
            <w:r>
              <w:rPr>
                <w:sz w:val="22"/>
              </w:rPr>
              <w:t>1</w:t>
            </w:r>
            <w:r>
              <w:rPr>
                <w:sz w:val="22"/>
              </w:rPr>
              <w:t>分。</w:t>
            </w:r>
          </w:p>
        </w:tc>
      </w:tr>
      <w:tr>
        <w:tc>
          <w:tcPr>
            <w:tcW w:type="dxa" w:w="617"/>
            <w:tcBorders>
              <w:top w:val="none" w:color="000000" w:sz="4"/>
              <w:left w:val="single" w:color="000000" w:sz="4"/>
              <w:bottom w:val="single" w:color="000000" w:sz="4"/>
              <w:right w:val="single" w:color="000000" w:sz="4"/>
            </w:tcBorders>
            <w:vAlign w:val="top"/>
          </w:tcPr>
          <w:p>
            <w:pPr>
              <w:jc w:val="center"/>
            </w:pPr>
            <w:r>
              <w:rPr>
                <w:sz w:val="22"/>
              </w:rPr>
              <w:t>3</w:t>
            </w:r>
          </w:p>
        </w:tc>
        <w:tc>
          <w:tcPr>
            <w:tcW w:type="dxa" w:w="2347"/>
            <w:tcBorders>
              <w:top w:val="none" w:color="000000" w:sz="4"/>
              <w:left w:val="none" w:color="000000" w:sz="4"/>
              <w:bottom w:val="single" w:color="000000" w:sz="4"/>
              <w:right w:val="single" w:color="000000" w:sz="4"/>
            </w:tcBorders>
            <w:vAlign w:val="top"/>
          </w:tcPr>
          <w:p>
            <w:pPr>
              <w:jc w:val="center"/>
            </w:pPr>
            <w:r>
              <w:rPr>
                <w:sz w:val="22"/>
              </w:rPr>
              <w:t>响应甲方任务情况</w:t>
            </w:r>
          </w:p>
        </w:tc>
        <w:tc>
          <w:tcPr>
            <w:tcW w:type="dxa" w:w="5342"/>
            <w:tcBorders>
              <w:top w:val="none" w:color="000000" w:sz="4"/>
              <w:left w:val="none" w:color="000000" w:sz="4"/>
              <w:bottom w:val="single" w:color="000000" w:sz="4"/>
              <w:right w:val="single" w:color="000000" w:sz="4"/>
            </w:tcBorders>
            <w:vAlign w:val="top"/>
          </w:tcPr>
          <w:p>
            <w:pPr>
              <w:jc w:val="center"/>
            </w:pPr>
            <w:r>
              <w:rPr>
                <w:sz w:val="22"/>
              </w:rPr>
              <w:t>乙方出现没有按要求时间响应服务要求的情况，每发现一次扣</w:t>
            </w:r>
            <w:r>
              <w:rPr>
                <w:sz w:val="22"/>
              </w:rPr>
              <w:t>1</w:t>
            </w:r>
            <w:r>
              <w:rPr>
                <w:sz w:val="22"/>
              </w:rPr>
              <w:t>分。</w:t>
            </w:r>
          </w:p>
        </w:tc>
      </w:tr>
      <w:tr>
        <w:tc>
          <w:tcPr>
            <w:tcW w:type="dxa" w:w="617"/>
            <w:tcBorders>
              <w:top w:val="none" w:color="000000" w:sz="4"/>
              <w:left w:val="single" w:color="000000" w:sz="4"/>
              <w:bottom w:val="single" w:color="000000" w:sz="4"/>
              <w:right w:val="single" w:color="000000" w:sz="4"/>
            </w:tcBorders>
            <w:vAlign w:val="top"/>
          </w:tcPr>
          <w:p>
            <w:pPr>
              <w:jc w:val="center"/>
            </w:pPr>
            <w:r>
              <w:rPr>
                <w:sz w:val="22"/>
              </w:rPr>
              <w:t>4</w:t>
            </w:r>
          </w:p>
        </w:tc>
        <w:tc>
          <w:tcPr>
            <w:tcW w:type="dxa" w:w="2347"/>
            <w:tcBorders>
              <w:top w:val="none" w:color="000000" w:sz="4"/>
              <w:left w:val="none" w:color="000000" w:sz="4"/>
              <w:bottom w:val="single" w:color="000000" w:sz="4"/>
              <w:right w:val="single" w:color="000000" w:sz="4"/>
            </w:tcBorders>
            <w:vAlign w:val="top"/>
          </w:tcPr>
          <w:p>
            <w:pPr>
              <w:jc w:val="center"/>
            </w:pPr>
            <w:r>
              <w:rPr>
                <w:sz w:val="22"/>
              </w:rPr>
              <w:t>服务过程的投诉情况</w:t>
            </w:r>
          </w:p>
        </w:tc>
        <w:tc>
          <w:tcPr>
            <w:tcW w:type="dxa" w:w="5342"/>
            <w:tcBorders>
              <w:top w:val="none" w:color="000000" w:sz="4"/>
              <w:left w:val="none" w:color="000000" w:sz="4"/>
              <w:bottom w:val="single" w:color="000000" w:sz="4"/>
              <w:right w:val="single" w:color="000000" w:sz="4"/>
            </w:tcBorders>
            <w:vAlign w:val="top"/>
          </w:tcPr>
          <w:p>
            <w:pPr>
              <w:jc w:val="center"/>
            </w:pPr>
            <w:r>
              <w:rPr>
                <w:sz w:val="22"/>
              </w:rPr>
              <w:t>乙方在服务过程中，因服务问题出现群众投诉的，每发现一次扣</w:t>
            </w:r>
            <w:r>
              <w:rPr>
                <w:sz w:val="22"/>
              </w:rPr>
              <w:t>2</w:t>
            </w:r>
            <w:r>
              <w:rPr>
                <w:sz w:val="22"/>
              </w:rPr>
              <w:t>分。</w:t>
            </w:r>
          </w:p>
        </w:tc>
      </w:tr>
      <w:tr>
        <w:tc>
          <w:tcPr>
            <w:tcW w:type="dxa" w:w="617"/>
            <w:tcBorders>
              <w:top w:val="none" w:color="000000" w:sz="4"/>
              <w:left w:val="single" w:color="000000" w:sz="4"/>
              <w:bottom w:val="single" w:color="000000" w:sz="4"/>
              <w:right w:val="single" w:color="000000" w:sz="4"/>
            </w:tcBorders>
            <w:vAlign w:val="top"/>
          </w:tcPr>
          <w:p>
            <w:pPr>
              <w:jc w:val="center"/>
            </w:pPr>
            <w:r>
              <w:rPr>
                <w:sz w:val="22"/>
              </w:rPr>
              <w:t>5</w:t>
            </w:r>
          </w:p>
        </w:tc>
        <w:tc>
          <w:tcPr>
            <w:tcW w:type="dxa" w:w="2347"/>
            <w:tcBorders>
              <w:top w:val="none" w:color="000000" w:sz="4"/>
              <w:left w:val="none" w:color="000000" w:sz="4"/>
              <w:bottom w:val="single" w:color="000000" w:sz="4"/>
              <w:right w:val="single" w:color="000000" w:sz="4"/>
            </w:tcBorders>
            <w:vAlign w:val="top"/>
          </w:tcPr>
          <w:p>
            <w:pPr>
              <w:jc w:val="center"/>
            </w:pPr>
            <w:r>
              <w:rPr>
                <w:sz w:val="22"/>
              </w:rPr>
              <w:t>服务过程对美城考核影响情况</w:t>
            </w:r>
          </w:p>
        </w:tc>
        <w:tc>
          <w:tcPr>
            <w:tcW w:type="dxa" w:w="5342"/>
            <w:tcBorders>
              <w:top w:val="none" w:color="000000" w:sz="4"/>
              <w:left w:val="none" w:color="000000" w:sz="4"/>
              <w:bottom w:val="single" w:color="000000" w:sz="4"/>
              <w:right w:val="single" w:color="000000" w:sz="4"/>
            </w:tcBorders>
            <w:vAlign w:val="top"/>
          </w:tcPr>
          <w:p>
            <w:pPr>
              <w:jc w:val="center"/>
            </w:pPr>
            <w:r>
              <w:rPr>
                <w:sz w:val="22"/>
              </w:rPr>
              <w:t>如因乙方在服务过程中，因管理不妥出现服务现场混乱，造成美城考核扣分的，每发现一次扣</w:t>
            </w:r>
            <w:r>
              <w:rPr>
                <w:sz w:val="22"/>
              </w:rPr>
              <w:t>2</w:t>
            </w:r>
            <w:r>
              <w:rPr>
                <w:sz w:val="22"/>
              </w:rPr>
              <w:t>分。</w:t>
            </w:r>
          </w:p>
        </w:tc>
      </w:tr>
      <w:tr>
        <w:tc>
          <w:tcPr>
            <w:tcW w:type="dxa" w:w="617"/>
            <w:tcBorders>
              <w:top w:val="none" w:color="000000" w:sz="4"/>
              <w:left w:val="single" w:color="000000" w:sz="4"/>
              <w:bottom w:val="single" w:color="000000" w:sz="4"/>
              <w:right w:val="single" w:color="000000" w:sz="4"/>
            </w:tcBorders>
            <w:vAlign w:val="top"/>
          </w:tcPr>
          <w:p>
            <w:pPr>
              <w:jc w:val="center"/>
            </w:pPr>
            <w:r>
              <w:rPr>
                <w:sz w:val="22"/>
              </w:rPr>
              <w:t>6</w:t>
            </w:r>
          </w:p>
        </w:tc>
        <w:tc>
          <w:tcPr>
            <w:tcW w:type="dxa" w:w="2347"/>
            <w:tcBorders>
              <w:top w:val="none" w:color="000000" w:sz="4"/>
              <w:left w:val="none" w:color="000000" w:sz="4"/>
              <w:bottom w:val="single" w:color="000000" w:sz="4"/>
              <w:right w:val="single" w:color="000000" w:sz="4"/>
            </w:tcBorders>
            <w:vAlign w:val="top"/>
          </w:tcPr>
          <w:p>
            <w:pPr>
              <w:jc w:val="center"/>
            </w:pPr>
            <w:r>
              <w:rPr>
                <w:sz w:val="22"/>
              </w:rPr>
              <w:t>服务期延误</w:t>
            </w:r>
          </w:p>
        </w:tc>
        <w:tc>
          <w:tcPr>
            <w:tcW w:type="dxa" w:w="5342"/>
            <w:tcBorders>
              <w:top w:val="none" w:color="000000" w:sz="4"/>
              <w:left w:val="none" w:color="000000" w:sz="4"/>
              <w:bottom w:val="single" w:color="000000" w:sz="4"/>
              <w:right w:val="single" w:color="000000" w:sz="4"/>
            </w:tcBorders>
            <w:vAlign w:val="top"/>
          </w:tcPr>
          <w:p>
            <w:pPr>
              <w:jc w:val="center"/>
            </w:pPr>
            <w:r>
              <w:rPr>
                <w:sz w:val="22"/>
              </w:rPr>
              <w:t>在任何单项服务中，如没书面申请延期并取得甲方同意的，服务期每延误一日，扣</w:t>
            </w:r>
            <w:r>
              <w:rPr>
                <w:sz w:val="22"/>
              </w:rPr>
              <w:t>2</w:t>
            </w:r>
            <w:r>
              <w:rPr>
                <w:sz w:val="22"/>
              </w:rPr>
              <w:t>分。</w:t>
            </w:r>
          </w:p>
        </w:tc>
      </w:tr>
      <w:tr>
        <w:tc>
          <w:tcPr>
            <w:tcW w:type="dxa" w:w="617"/>
            <w:tcBorders>
              <w:top w:val="none" w:color="000000" w:sz="4"/>
              <w:left w:val="single" w:color="000000" w:sz="4"/>
              <w:bottom w:val="single" w:color="000000" w:sz="4"/>
              <w:right w:val="single" w:color="000000" w:sz="4"/>
            </w:tcBorders>
            <w:vAlign w:val="top"/>
          </w:tcPr>
          <w:p>
            <w:pPr>
              <w:jc w:val="center"/>
            </w:pPr>
            <w:r>
              <w:rPr>
                <w:sz w:val="22"/>
              </w:rPr>
              <w:t>7</w:t>
            </w:r>
          </w:p>
        </w:tc>
        <w:tc>
          <w:tcPr>
            <w:tcW w:type="dxa" w:w="2347"/>
            <w:tcBorders>
              <w:top w:val="none" w:color="000000" w:sz="4"/>
              <w:left w:val="none" w:color="000000" w:sz="4"/>
              <w:bottom w:val="single" w:color="000000" w:sz="4"/>
              <w:right w:val="single" w:color="000000" w:sz="4"/>
            </w:tcBorders>
            <w:vAlign w:val="top"/>
          </w:tcPr>
          <w:p>
            <w:pPr>
              <w:jc w:val="both"/>
            </w:pPr>
            <w:r>
              <w:rPr>
                <w:sz w:val="22"/>
              </w:rPr>
              <w:t>相关总结报告递交情况</w:t>
            </w:r>
          </w:p>
        </w:tc>
        <w:tc>
          <w:tcPr>
            <w:tcW w:type="dxa" w:w="5342"/>
            <w:tcBorders>
              <w:top w:val="none" w:color="000000" w:sz="4"/>
              <w:left w:val="none" w:color="000000" w:sz="4"/>
              <w:bottom w:val="single" w:color="000000" w:sz="4"/>
              <w:right w:val="single" w:color="000000" w:sz="4"/>
            </w:tcBorders>
            <w:vAlign w:val="top"/>
          </w:tcPr>
          <w:p>
            <w:pPr>
              <w:jc w:val="center"/>
            </w:pPr>
            <w:r>
              <w:rPr>
                <w:sz w:val="22"/>
              </w:rPr>
              <w:t>各种报表要准确、齐全、及时签字盖章。每月</w:t>
            </w:r>
            <w:r>
              <w:rPr>
                <w:sz w:val="22"/>
              </w:rPr>
              <w:t>25</w:t>
            </w:r>
            <w:r>
              <w:rPr>
                <w:sz w:val="22"/>
              </w:rPr>
              <w:t>日前报上月养护维修计划表，每月</w:t>
            </w:r>
            <w:r>
              <w:rPr>
                <w:sz w:val="22"/>
              </w:rPr>
              <w:t>28</w:t>
            </w:r>
            <w:r>
              <w:rPr>
                <w:sz w:val="22"/>
              </w:rPr>
              <w:t>日前报养护维修完成统计表。报表数据不全，每一项扣</w:t>
            </w:r>
            <w:r>
              <w:rPr>
                <w:sz w:val="22"/>
              </w:rPr>
              <w:t>1</w:t>
            </w:r>
            <w:r>
              <w:rPr>
                <w:sz w:val="22"/>
              </w:rPr>
              <w:t>分，每迟报一天扣</w:t>
            </w:r>
            <w:r>
              <w:rPr>
                <w:sz w:val="22"/>
              </w:rPr>
              <w:t>1</w:t>
            </w:r>
            <w:r>
              <w:rPr>
                <w:sz w:val="22"/>
              </w:rPr>
              <w:t>分，数据不准确弄虚作假每次扣</w:t>
            </w:r>
            <w:r>
              <w:rPr>
                <w:sz w:val="22"/>
              </w:rPr>
              <w:t>1</w:t>
            </w:r>
            <w:r>
              <w:rPr>
                <w:sz w:val="22"/>
              </w:rPr>
              <w:t>分，不报的扣</w:t>
            </w:r>
            <w:r>
              <w:rPr>
                <w:sz w:val="22"/>
              </w:rPr>
              <w:t>10</w:t>
            </w:r>
            <w:r>
              <w:rPr>
                <w:sz w:val="22"/>
              </w:rPr>
              <w:t>分</w:t>
            </w:r>
          </w:p>
        </w:tc>
      </w:tr>
    </w:tbl>
    <w:p>
      <w:pPr>
        <w:jc w:val="both"/>
      </w:pPr>
    </w:p>
    <w:p>
      <w:pPr>
        <w:jc w:val="both"/>
      </w:pPr>
    </w:p>
    <w:p>
      <w:pPr>
        <w:ind w:firstLine="482"/>
        <w:jc w:val="both"/>
      </w:pPr>
      <w:r>
        <w:rPr>
          <w:b/>
          <w:sz w:val="24"/>
        </w:rPr>
        <w:t>十三、投诉跟踪服务要求</w:t>
      </w:r>
    </w:p>
    <w:p>
      <w:pPr>
        <w:ind w:firstLine="480"/>
        <w:jc w:val="both"/>
      </w:pPr>
      <w:r>
        <w:rPr>
          <w:sz w:val="24"/>
        </w:rPr>
        <w:t>（一）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ind w:firstLine="480"/>
        <w:jc w:val="both"/>
      </w:pPr>
      <w:r>
        <w:rPr>
          <w:sz w:val="24"/>
        </w:rPr>
        <w:t>（二）服务期内，甲方有权按本项目的管理要求对乙方进行不定期抽查检查，若对不合格的管理服务提出警告后，仍未得到有效解决时，甲方有权终止管理合同。</w:t>
      </w:r>
    </w:p>
    <w:p>
      <w:pPr>
        <w:ind w:firstLine="480"/>
        <w:jc w:val="both"/>
      </w:pPr>
      <w:r>
        <w:rPr>
          <w:sz w:val="24"/>
        </w:rPr>
        <w:t>（三）乙方服务机构名称及地址：</w:t>
      </w:r>
    </w:p>
    <w:p>
      <w:pPr>
        <w:ind w:firstLine="480"/>
        <w:jc w:val="both"/>
      </w:pPr>
      <w:r>
        <w:rPr>
          <w:sz w:val="24"/>
        </w:rPr>
        <w:t>联系人</w:t>
      </w:r>
      <w:r>
        <w:rPr>
          <w:sz w:val="24"/>
        </w:rPr>
        <w:t>1</w:t>
      </w:r>
      <w:r>
        <w:rPr>
          <w:sz w:val="24"/>
        </w:rPr>
        <w:t>：</w:t>
      </w:r>
      <w:r>
        <w:rPr>
          <w:sz w:val="21"/>
          <w:u w:val="single"/>
        </w:rPr>
        <w:t xml:space="preserve">          </w:t>
      </w:r>
      <w:r>
        <w:rPr>
          <w:sz w:val="24"/>
        </w:rPr>
        <w:t>，联系电话：</w:t>
      </w:r>
      <w:r>
        <w:rPr>
          <w:sz w:val="21"/>
          <w:u w:val="single"/>
        </w:rPr>
        <w:t xml:space="preserve">           </w:t>
      </w:r>
      <w:r>
        <w:rPr>
          <w:sz w:val="24"/>
        </w:rPr>
        <w:t xml:space="preserve"> </w:t>
      </w:r>
      <w:r>
        <w:rPr>
          <w:sz w:val="24"/>
        </w:rPr>
        <w:t>，手机：</w:t>
      </w:r>
      <w:r>
        <w:rPr>
          <w:sz w:val="21"/>
          <w:u w:val="single"/>
        </w:rPr>
        <w:t xml:space="preserve">         </w:t>
      </w:r>
      <w:r>
        <w:rPr>
          <w:sz w:val="24"/>
        </w:rPr>
        <w:t xml:space="preserve"> </w:t>
      </w:r>
      <w:r>
        <w:rPr>
          <w:sz w:val="24"/>
        </w:rPr>
        <w:t>；</w:t>
      </w:r>
    </w:p>
    <w:p>
      <w:pPr>
        <w:ind w:firstLine="480"/>
        <w:jc w:val="both"/>
      </w:pPr>
      <w:r>
        <w:rPr>
          <w:sz w:val="24"/>
        </w:rPr>
        <w:t>联系人</w:t>
      </w:r>
      <w:r>
        <w:rPr>
          <w:sz w:val="24"/>
        </w:rPr>
        <w:t>2</w:t>
      </w:r>
      <w:r>
        <w:rPr>
          <w:sz w:val="24"/>
        </w:rPr>
        <w:t>：</w:t>
      </w:r>
      <w:r>
        <w:rPr>
          <w:sz w:val="21"/>
          <w:u w:val="single"/>
        </w:rPr>
        <w:t xml:space="preserve">          </w:t>
      </w:r>
      <w:r>
        <w:rPr>
          <w:sz w:val="24"/>
        </w:rPr>
        <w:t>，联系电话：</w:t>
      </w:r>
      <w:r>
        <w:rPr>
          <w:sz w:val="21"/>
          <w:u w:val="single"/>
        </w:rPr>
        <w:t xml:space="preserve">           </w:t>
      </w:r>
      <w:r>
        <w:rPr>
          <w:sz w:val="24"/>
        </w:rPr>
        <w:t xml:space="preserve"> </w:t>
      </w:r>
      <w:r>
        <w:rPr>
          <w:sz w:val="24"/>
        </w:rPr>
        <w:t>，手机：</w:t>
      </w:r>
      <w:r>
        <w:rPr>
          <w:sz w:val="21"/>
          <w:u w:val="single"/>
        </w:rPr>
        <w:t xml:space="preserve">          </w:t>
      </w:r>
      <w:r>
        <w:rPr>
          <w:sz w:val="24"/>
        </w:rPr>
        <w:t>；</w:t>
      </w:r>
    </w:p>
    <w:p>
      <w:pPr>
        <w:ind w:firstLine="480"/>
        <w:jc w:val="both"/>
      </w:pPr>
      <w:r>
        <w:rPr>
          <w:sz w:val="24"/>
        </w:rPr>
        <w:t>服务专线电话：</w:t>
      </w:r>
    </w:p>
    <w:p>
      <w:pPr>
        <w:ind w:firstLine="482"/>
        <w:jc w:val="both"/>
      </w:pPr>
      <w:r>
        <w:rPr>
          <w:b/>
          <w:sz w:val="24"/>
        </w:rPr>
        <w:t>十四、知识产权和保密要求</w:t>
      </w:r>
    </w:p>
    <w:p>
      <w:pPr>
        <w:ind w:firstLine="480"/>
        <w:jc w:val="both"/>
      </w:pPr>
      <w:r>
        <w:rPr>
          <w:sz w:val="24"/>
        </w:rPr>
        <w:t>（一）知识产权</w:t>
      </w:r>
    </w:p>
    <w:p>
      <w:pPr>
        <w:ind w:firstLine="420"/>
        <w:jc w:val="both"/>
      </w:pPr>
      <w:r>
        <w:rPr>
          <w:sz w:val="24"/>
        </w:rPr>
        <w:t>乙方在项目实施过程中所采用的专利、专有技术、技术秘密的使用费的承担方式：由乙方承担，甲方不再另行支付与此相关的任何费用，若在使用过程中，有因采用专利、专有技术或技术秘密等引发的专利权、著作权等纠纷，均由乙方承担相关责任。</w:t>
      </w:r>
    </w:p>
    <w:p>
      <w:pPr>
        <w:ind w:firstLine="480"/>
        <w:jc w:val="both"/>
      </w:pPr>
      <w:r>
        <w:rPr>
          <w:sz w:val="24"/>
        </w:rPr>
        <w:t>（二）保密</w:t>
      </w:r>
    </w:p>
    <w:p>
      <w:pPr>
        <w:ind w:firstLine="420"/>
        <w:jc w:val="both"/>
      </w:pPr>
      <w:r>
        <w:rPr>
          <w:sz w:val="24"/>
        </w:rPr>
        <w:t>1</w:t>
      </w:r>
      <w:r>
        <w:rPr>
          <w:sz w:val="24"/>
        </w:rPr>
        <w:t>、乙方必须将合同的所有细节作为保密资料对待，除为合同目的所必须，若没有得到甲方或甲方的书面同意，合同的任何部分不应在任何商业或技术文献上刊登或披露。</w:t>
      </w:r>
    </w:p>
    <w:p>
      <w:pPr>
        <w:ind w:firstLine="420"/>
        <w:jc w:val="both"/>
      </w:pPr>
      <w:r>
        <w:rPr>
          <w:sz w:val="24"/>
        </w:rPr>
        <w:t>2</w:t>
      </w:r>
      <w:r>
        <w:rPr>
          <w:sz w:val="24"/>
        </w:rPr>
        <w:t>、未经甲方书面同意，乙方不得在任何商业或技术文献上刊登或者披露任何与项目有关的情报或者详细资料。</w:t>
      </w:r>
    </w:p>
    <w:p>
      <w:pPr>
        <w:ind w:firstLine="420"/>
        <w:jc w:val="both"/>
      </w:pPr>
      <w:r>
        <w:rPr>
          <w:sz w:val="24"/>
        </w:rPr>
        <w:t>3</w:t>
      </w:r>
      <w:r>
        <w:rPr>
          <w:sz w:val="24"/>
        </w:rPr>
        <w:t>、甲方对图纸资料的保密要求：除严格用于合同目的者外，由甲方提供的服务量或图纸、规范和其他文件未经甲方许可，乙方不得用于或转给第三方，且在项目实施期间，实行专人专管并责任到人，严控图纸外流。如果由于合同的需要公开有关信息，对于其公开的必要性产生争执，则以甲方的决定为准。</w:t>
      </w:r>
    </w:p>
    <w:p>
      <w:pPr>
        <w:ind w:firstLine="482"/>
        <w:jc w:val="both"/>
      </w:pPr>
      <w:r>
        <w:rPr>
          <w:b/>
          <w:sz w:val="24"/>
        </w:rPr>
        <w:t>十五、工程保险</w:t>
      </w:r>
    </w:p>
    <w:p>
      <w:pPr>
        <w:ind w:firstLine="480"/>
        <w:jc w:val="left"/>
      </w:pPr>
      <w:r>
        <w:rPr>
          <w:sz w:val="24"/>
        </w:rPr>
        <w:t>（一）关于工程保险的特别约定：乙方必须办理下列保险，保险期至少从办理保险之日起至工程竣工验收合格之日止，保险费用由乙方在合同价中综合考虑，甲方不再另行支付。甲方不承担任何保险费用。保险合同签订后，需提交给甲方备案。如乙方不按合同要求购买保险导致出现赔付纠纷时，甲方不承担任何违约责任、补偿责任和赔偿责任</w:t>
      </w:r>
      <w:r>
        <w:rPr>
          <w:sz w:val="24"/>
        </w:rPr>
        <w:t>:</w:t>
      </w:r>
    </w:p>
    <w:p>
      <w:pPr>
        <w:ind w:firstLine="480"/>
        <w:jc w:val="left"/>
      </w:pPr>
      <w:r>
        <w:rPr>
          <w:sz w:val="24"/>
        </w:rPr>
        <w:t>1)</w:t>
      </w:r>
      <w:r>
        <w:rPr>
          <w:sz w:val="24"/>
        </w:rPr>
        <w:t>工程开工前，为施工场地内自有施工人员办理意外伤害保险；</w:t>
      </w:r>
    </w:p>
    <w:p>
      <w:pPr>
        <w:ind w:firstLine="480"/>
        <w:jc w:val="left"/>
      </w:pPr>
      <w:r>
        <w:rPr>
          <w:sz w:val="24"/>
        </w:rPr>
        <w:t>2)</w:t>
      </w:r>
      <w:r>
        <w:rPr>
          <w:sz w:val="24"/>
        </w:rPr>
        <w:t>工程开工前，为拟投入施工场地的自有施工机械、设备办理保险；</w:t>
      </w:r>
    </w:p>
    <w:p>
      <w:pPr>
        <w:ind w:firstLine="480"/>
        <w:jc w:val="left"/>
      </w:pPr>
      <w:r>
        <w:rPr>
          <w:sz w:val="24"/>
        </w:rPr>
        <w:t>3)</w:t>
      </w:r>
      <w:r>
        <w:rPr>
          <w:sz w:val="24"/>
        </w:rPr>
        <w:t>办理第三方生命财产保险；</w:t>
      </w:r>
    </w:p>
    <w:p>
      <w:pPr>
        <w:ind w:firstLine="480"/>
        <w:jc w:val="left"/>
      </w:pPr>
      <w:r>
        <w:rPr>
          <w:sz w:val="24"/>
        </w:rPr>
        <w:t>4)</w:t>
      </w:r>
      <w:r>
        <w:rPr>
          <w:sz w:val="24"/>
        </w:rPr>
        <w:t>按有关法律、法规的规定，需由乙方购买的其它保险费用；</w:t>
      </w:r>
    </w:p>
    <w:p>
      <w:pPr>
        <w:ind w:firstLine="480"/>
        <w:jc w:val="left"/>
      </w:pPr>
      <w:r>
        <w:rPr>
          <w:sz w:val="24"/>
        </w:rPr>
        <w:t>5)</w:t>
      </w:r>
      <w:r>
        <w:rPr>
          <w:sz w:val="24"/>
        </w:rPr>
        <w:t>工程一切险</w:t>
      </w:r>
      <w:r>
        <w:rPr>
          <w:sz w:val="24"/>
        </w:rPr>
        <w:t>(</w:t>
      </w:r>
      <w:r>
        <w:rPr>
          <w:sz w:val="24"/>
        </w:rPr>
        <w:t>含第三方责任险</w:t>
      </w:r>
      <w:r>
        <w:rPr>
          <w:sz w:val="24"/>
        </w:rPr>
        <w:t>)</w:t>
      </w:r>
      <w:r>
        <w:rPr>
          <w:sz w:val="24"/>
        </w:rPr>
        <w:t>。</w:t>
      </w:r>
    </w:p>
    <w:p>
      <w:pPr>
        <w:ind w:firstLine="480"/>
        <w:jc w:val="left"/>
      </w:pPr>
      <w:r>
        <w:rPr>
          <w:sz w:val="24"/>
        </w:rPr>
        <w:t>（二）其他保险</w:t>
      </w:r>
    </w:p>
    <w:p>
      <w:pPr>
        <w:ind w:firstLine="480"/>
        <w:jc w:val="left"/>
      </w:pPr>
      <w:r>
        <w:rPr>
          <w:sz w:val="24"/>
        </w:rPr>
        <w:t>关于其他保险的约定：为从事危险作业的职工办理工伤保险、意外伤害保险，并为施工场地内自有人员生命财产、施工机械设备和材料及其它相关规定要求的投保范围办理保险，上述保险及平安卡办理工作和相关一切费用由乙方负责和支付。有关此项目的所有保险费用由乙方负责。</w:t>
      </w:r>
    </w:p>
    <w:p>
      <w:pPr>
        <w:ind w:firstLine="480"/>
        <w:jc w:val="left"/>
      </w:pPr>
      <w:r>
        <w:rPr>
          <w:sz w:val="24"/>
        </w:rPr>
        <w:t>乙方是否应为其施工设备等办理财产保险：乙方应为其施工设备等办理财产保险。</w:t>
      </w:r>
    </w:p>
    <w:p>
      <w:pPr>
        <w:ind w:firstLine="480"/>
        <w:jc w:val="left"/>
      </w:pPr>
      <w:r>
        <w:rPr>
          <w:sz w:val="24"/>
        </w:rPr>
        <w:t>安全生产责任保险的约定：乙方须按投标文件承诺在施工前办理完成安全生产责任保险。</w:t>
      </w:r>
    </w:p>
    <w:p>
      <w:pPr>
        <w:ind w:firstLine="482"/>
        <w:jc w:val="both"/>
      </w:pPr>
      <w:r>
        <w:rPr>
          <w:b/>
          <w:sz w:val="24"/>
        </w:rPr>
        <w:t>十六、异议的时间和方法：</w:t>
      </w:r>
    </w:p>
    <w:p>
      <w:pPr>
        <w:ind w:firstLine="480"/>
        <w:jc w:val="both"/>
      </w:pPr>
      <w:r>
        <w:rPr>
          <w:sz w:val="24"/>
        </w:rPr>
        <w:t>（一）甲方有异议时，应</w:t>
      </w:r>
      <w:r>
        <w:rPr>
          <w:sz w:val="24"/>
          <w:u w:val="single"/>
        </w:rPr>
        <w:t xml:space="preserve"> 30</w:t>
      </w:r>
      <w:r>
        <w:rPr>
          <w:sz w:val="24"/>
        </w:rPr>
        <w:t>天内向乙方提出书面异议。</w:t>
      </w:r>
    </w:p>
    <w:p>
      <w:pPr>
        <w:ind w:firstLine="480"/>
        <w:jc w:val="both"/>
      </w:pPr>
      <w:r>
        <w:rPr>
          <w:sz w:val="24"/>
        </w:rPr>
        <w:t>（二）乙方在接到甲方书面异议后，应在</w:t>
      </w:r>
      <w:r>
        <w:rPr>
          <w:sz w:val="24"/>
        </w:rPr>
        <w:t>3</w:t>
      </w:r>
      <w:r>
        <w:rPr>
          <w:sz w:val="24"/>
        </w:rPr>
        <w:t>天内负责处理并函复甲方处理情况，否则，即视为默认甲方提出的异议和处理意见。</w:t>
      </w:r>
    </w:p>
    <w:p>
      <w:pPr>
        <w:ind w:firstLine="480"/>
        <w:jc w:val="both"/>
      </w:pPr>
      <w:r>
        <w:rPr>
          <w:sz w:val="24"/>
        </w:rPr>
        <w:t>（三）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ind w:firstLine="482"/>
        <w:jc w:val="both"/>
      </w:pPr>
      <w:r>
        <w:rPr>
          <w:b/>
          <w:sz w:val="24"/>
        </w:rPr>
        <w:t>十七、争议的解决：</w:t>
      </w:r>
    </w:p>
    <w:p>
      <w:pPr>
        <w:ind w:firstLine="480"/>
        <w:jc w:val="both"/>
      </w:pPr>
      <w:r>
        <w:rPr>
          <w:sz w:val="24"/>
        </w:rPr>
        <w:t>（一）合同履行过程中发生的任何争议，如双方未能通过友好协商解决，应向佛山市顺德区人民法院提起诉讼。</w:t>
      </w:r>
    </w:p>
    <w:p>
      <w:pPr>
        <w:ind w:firstLine="480"/>
        <w:jc w:val="both"/>
      </w:pPr>
      <w:r>
        <w:rPr>
          <w:sz w:val="24"/>
        </w:rPr>
        <w:t>（二）法院审理期间，除提交法院审理的事项外，其它无争议的事项和条款仍应继续履行。</w:t>
      </w:r>
    </w:p>
    <w:p>
      <w:pPr>
        <w:ind w:firstLine="480"/>
        <w:jc w:val="left"/>
      </w:pPr>
      <w:r>
        <w:rPr>
          <w:sz w:val="24"/>
        </w:rPr>
        <w:t>注：甲、乙双方同意在诉讼或仲裁过程中，工程最终造价以结算价为准，未进行结算的，应先行结算，若未能进行结算程序的，以第三方有资质的鉴定机构的鉴定结果为准，第三方鉴定机构可由双方协商一致后共同委托，协商不成的，由法院或仲裁机构指定。</w:t>
      </w:r>
    </w:p>
    <w:p>
      <w:pPr>
        <w:ind w:firstLine="482"/>
        <w:jc w:val="both"/>
      </w:pPr>
      <w:r>
        <w:rPr>
          <w:b/>
          <w:sz w:val="24"/>
        </w:rPr>
        <w:t>十八、不可抗力：</w:t>
      </w:r>
    </w:p>
    <w:p>
      <w:pPr>
        <w:ind w:firstLine="420"/>
        <w:jc w:val="both"/>
      </w:pPr>
      <w:r>
        <w:rPr>
          <w:sz w:val="24"/>
        </w:rPr>
        <w:t>任何一方由于不可抗力原因不能履行合同时，应在不可抗力事件结束后</w:t>
      </w:r>
      <w:r>
        <w:rPr>
          <w:sz w:val="24"/>
        </w:rPr>
        <w:t>48</w:t>
      </w:r>
      <w:r>
        <w:rPr>
          <w:sz w:val="24"/>
        </w:rPr>
        <w:t>小时内向对方通报，以减轻可能给对方造成的损失，在取得有关机构的不可抗力证明或双方谅解确认后，允许延期履行或修订合同，并根据情况可部分或全部免于承担违约责任。</w:t>
      </w:r>
    </w:p>
    <w:p>
      <w:pPr>
        <w:ind w:firstLine="482"/>
        <w:jc w:val="both"/>
      </w:pPr>
      <w:r>
        <w:rPr>
          <w:b/>
          <w:sz w:val="24"/>
        </w:rPr>
        <w:t>十九、税费：</w:t>
      </w:r>
    </w:p>
    <w:p>
      <w:pPr>
        <w:ind w:firstLine="480"/>
        <w:jc w:val="both"/>
      </w:pPr>
      <w:r>
        <w:rPr>
          <w:sz w:val="24"/>
        </w:rPr>
        <w:t>（一）本合同实施过程中所发生的一切税费及不可预见费均由乙方承担。</w:t>
      </w:r>
    </w:p>
    <w:p>
      <w:pPr>
        <w:ind w:firstLine="480"/>
        <w:jc w:val="both"/>
      </w:pPr>
      <w:r>
        <w:rPr>
          <w:sz w:val="24"/>
        </w:rPr>
        <w:t>（二）乙方依照税务规章优先在合同履约地开具发票及纳税，咨询：</w:t>
      </w:r>
      <w:r>
        <w:rPr>
          <w:sz w:val="24"/>
        </w:rPr>
        <w:t>0757-12366</w:t>
      </w:r>
      <w:r>
        <w:rPr>
          <w:sz w:val="24"/>
        </w:rPr>
        <w:t>。</w:t>
      </w:r>
    </w:p>
    <w:p>
      <w:pPr>
        <w:ind w:firstLine="482"/>
        <w:jc w:val="both"/>
      </w:pPr>
      <w:r>
        <w:rPr>
          <w:b/>
          <w:sz w:val="24"/>
        </w:rPr>
        <w:t>二十、合同生效与合同备案：</w:t>
      </w:r>
    </w:p>
    <w:p>
      <w:pPr>
        <w:ind w:firstLine="480"/>
        <w:jc w:val="both"/>
      </w:pPr>
      <w:r>
        <w:rPr>
          <w:sz w:val="24"/>
        </w:rPr>
        <w:t>（一）本合同在甲乙双方法人代表或其授权代表签字盖章后生效。</w:t>
      </w:r>
    </w:p>
    <w:p>
      <w:pPr>
        <w:ind w:firstLine="480"/>
        <w:jc w:val="both"/>
      </w:pPr>
      <w:r>
        <w:rPr>
          <w:sz w:val="24"/>
        </w:rPr>
        <w:t>（二）自采购合同签订之日起</w:t>
      </w:r>
      <w:r>
        <w:rPr>
          <w:sz w:val="24"/>
        </w:rPr>
        <w:t>7</w:t>
      </w:r>
      <w:r>
        <w:rPr>
          <w:sz w:val="24"/>
        </w:rPr>
        <w:t>个工作日内，由甲方按照有关规定将采购合同副本报同级人民政府财政部门（政府采购管理部门）备案。</w:t>
      </w:r>
    </w:p>
    <w:p>
      <w:pPr>
        <w:ind w:firstLine="482"/>
        <w:jc w:val="both"/>
      </w:pPr>
      <w:r>
        <w:rPr>
          <w:b/>
          <w:sz w:val="24"/>
        </w:rPr>
        <w:t>二十一、关于政府采购合同融资</w:t>
      </w:r>
    </w:p>
    <w:p>
      <w:pPr>
        <w:ind w:firstLine="480"/>
        <w:jc w:val="both"/>
      </w:pPr>
      <w:r>
        <w:rPr>
          <w:sz w:val="24"/>
        </w:rPr>
        <w:t>（一）乙方是否已申请政府采购合同融资：</w:t>
      </w:r>
      <w:r>
        <w:rPr>
          <w:sz w:val="24"/>
          <w:u w:val="single"/>
        </w:rPr>
        <w:t xml:space="preserve">  </w:t>
      </w:r>
      <w:r>
        <w:rPr>
          <w:sz w:val="24"/>
          <w:u w:val="single"/>
        </w:rPr>
        <w:t>是</w:t>
      </w:r>
      <w:r>
        <w:rPr>
          <w:sz w:val="24"/>
          <w:u w:val="single"/>
        </w:rPr>
        <w:t>/</w:t>
      </w:r>
      <w:r>
        <w:rPr>
          <w:sz w:val="24"/>
          <w:u w:val="single"/>
        </w:rPr>
        <w:t xml:space="preserve">否  </w:t>
      </w:r>
      <w:r>
        <w:rPr>
          <w:sz w:val="24"/>
        </w:rPr>
        <w:t>；</w:t>
      </w:r>
    </w:p>
    <w:p>
      <w:pPr>
        <w:ind w:firstLine="480"/>
        <w:jc w:val="both"/>
      </w:pPr>
      <w:r>
        <w:rPr>
          <w:sz w:val="24"/>
        </w:rPr>
        <w:t>（二）融资银行及联系方式：</w:t>
      </w:r>
      <w:r>
        <w:rPr>
          <w:sz w:val="21"/>
          <w:u w:val="single"/>
        </w:rPr>
        <w:t xml:space="preserve">                                        </w:t>
      </w:r>
      <w:r>
        <w:rPr>
          <w:sz w:val="24"/>
        </w:rPr>
        <w:t>。</w:t>
      </w:r>
    </w:p>
    <w:p>
      <w:pPr>
        <w:ind w:firstLine="480"/>
        <w:jc w:val="both"/>
      </w:pPr>
      <w:r>
        <w:rPr>
          <w:sz w:val="24"/>
        </w:rPr>
        <w:t>（三）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sz w:val="24"/>
        </w:rPr>
        <w:t>。</w:t>
      </w:r>
    </w:p>
    <w:p>
      <w:pPr>
        <w:ind w:firstLine="482"/>
        <w:jc w:val="both"/>
      </w:pPr>
      <w:r>
        <w:rPr>
          <w:b/>
          <w:sz w:val="24"/>
        </w:rPr>
        <w:t>二十二、其它：</w:t>
      </w:r>
    </w:p>
    <w:p>
      <w:pPr>
        <w:ind w:firstLine="480"/>
        <w:jc w:val="both"/>
      </w:pPr>
      <w:r>
        <w:rPr>
          <w:sz w:val="24"/>
        </w:rPr>
        <w:t>（一）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ind w:firstLine="480"/>
        <w:jc w:val="both"/>
      </w:pPr>
      <w:r>
        <w:rPr>
          <w:sz w:val="24"/>
        </w:rPr>
        <w:t>（二）如一方（包括联系人）地址、电话、传真号码有变更，应在变更后</w:t>
      </w:r>
      <w:r>
        <w:rPr>
          <w:sz w:val="24"/>
        </w:rPr>
        <w:t>3</w:t>
      </w:r>
      <w:r>
        <w:rPr>
          <w:sz w:val="24"/>
        </w:rPr>
        <w:t>个工作日内书面通知对方联系人或负责人，否则，因此造成的损失由未履行通知义务方承担相应责任。</w:t>
      </w:r>
    </w:p>
    <w:p>
      <w:pPr>
        <w:ind w:firstLine="480"/>
        <w:jc w:val="both"/>
      </w:pPr>
      <w:r>
        <w:rPr>
          <w:sz w:val="24"/>
        </w:rPr>
        <w:t>（三）未经甲方书面同意，乙方不得擅自向第三方转让其主体性和关键性合同义务。</w:t>
      </w:r>
    </w:p>
    <w:p>
      <w:pPr>
        <w:ind w:firstLine="480"/>
        <w:jc w:val="both"/>
      </w:pPr>
      <w:r>
        <w:rPr>
          <w:sz w:val="24"/>
        </w:rPr>
        <w:t>（四）本合同一式</w:t>
      </w:r>
      <w:r>
        <w:rPr>
          <w:sz w:val="21"/>
          <w:u w:val="single"/>
        </w:rPr>
        <w:t xml:space="preserve">    </w:t>
      </w:r>
      <w:r>
        <w:rPr>
          <w:sz w:val="24"/>
        </w:rPr>
        <w:t>份，甲方执</w:t>
      </w:r>
      <w:r>
        <w:rPr>
          <w:sz w:val="21"/>
          <w:u w:val="single"/>
        </w:rPr>
        <w:t xml:space="preserve">   </w:t>
      </w:r>
      <w:r>
        <w:rPr>
          <w:sz w:val="24"/>
        </w:rPr>
        <w:t>份，乙方执</w:t>
      </w:r>
      <w:r>
        <w:rPr>
          <w:sz w:val="21"/>
          <w:u w:val="single"/>
        </w:rPr>
        <w:t xml:space="preserve">   </w:t>
      </w:r>
      <w:r>
        <w:rPr>
          <w:sz w:val="24"/>
        </w:rPr>
        <w:t>份。</w:t>
      </w:r>
    </w:p>
    <w:p>
      <w:pPr>
        <w:ind w:firstLine="480"/>
        <w:jc w:val="both"/>
      </w:pPr>
      <w:r>
        <w:rPr>
          <w:sz w:val="24"/>
        </w:rPr>
        <w:t>（五）本合同（含附件）共计</w:t>
      </w:r>
      <w:r>
        <w:rPr>
          <w:sz w:val="21"/>
          <w:u w:val="single"/>
        </w:rPr>
        <w:t xml:space="preserve">    </w:t>
      </w:r>
      <w:r>
        <w:rPr>
          <w:sz w:val="24"/>
        </w:rPr>
        <w:t>页，缺页之合同为无效合同。</w:t>
      </w:r>
    </w:p>
    <w:p>
      <w:pPr>
        <w:ind w:firstLine="480"/>
        <w:jc w:val="both"/>
      </w:pPr>
      <w:r>
        <w:rPr>
          <w:sz w:val="24"/>
        </w:rPr>
        <w:t>（六）本合同签约履约地点：广东省佛山市。</w:t>
      </w:r>
    </w:p>
    <w:p>
      <w:pPr>
        <w:ind w:firstLine="480"/>
        <w:jc w:val="both"/>
      </w:pPr>
      <w:r>
        <w:rPr>
          <w:sz w:val="24"/>
        </w:rPr>
        <w:t>（七）本合同所指</w:t>
      </w:r>
      <w:r>
        <w:rPr>
          <w:sz w:val="24"/>
        </w:rPr>
        <w:t>“</w:t>
      </w:r>
      <w:r>
        <w:rPr>
          <w:sz w:val="24"/>
        </w:rPr>
        <w:t>书面通知</w:t>
      </w:r>
      <w:r>
        <w:rPr>
          <w:sz w:val="24"/>
        </w:rPr>
        <w:t>”</w:t>
      </w:r>
      <w:r>
        <w:rPr>
          <w:sz w:val="24"/>
        </w:rPr>
        <w:t>包括但不限于短信、电子邮件等数据电文的通知形式，到达时间以民事诉讼法的规定为准，但进行书面通知前后，通知方均有义务电话确认通知事项。</w:t>
      </w:r>
    </w:p>
    <w:p>
      <w:pPr>
        <w:ind w:firstLine="480"/>
        <w:jc w:val="both"/>
      </w:pPr>
      <w:r>
        <w:rPr>
          <w:sz w:val="24"/>
        </w:rPr>
        <w:t>（八）双方均已对以上各条款及附件作充分了解，并明确理解由此而产生的相关权责。</w:t>
      </w: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183"/>
        <w:gridCol w:w="3912"/>
        <w:gridCol w:w="211"/>
      </w:tblGrid>
      <w:tr>
        <w:tc>
          <w:tcPr>
            <w:tcW w:type="dxa" w:w="4183"/>
            <w:tcBorders>
              <w:top w:val="none" w:color="000000" w:sz="4"/>
              <w:left w:val="none" w:color="000000" w:sz="4"/>
              <w:bottom w:val="none" w:color="000000" w:sz="4"/>
              <w:right w:val="dashed" w:color="000000" w:sz="4"/>
            </w:tcBorders>
            <w:vAlign w:val="top"/>
          </w:tcPr>
          <w:p>
            <w:pPr>
              <w:jc w:val="both"/>
            </w:pPr>
            <w:r>
              <w:rPr>
                <w:b/>
                <w:sz w:val="24"/>
              </w:rPr>
              <w:t>甲方（盖章）：</w:t>
            </w:r>
          </w:p>
          <w:p>
            <w:pPr>
              <w:jc w:val="both"/>
            </w:pPr>
            <w:r>
              <w:rPr>
                <w:sz w:val="24"/>
              </w:rPr>
              <w:t>代表：</w:t>
            </w:r>
            <w:r>
              <w:rPr>
                <w:sz w:val="21"/>
                <w:u w:val="single"/>
              </w:rPr>
              <w:t xml:space="preserve">                              </w:t>
            </w:r>
            <w:r>
              <w:rPr>
                <w:sz w:val="21"/>
              </w:rPr>
              <w:t xml:space="preserve"> </w:t>
            </w:r>
          </w:p>
          <w:p>
            <w:pPr>
              <w:jc w:val="both"/>
            </w:pPr>
            <w:r>
              <w:rPr>
                <w:sz w:val="24"/>
              </w:rPr>
              <w:t>地址：</w:t>
            </w:r>
          </w:p>
          <w:p>
            <w:pPr>
              <w:jc w:val="both"/>
            </w:pPr>
            <w:r>
              <w:rPr>
                <w:sz w:val="24"/>
              </w:rPr>
              <w:t>电话：</w:t>
            </w:r>
          </w:p>
          <w:p>
            <w:pPr>
              <w:jc w:val="both"/>
            </w:pPr>
            <w:r>
              <w:rPr>
                <w:sz w:val="24"/>
              </w:rPr>
              <w:t>传真：</w:t>
            </w:r>
          </w:p>
          <w:p>
            <w:pPr>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3912"/>
            <w:tcBorders>
              <w:top w:val="none" w:color="000000" w:sz="4"/>
              <w:left w:val="none" w:color="000000" w:sz="4"/>
              <w:bottom w:val="none" w:color="000000" w:sz="4"/>
              <w:right w:val="none" w:color="000000" w:sz="4"/>
            </w:tcBorders>
            <w:vAlign w:val="top"/>
          </w:tcPr>
          <w:p>
            <w:pPr>
              <w:jc w:val="both"/>
            </w:pPr>
            <w:r>
              <w:rPr>
                <w:b/>
                <w:sz w:val="24"/>
              </w:rPr>
              <w:t>乙方（盖章）：</w:t>
            </w:r>
          </w:p>
          <w:p>
            <w:pPr>
              <w:jc w:val="both"/>
            </w:pPr>
            <w:r>
              <w:rPr>
                <w:sz w:val="24"/>
              </w:rPr>
              <w:t>代表：</w:t>
            </w:r>
            <w:r>
              <w:rPr>
                <w:sz w:val="21"/>
                <w:u w:val="single"/>
              </w:rPr>
              <w:t xml:space="preserve">                           </w:t>
            </w:r>
          </w:p>
          <w:p>
            <w:pPr>
              <w:jc w:val="both"/>
            </w:pPr>
            <w:r>
              <w:rPr>
                <w:sz w:val="24"/>
              </w:rPr>
              <w:t>地址：</w:t>
            </w:r>
          </w:p>
          <w:p>
            <w:pPr>
              <w:jc w:val="both"/>
            </w:pPr>
            <w:r>
              <w:rPr>
                <w:sz w:val="24"/>
              </w:rPr>
              <w:t>电话：</w:t>
            </w:r>
          </w:p>
          <w:p>
            <w:pPr>
              <w:jc w:val="both"/>
            </w:pPr>
            <w:r>
              <w:rPr>
                <w:sz w:val="24"/>
              </w:rPr>
              <w:t>传真：</w:t>
            </w:r>
          </w:p>
          <w:p>
            <w:pPr>
              <w:jc w:val="both"/>
            </w:pPr>
            <w:r>
              <w:rPr>
                <w:sz w:val="24"/>
              </w:rPr>
              <w:t>日期：</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211"/>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4183"/>
            <w:tcBorders>
              <w:top w:val="none" w:color="000000" w:sz="4"/>
              <w:left w:val="none" w:color="000000" w:sz="4"/>
              <w:bottom w:val="single" w:color="FFFFFF" w:sz="4"/>
              <w:right w:val="dashed" w:color="000000" w:sz="4"/>
            </w:tcBorders>
            <w:vAlign w:val="top"/>
          </w:tcPr>
          <w:p>
            <w:pPr>
              <w:jc w:val="both"/>
            </w:pPr>
          </w:p>
          <w:p>
            <w:pPr>
              <w:jc w:val="both"/>
            </w:pPr>
          </w:p>
        </w:tc>
        <w:tc>
          <w:tcPr>
            <w:tcW w:type="dxa" w:w="4123"/>
            <w:gridSpan w:val="2"/>
            <w:tcBorders>
              <w:top w:val="none" w:color="000000" w:sz="4"/>
              <w:left w:val="none" w:color="000000" w:sz="4"/>
              <w:bottom w:val="single" w:color="FFFFFF" w:sz="4"/>
              <w:right w:val="none" w:color="000000" w:sz="4"/>
            </w:tcBorders>
            <w:vAlign w:val="top"/>
          </w:tcPr>
          <w:p>
            <w:pPr>
              <w:jc w:val="both"/>
            </w:pPr>
          </w:p>
          <w:p>
            <w:pPr>
              <w:jc w:val="both"/>
            </w:pPr>
            <w:r>
              <w:rPr>
                <w:b/>
                <w:sz w:val="24"/>
              </w:rPr>
              <w:t>收款方、开票方须与乙方一致，专户为：</w:t>
            </w:r>
          </w:p>
          <w:p>
            <w:pPr>
              <w:jc w:val="both"/>
            </w:pPr>
            <w:r>
              <w:rPr>
                <w:sz w:val="24"/>
              </w:rPr>
              <w:t>开户名称：</w:t>
            </w:r>
          </w:p>
          <w:p>
            <w:pPr>
              <w:jc w:val="both"/>
            </w:pPr>
            <w:r>
              <w:rPr>
                <w:sz w:val="24"/>
              </w:rPr>
              <w:t>银行账号：</w:t>
            </w:r>
          </w:p>
          <w:p>
            <w:pPr>
              <w:jc w:val="both"/>
            </w:pPr>
            <w:r>
              <w:rPr>
                <w:sz w:val="24"/>
              </w:rPr>
              <w:t>开户行：</w:t>
            </w:r>
          </w:p>
        </w:tc>
      </w:tr>
    </w:tbl>
    <w:p>
      <w:pPr>
        <w:jc w:val="both"/>
      </w:pPr>
      <w:r>
        <w:rPr>
          <w:sz w:val="21"/>
        </w:rPr>
        <w:t xml:space="preserve"> </w:t>
      </w:r>
    </w:p>
    <w:p>
      <w:pPr>
        <w:jc w:val="both"/>
      </w:pPr>
      <w:r>
        <w:rPr>
          <w:sz w:val="21"/>
        </w:rPr>
        <w:t xml:space="preserve"> </w:t>
      </w:r>
    </w:p>
    <w:p>
      <w:pPr>
        <w:jc w:val="both"/>
      </w:pPr>
      <w:r>
        <w:rPr>
          <w:b/>
          <w:sz w:val="24"/>
        </w:rPr>
        <w:t>合同附件清单：</w:t>
      </w:r>
    </w:p>
    <w:p>
      <w:pPr>
        <w:jc w:val="both"/>
      </w:pPr>
      <w:r>
        <w:rPr>
          <w:b/>
          <w:sz w:val="24"/>
        </w:rPr>
        <w:t>附件</w:t>
      </w:r>
      <w:r>
        <w:rPr>
          <w:b/>
          <w:sz w:val="24"/>
        </w:rPr>
        <w:t>1</w:t>
      </w:r>
      <w:r>
        <w:rPr>
          <w:b/>
          <w:sz w:val="24"/>
        </w:rPr>
        <w:t>：《单方指标价》</w:t>
      </w:r>
    </w:p>
    <w:p>
      <w:pPr>
        <w:jc w:val="both"/>
      </w:pPr>
      <w:r>
        <w:rPr>
          <w:sz w:val="24"/>
        </w:rPr>
        <w:t>附件</w:t>
      </w:r>
      <w:r>
        <w:rPr>
          <w:sz w:val="24"/>
        </w:rPr>
        <w:t>2</w:t>
      </w:r>
      <w:r>
        <w:rPr>
          <w:sz w:val="24"/>
        </w:rPr>
        <w:t>：单宗服务委派单</w:t>
      </w:r>
    </w:p>
    <w:p>
      <w:pPr>
        <w:jc w:val="both"/>
      </w:pPr>
      <w:r>
        <w:rPr>
          <w:sz w:val="24"/>
        </w:rPr>
        <w:t>附件</w:t>
      </w:r>
      <w:r>
        <w:rPr>
          <w:sz w:val="24"/>
        </w:rPr>
        <w:t>3</w:t>
      </w:r>
      <w:r>
        <w:rPr>
          <w:sz w:val="24"/>
        </w:rPr>
        <w:t>：工程质量保修书</w:t>
      </w:r>
    </w:p>
    <w:p>
      <w:pPr>
        <w:jc w:val="both"/>
      </w:pPr>
      <w:r>
        <w:rPr>
          <w:sz w:val="24"/>
        </w:rPr>
        <w:t>其他附件双方自行完善</w:t>
      </w:r>
    </w:p>
    <w:p>
      <w:pPr>
        <w:jc w:val="both"/>
      </w:pPr>
    </w:p>
    <w:p>
      <w:pPr>
        <w:ind w:firstLine="482"/>
        <w:jc w:val="both"/>
      </w:pPr>
    </w:p>
    <w:p>
      <w:pPr>
        <w:jc w:val="both"/>
      </w:pPr>
      <w:r>
        <w:rPr>
          <w:b/>
          <w:sz w:val="24"/>
        </w:rPr>
        <w:t>附件</w:t>
      </w:r>
      <w:r>
        <w:rPr>
          <w:b/>
          <w:sz w:val="24"/>
        </w:rPr>
        <w:t>2</w:t>
      </w:r>
      <w:r>
        <w:rPr>
          <w:b/>
          <w:sz w:val="24"/>
        </w:rPr>
        <w:t>：单宗服务委派单</w:t>
      </w:r>
    </w:p>
    <w:p>
      <w:pPr>
        <w:jc w:val="both"/>
      </w:pPr>
      <w:r>
        <w:rPr>
          <w:sz w:val="21"/>
        </w:rPr>
        <w:t xml:space="preserve"> </w:t>
      </w:r>
    </w:p>
    <w:p>
      <w:pPr>
        <w:ind w:firstLine="485"/>
        <w:jc w:val="center"/>
      </w:pPr>
      <w:r>
        <w:rPr>
          <w:b/>
          <w:sz w:val="24"/>
        </w:rPr>
        <w:t>2023-2025</w:t>
      </w:r>
      <w:r>
        <w:rPr>
          <w:b/>
          <w:sz w:val="24"/>
        </w:rPr>
        <w:t>年度容桂街道零散市政设施破损修复维护项目</w:t>
      </w:r>
    </w:p>
    <w:p>
      <w:pPr>
        <w:ind w:firstLine="485"/>
        <w:jc w:val="center"/>
      </w:pPr>
      <w:r>
        <w:rPr>
          <w:b/>
          <w:sz w:val="24"/>
        </w:rPr>
        <w:t>单宗服务委派单</w:t>
      </w:r>
    </w:p>
    <w:p>
      <w:pPr>
        <w:jc w:val="both"/>
      </w:pPr>
      <w:r>
        <w:rPr>
          <w:b/>
          <w:sz w:val="24"/>
        </w:rPr>
        <w:t>甲方</w:t>
      </w:r>
      <w:r>
        <w:rPr>
          <w:b/>
          <w:sz w:val="24"/>
        </w:rPr>
        <w:t>(</w:t>
      </w:r>
      <w:r>
        <w:rPr>
          <w:b/>
          <w:sz w:val="24"/>
        </w:rPr>
        <w:t>全称</w:t>
      </w:r>
      <w:r>
        <w:rPr>
          <w:b/>
          <w:sz w:val="24"/>
        </w:rPr>
        <w:t>)</w:t>
      </w:r>
      <w:r>
        <w:rPr>
          <w:sz w:val="24"/>
        </w:rPr>
        <w:t>：</w:t>
      </w:r>
      <w:r>
        <w:rPr>
          <w:sz w:val="24"/>
          <w:u w:val="single"/>
        </w:rPr>
        <w:t>佛山市顺德区容桂街道综合行政执法办公室</w:t>
      </w:r>
    </w:p>
    <w:p>
      <w:pPr>
        <w:jc w:val="both"/>
      </w:pPr>
      <w:r>
        <w:rPr>
          <w:b/>
          <w:sz w:val="24"/>
        </w:rPr>
        <w:t>乙方</w:t>
      </w:r>
      <w:r>
        <w:rPr>
          <w:b/>
          <w:sz w:val="24"/>
        </w:rPr>
        <w:t>(</w:t>
      </w:r>
      <w:r>
        <w:rPr>
          <w:b/>
          <w:sz w:val="24"/>
        </w:rPr>
        <w:t>全称</w:t>
      </w:r>
      <w:r>
        <w:rPr>
          <w:b/>
          <w:sz w:val="24"/>
        </w:rPr>
        <w:t>)</w:t>
      </w:r>
      <w:r>
        <w:rPr>
          <w:sz w:val="24"/>
        </w:rPr>
        <w:t>：</w:t>
      </w:r>
      <w:r>
        <w:rPr>
          <w:sz w:val="21"/>
          <w:u w:val="single"/>
        </w:rPr>
        <w:t xml:space="preserve">                               </w:t>
      </w:r>
    </w:p>
    <w:p>
      <w:pPr>
        <w:ind w:firstLine="474"/>
        <w:jc w:val="both"/>
      </w:pPr>
      <w:r>
        <w:rPr>
          <w:sz w:val="24"/>
        </w:rPr>
        <w:t>双方依照《中华人民共和国民法典》及其他有关法律法规、双方签订的《</w:t>
      </w:r>
      <w:r>
        <w:rPr>
          <w:sz w:val="24"/>
        </w:rPr>
        <w:t>2023-2025</w:t>
      </w:r>
      <w:r>
        <w:rPr>
          <w:sz w:val="24"/>
        </w:rPr>
        <w:t>年度容桂街道零散市政设施破损修复维护项目合同书》，遵循平等自愿和诚实信用的原则，就本工程建设有关事项协商达成一致意见，签订本单宗服务委派单。</w:t>
      </w:r>
    </w:p>
    <w:p>
      <w:pPr>
        <w:ind w:firstLine="485"/>
        <w:jc w:val="both"/>
      </w:pPr>
      <w:r>
        <w:rPr>
          <w:b/>
          <w:sz w:val="24"/>
        </w:rPr>
        <w:t>一、工程概况：</w:t>
      </w:r>
    </w:p>
    <w:p>
      <w:pPr>
        <w:jc w:val="both"/>
      </w:pPr>
      <w:r>
        <w:rPr>
          <w:sz w:val="24"/>
        </w:rPr>
        <w:t>工程名称：</w:t>
      </w:r>
      <w:r>
        <w:rPr>
          <w:sz w:val="21"/>
          <w:u w:val="single"/>
        </w:rPr>
        <w:t xml:space="preserve">               </w:t>
      </w:r>
    </w:p>
    <w:p>
      <w:pPr>
        <w:jc w:val="both"/>
      </w:pPr>
      <w:r>
        <w:rPr>
          <w:sz w:val="24"/>
        </w:rPr>
        <w:t>工程地点：</w:t>
      </w:r>
      <w:r>
        <w:rPr>
          <w:sz w:val="24"/>
          <w:u w:val="single"/>
        </w:rPr>
        <w:t>顺德区容桂街道</w:t>
      </w:r>
    </w:p>
    <w:p>
      <w:pPr>
        <w:jc w:val="both"/>
      </w:pPr>
      <w:r>
        <w:rPr>
          <w:sz w:val="24"/>
        </w:rPr>
        <w:t>工程内容：</w:t>
      </w:r>
      <w:r>
        <w:rPr>
          <w:sz w:val="24"/>
          <w:u w:val="single"/>
        </w:rPr>
        <w:t>详见工程预算</w:t>
      </w:r>
      <w:r>
        <w:rPr>
          <w:sz w:val="24"/>
        </w:rPr>
        <w:t>。</w:t>
      </w:r>
    </w:p>
    <w:p>
      <w:pPr>
        <w:ind w:firstLine="485"/>
        <w:jc w:val="both"/>
      </w:pPr>
      <w:r>
        <w:rPr>
          <w:b/>
          <w:sz w:val="24"/>
        </w:rPr>
        <w:t>二、工程承包范围：</w:t>
      </w:r>
      <w:r>
        <w:rPr>
          <w:sz w:val="24"/>
        </w:rPr>
        <w:t>详见本工程图纸和工程预算。</w:t>
      </w:r>
    </w:p>
    <w:p>
      <w:pPr>
        <w:ind w:firstLine="485"/>
        <w:jc w:val="both"/>
      </w:pPr>
      <w:r>
        <w:rPr>
          <w:b/>
          <w:sz w:val="24"/>
        </w:rPr>
        <w:t>三、承包方式：按照双方签订的《</w:t>
      </w:r>
      <w:r>
        <w:rPr>
          <w:b/>
          <w:sz w:val="24"/>
        </w:rPr>
        <w:t>2023-2025</w:t>
      </w:r>
      <w:r>
        <w:rPr>
          <w:b/>
          <w:sz w:val="24"/>
        </w:rPr>
        <w:t>年度容桂街道零散市政设施破损修复维护项目合同书》</w:t>
      </w:r>
    </w:p>
    <w:p>
      <w:pPr>
        <w:ind w:firstLine="485"/>
        <w:jc w:val="both"/>
      </w:pPr>
      <w:r>
        <w:rPr>
          <w:b/>
          <w:sz w:val="24"/>
        </w:rPr>
        <w:t>四、工期及施工要求：</w:t>
      </w:r>
    </w:p>
    <w:p>
      <w:pPr>
        <w:ind w:firstLine="484"/>
        <w:jc w:val="both"/>
      </w:pPr>
      <w:r>
        <w:rPr>
          <w:sz w:val="24"/>
        </w:rPr>
        <w:t>1</w:t>
      </w:r>
      <w:r>
        <w:rPr>
          <w:sz w:val="24"/>
        </w:rPr>
        <w:t>、本工程工期：历时天，从</w:t>
      </w:r>
      <w:r>
        <w:rPr>
          <w:sz w:val="24"/>
          <w:u w:val="single"/>
        </w:rPr>
        <w:t xml:space="preserve">     </w:t>
      </w:r>
      <w:r>
        <w:rPr>
          <w:sz w:val="24"/>
          <w:u w:val="single"/>
        </w:rPr>
        <w:t>年</w:t>
      </w:r>
      <w:r>
        <w:rPr>
          <w:sz w:val="24"/>
          <w:u w:val="single"/>
        </w:rPr>
        <w:t>月</w:t>
      </w:r>
      <w:r>
        <w:rPr>
          <w:sz w:val="24"/>
          <w:u w:val="single"/>
        </w:rPr>
        <w:t>日</w:t>
      </w:r>
      <w:r>
        <w:rPr>
          <w:sz w:val="24"/>
        </w:rPr>
        <w:t>开始施工，</w:t>
      </w:r>
      <w:r>
        <w:rPr>
          <w:sz w:val="24"/>
          <w:u w:val="single"/>
        </w:rPr>
        <w:t xml:space="preserve">     </w:t>
      </w:r>
      <w:r>
        <w:rPr>
          <w:sz w:val="24"/>
          <w:u w:val="single"/>
        </w:rPr>
        <w:t>年</w:t>
      </w:r>
      <w:r>
        <w:rPr>
          <w:sz w:val="24"/>
          <w:u w:val="single"/>
        </w:rPr>
        <w:t>月</w:t>
      </w:r>
      <w:r>
        <w:rPr>
          <w:sz w:val="24"/>
          <w:u w:val="single"/>
        </w:rPr>
        <w:t>日</w:t>
      </w:r>
      <w:r>
        <w:rPr>
          <w:sz w:val="24"/>
        </w:rPr>
        <w:t>前竣工完成</w:t>
      </w:r>
      <w:r>
        <w:rPr>
          <w:sz w:val="24"/>
        </w:rPr>
        <w:t>(</w:t>
      </w:r>
      <w:r>
        <w:rPr>
          <w:sz w:val="24"/>
        </w:rPr>
        <w:t>如遇不可抗力的因素而拖延时间除外</w:t>
      </w:r>
      <w:r>
        <w:rPr>
          <w:sz w:val="24"/>
        </w:rPr>
        <w:t>)</w:t>
      </w:r>
      <w:r>
        <w:rPr>
          <w:sz w:val="24"/>
        </w:rPr>
        <w:t>。</w:t>
      </w:r>
    </w:p>
    <w:p>
      <w:pPr>
        <w:ind w:firstLine="476"/>
        <w:jc w:val="both"/>
      </w:pPr>
      <w:r>
        <w:rPr>
          <w:sz w:val="24"/>
        </w:rPr>
        <w:t>2</w:t>
      </w:r>
      <w:r>
        <w:rPr>
          <w:sz w:val="24"/>
        </w:rPr>
        <w:t>、施工要求：乙方应加强安全文明施工管理，做好安全文明施工措施，做好施工围蔽，如因施工而引起安全事故的，由乙方负责。施工过程中必须保护好现场，如对已完工程和设备有破坏，由乙方负责。</w:t>
      </w:r>
    </w:p>
    <w:p>
      <w:pPr>
        <w:ind w:firstLine="478"/>
        <w:jc w:val="both"/>
      </w:pPr>
      <w:r>
        <w:rPr>
          <w:sz w:val="24"/>
        </w:rPr>
        <w:t>3</w:t>
      </w:r>
      <w:r>
        <w:rPr>
          <w:sz w:val="24"/>
        </w:rPr>
        <w:t>、工程质量标准：符合现行的中华人民共和国国家规定的竣工标准</w:t>
      </w:r>
      <w:r>
        <w:rPr>
          <w:sz w:val="24"/>
        </w:rPr>
        <w:t>(</w:t>
      </w:r>
      <w:r>
        <w:rPr>
          <w:sz w:val="24"/>
        </w:rPr>
        <w:t>或地方政府主管机关发布的具体标准</w:t>
      </w:r>
      <w:r>
        <w:rPr>
          <w:sz w:val="24"/>
        </w:rPr>
        <w:t>)</w:t>
      </w:r>
      <w:r>
        <w:rPr>
          <w:sz w:val="24"/>
        </w:rPr>
        <w:t>和现行的施工验收规范、上级主管部门有关工程竣工的文件和规定以及双方共同协商、达成一致的标准。</w:t>
      </w:r>
    </w:p>
    <w:p>
      <w:pPr>
        <w:ind w:firstLine="468"/>
        <w:jc w:val="both"/>
      </w:pPr>
      <w:r>
        <w:rPr>
          <w:sz w:val="24"/>
        </w:rPr>
        <w:t>4</w:t>
      </w:r>
      <w:r>
        <w:rPr>
          <w:sz w:val="24"/>
        </w:rPr>
        <w:t>、本工程质量验收须达到工程质量标准合格或以上标准，以相关部门出具的验收证书为准。</w:t>
      </w:r>
    </w:p>
    <w:p>
      <w:pPr>
        <w:ind w:firstLine="485"/>
        <w:jc w:val="both"/>
      </w:pPr>
      <w:r>
        <w:rPr>
          <w:b/>
          <w:sz w:val="24"/>
        </w:rPr>
        <w:t>五、协议金额：</w:t>
      </w:r>
    </w:p>
    <w:p>
      <w:pPr>
        <w:ind w:firstLine="476"/>
        <w:jc w:val="both"/>
      </w:pPr>
      <w:r>
        <w:rPr>
          <w:sz w:val="24"/>
        </w:rPr>
        <w:t>本工程按实际发生服务量结算，工程最高上限价为人民币：</w:t>
      </w:r>
      <w:r>
        <w:rPr>
          <w:sz w:val="24"/>
          <w:u w:val="single"/>
        </w:rPr>
        <w:t>大写：</w:t>
      </w:r>
      <w:r>
        <w:rPr>
          <w:sz w:val="24"/>
          <w:u w:val="single"/>
        </w:rPr>
        <w:t xml:space="preserve">  ( ¥  </w:t>
      </w:r>
      <w:r>
        <w:rPr>
          <w:sz w:val="24"/>
          <w:u w:val="single"/>
        </w:rPr>
        <w:t>元</w:t>
      </w:r>
      <w:r>
        <w:rPr>
          <w:sz w:val="24"/>
          <w:u w:val="single"/>
        </w:rPr>
        <w:t>)</w:t>
      </w:r>
      <w:r>
        <w:rPr>
          <w:sz w:val="24"/>
          <w:u w:val="single"/>
        </w:rPr>
        <w:t>。</w:t>
      </w:r>
    </w:p>
    <w:p>
      <w:pPr>
        <w:ind w:firstLine="485"/>
        <w:jc w:val="both"/>
      </w:pPr>
      <w:r>
        <w:rPr>
          <w:b/>
          <w:sz w:val="24"/>
        </w:rPr>
        <w:t>六、付款办法</w:t>
      </w:r>
      <w:r>
        <w:rPr>
          <w:b/>
          <w:sz w:val="24"/>
        </w:rPr>
        <w:t>:</w:t>
      </w:r>
      <w:r>
        <w:rPr>
          <w:b/>
          <w:sz w:val="24"/>
        </w:rPr>
        <w:t>按照双方签订的《</w:t>
      </w:r>
      <w:r>
        <w:rPr>
          <w:b/>
          <w:sz w:val="24"/>
        </w:rPr>
        <w:t>2023-2025</w:t>
      </w:r>
      <w:r>
        <w:rPr>
          <w:b/>
          <w:sz w:val="24"/>
        </w:rPr>
        <w:t>年度容桂街道零散市政设施破损修复维护项目合同书》</w:t>
      </w:r>
    </w:p>
    <w:p>
      <w:pPr>
        <w:ind w:firstLine="485"/>
        <w:jc w:val="both"/>
      </w:pPr>
      <w:r>
        <w:rPr>
          <w:b/>
          <w:sz w:val="24"/>
        </w:rPr>
        <w:t>七、保修期：</w:t>
      </w:r>
    </w:p>
    <w:p>
      <w:pPr>
        <w:ind w:firstLine="417"/>
        <w:jc w:val="both"/>
      </w:pPr>
      <w:r>
        <w:rPr>
          <w:sz w:val="24"/>
        </w:rPr>
        <w:t>(</w:t>
      </w:r>
      <w:r>
        <w:rPr>
          <w:sz w:val="24"/>
        </w:rPr>
        <w:t>一）本工程质量保修期为</w:t>
      </w:r>
      <w:r>
        <w:rPr>
          <w:sz w:val="24"/>
        </w:rPr>
        <w:t>12</w:t>
      </w:r>
      <w:r>
        <w:rPr>
          <w:sz w:val="24"/>
        </w:rPr>
        <w:t>个月，保修期从竣工验收之日计起，如遇特殊工程项目，则以甲方发包时的规定为准。</w:t>
      </w:r>
    </w:p>
    <w:p>
      <w:pPr>
        <w:ind w:firstLine="417"/>
        <w:jc w:val="both"/>
      </w:pPr>
      <w:r>
        <w:rPr>
          <w:sz w:val="24"/>
        </w:rPr>
        <w:t>（二）乙方所承包工程的工程质量保修期，按《建设工程质量管理条例》规定的期限执行；有关材料、设备的生产商承诺的质量保修期限高于前述国家规定的，按其承诺执行；前述国家规定没有明确的，按甲方于发包时的规定执行。</w:t>
      </w:r>
    </w:p>
    <w:p>
      <w:pPr>
        <w:ind w:firstLine="417"/>
        <w:jc w:val="both"/>
      </w:pPr>
      <w:r>
        <w:rPr>
          <w:b/>
          <w:sz w:val="24"/>
        </w:rPr>
        <w:t>八、其他：其他未尽事宜详见双方签订的《</w:t>
      </w:r>
      <w:r>
        <w:rPr>
          <w:b/>
          <w:sz w:val="24"/>
        </w:rPr>
        <w:t>2023-2025</w:t>
      </w:r>
      <w:r>
        <w:rPr>
          <w:b/>
          <w:sz w:val="24"/>
        </w:rPr>
        <w:t>年度容桂街道零散市政设施破损修复维护项目合同书》</w:t>
      </w:r>
    </w:p>
    <w:p>
      <w:pPr>
        <w:ind w:firstLine="480"/>
        <w:jc w:val="both"/>
      </w:pPr>
      <w:r>
        <w:rPr>
          <w:b/>
          <w:sz w:val="24"/>
        </w:rPr>
        <w:t>九、</w:t>
      </w:r>
      <w:r>
        <w:rPr>
          <w:sz w:val="24"/>
        </w:rPr>
        <w:t>本服务委派单一式</w:t>
      </w:r>
      <w:r>
        <w:rPr>
          <w:sz w:val="24"/>
        </w:rPr>
        <w:t>4</w:t>
      </w:r>
      <w:r>
        <w:rPr>
          <w:sz w:val="24"/>
        </w:rPr>
        <w:t>份，甲方、乙方各执</w:t>
      </w:r>
      <w:r>
        <w:rPr>
          <w:sz w:val="24"/>
        </w:rPr>
        <w:t>2</w:t>
      </w:r>
      <w:r>
        <w:rPr>
          <w:sz w:val="24"/>
        </w:rPr>
        <w:t>份 。未尽事宜，双方另行签订补充协议。</w:t>
      </w:r>
    </w:p>
    <w:p>
      <w:pPr>
        <w:ind w:firstLine="485"/>
        <w:jc w:val="both"/>
      </w:pPr>
      <w:r>
        <w:rPr>
          <w:b/>
          <w:sz w:val="24"/>
        </w:rPr>
        <w:t>十、协议生效时间</w:t>
      </w:r>
      <w:r>
        <w:rPr>
          <w:b/>
          <w:sz w:val="24"/>
        </w:rPr>
        <w:t>:</w:t>
      </w:r>
    </w:p>
    <w:p>
      <w:pPr>
        <w:ind w:firstLine="482"/>
        <w:jc w:val="both"/>
      </w:pPr>
      <w:r>
        <w:rPr>
          <w:sz w:val="24"/>
        </w:rPr>
        <w:t>订立时间：</w:t>
      </w:r>
      <w:r>
        <w:rPr>
          <w:sz w:val="24"/>
        </w:rPr>
        <w:t xml:space="preserve"> </w:t>
      </w:r>
      <w:r>
        <w:rPr>
          <w:sz w:val="24"/>
        </w:rPr>
        <w:t>年</w:t>
      </w:r>
      <w:r>
        <w:rPr>
          <w:sz w:val="24"/>
        </w:rPr>
        <w:t xml:space="preserve"> </w:t>
      </w:r>
      <w:r>
        <w:rPr>
          <w:sz w:val="24"/>
        </w:rPr>
        <w:t>月</w:t>
      </w:r>
      <w:r>
        <w:rPr>
          <w:sz w:val="24"/>
        </w:rPr>
        <w:t xml:space="preserve">  </w:t>
      </w:r>
      <w:r>
        <w:rPr>
          <w:sz w:val="24"/>
        </w:rPr>
        <w:t>日</w:t>
      </w:r>
    </w:p>
    <w:p>
      <w:pPr>
        <w:ind w:firstLine="482"/>
        <w:jc w:val="both"/>
      </w:pPr>
      <w:r>
        <w:rPr>
          <w:sz w:val="24"/>
        </w:rPr>
        <w:t>订立地点：</w:t>
      </w:r>
      <w:r>
        <w:rPr>
          <w:sz w:val="24"/>
          <w:u w:val="single"/>
        </w:rPr>
        <w:t>佛山市顺德区容桂街道综合行政执法办公室</w:t>
      </w:r>
    </w:p>
    <w:p>
      <w:pPr>
        <w:ind w:firstLine="482"/>
        <w:jc w:val="both"/>
      </w:pPr>
      <w:r>
        <w:rPr>
          <w:sz w:val="24"/>
        </w:rPr>
        <w:t>双方约定本服务委派单于</w:t>
      </w:r>
      <w:r>
        <w:rPr>
          <w:sz w:val="24"/>
          <w:u w:val="single"/>
        </w:rPr>
        <w:t>双方签名盖章</w:t>
      </w:r>
      <w:r>
        <w:rPr>
          <w:sz w:val="24"/>
        </w:rPr>
        <w:t>后生效。</w:t>
      </w:r>
    </w:p>
    <w:p>
      <w:pPr>
        <w:ind w:firstLine="482"/>
        <w:jc w:val="both"/>
      </w:pP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4145"/>
        <w:gridCol w:w="4161"/>
      </w:tblGrid>
      <w:tr>
        <w:tc>
          <w:tcPr>
            <w:tcW w:type="dxa" w:w="4145"/>
            <w:tcBorders>
              <w:top w:val="none" w:color="000000" w:sz="4"/>
              <w:left w:val="none" w:color="000000" w:sz="4"/>
              <w:bottom w:val="none" w:color="000000" w:sz="4"/>
              <w:right w:val="none" w:color="000000" w:sz="4"/>
            </w:tcBorders>
            <w:vAlign w:val="top"/>
          </w:tcPr>
          <w:p>
            <w:pPr>
              <w:jc w:val="both"/>
            </w:pPr>
            <w:r>
              <w:rPr>
                <w:sz w:val="24"/>
              </w:rPr>
              <w:t>甲方：</w:t>
            </w:r>
            <w:r>
              <w:rPr>
                <w:sz w:val="24"/>
              </w:rPr>
              <w:t>(</w:t>
            </w:r>
            <w:r>
              <w:rPr>
                <w:sz w:val="24"/>
              </w:rPr>
              <w:t>公章</w:t>
            </w:r>
            <w:r>
              <w:rPr>
                <w:sz w:val="24"/>
              </w:rPr>
              <w:t>)</w:t>
            </w:r>
          </w:p>
        </w:tc>
        <w:tc>
          <w:tcPr>
            <w:tcW w:type="dxa" w:w="4161"/>
            <w:tcBorders>
              <w:top w:val="none" w:color="000000" w:sz="4"/>
              <w:left w:val="none" w:color="000000" w:sz="4"/>
              <w:bottom w:val="none" w:color="000000" w:sz="4"/>
              <w:right w:val="none" w:color="000000" w:sz="4"/>
            </w:tcBorders>
            <w:vAlign w:val="top"/>
          </w:tcPr>
          <w:p>
            <w:pPr>
              <w:jc w:val="right"/>
            </w:pPr>
            <w:r>
              <w:rPr>
                <w:sz w:val="24"/>
              </w:rPr>
              <w:t>乙方：</w:t>
            </w:r>
            <w:r>
              <w:rPr>
                <w:sz w:val="24"/>
              </w:rPr>
              <w:t>(</w:t>
            </w:r>
            <w:r>
              <w:rPr>
                <w:sz w:val="24"/>
              </w:rPr>
              <w:t>公章</w:t>
            </w:r>
            <w:r>
              <w:rPr>
                <w:sz w:val="24"/>
              </w:rPr>
              <w:t>)</w:t>
            </w:r>
          </w:p>
        </w:tc>
      </w:tr>
      <w:tr>
        <w:tc>
          <w:tcPr>
            <w:tcW w:type="dxa" w:w="4145"/>
            <w:tcBorders>
              <w:top w:val="none" w:color="000000" w:sz="4"/>
              <w:left w:val="none" w:color="000000" w:sz="4"/>
              <w:bottom w:val="none" w:color="000000" w:sz="4"/>
              <w:right w:val="none" w:color="000000" w:sz="4"/>
            </w:tcBorders>
            <w:vAlign w:val="top"/>
          </w:tcPr>
          <w:p>
            <w:pPr>
              <w:jc w:val="both"/>
            </w:pPr>
            <w:r>
              <w:rPr>
                <w:sz w:val="24"/>
              </w:rPr>
              <w:t>法定代表人：</w:t>
            </w:r>
          </w:p>
        </w:tc>
        <w:tc>
          <w:tcPr>
            <w:tcW w:type="dxa" w:w="4161"/>
            <w:tcBorders>
              <w:top w:val="none" w:color="000000" w:sz="4"/>
              <w:left w:val="none" w:color="000000" w:sz="4"/>
              <w:bottom w:val="none" w:color="000000" w:sz="4"/>
              <w:right w:val="none" w:color="000000" w:sz="4"/>
            </w:tcBorders>
            <w:vAlign w:val="top"/>
          </w:tcPr>
          <w:p>
            <w:pPr>
              <w:jc w:val="both"/>
            </w:pPr>
            <w:r>
              <w:rPr>
                <w:sz w:val="24"/>
              </w:rPr>
              <w:t>法定代表人：</w:t>
            </w:r>
          </w:p>
        </w:tc>
      </w:tr>
      <w:tr>
        <w:tc>
          <w:tcPr>
            <w:tcW w:type="dxa" w:w="4145"/>
            <w:tcBorders>
              <w:top w:val="none" w:color="000000" w:sz="4"/>
              <w:left w:val="none" w:color="000000" w:sz="4"/>
              <w:bottom w:val="none" w:color="000000" w:sz="4"/>
              <w:right w:val="none" w:color="000000" w:sz="4"/>
            </w:tcBorders>
            <w:vAlign w:val="top"/>
          </w:tcPr>
          <w:p>
            <w:pPr>
              <w:jc w:val="both"/>
            </w:pPr>
            <w:r>
              <w:rPr>
                <w:sz w:val="24"/>
              </w:rPr>
              <w:t>或委托代理人：</w:t>
            </w:r>
          </w:p>
        </w:tc>
        <w:tc>
          <w:tcPr>
            <w:tcW w:type="dxa" w:w="4161"/>
            <w:tcBorders>
              <w:top w:val="none" w:color="000000" w:sz="4"/>
              <w:left w:val="none" w:color="000000" w:sz="4"/>
              <w:bottom w:val="none" w:color="000000" w:sz="4"/>
              <w:right w:val="none" w:color="000000" w:sz="4"/>
            </w:tcBorders>
            <w:vAlign w:val="top"/>
          </w:tcPr>
          <w:p>
            <w:pPr>
              <w:jc w:val="both"/>
            </w:pPr>
            <w:r>
              <w:rPr>
                <w:sz w:val="24"/>
              </w:rPr>
              <w:t>或委托代理人：</w:t>
            </w:r>
          </w:p>
        </w:tc>
      </w:tr>
      <w:tr>
        <w:tc>
          <w:tcPr>
            <w:tcW w:type="dxa" w:w="4145"/>
            <w:tcBorders>
              <w:top w:val="none" w:color="000000" w:sz="4"/>
              <w:left w:val="none" w:color="000000" w:sz="4"/>
              <w:bottom w:val="none" w:color="000000" w:sz="4"/>
              <w:right w:val="none" w:color="000000" w:sz="4"/>
            </w:tcBorders>
            <w:vAlign w:val="top"/>
          </w:tcPr>
          <w:p>
            <w:pPr>
              <w:jc w:val="both"/>
            </w:pPr>
            <w:r>
              <w:rPr>
                <w:sz w:val="24"/>
              </w:rPr>
              <w:t>住所地：</w:t>
            </w:r>
          </w:p>
        </w:tc>
        <w:tc>
          <w:tcPr>
            <w:tcW w:type="dxa" w:w="4161"/>
            <w:tcBorders>
              <w:top w:val="none" w:color="000000" w:sz="4"/>
              <w:left w:val="none" w:color="000000" w:sz="4"/>
              <w:bottom w:val="none" w:color="000000" w:sz="4"/>
              <w:right w:val="none" w:color="000000" w:sz="4"/>
            </w:tcBorders>
            <w:vAlign w:val="top"/>
          </w:tcPr>
          <w:p>
            <w:pPr>
              <w:ind w:firstLine="1392"/>
              <w:jc w:val="both"/>
            </w:pPr>
            <w:r>
              <w:rPr>
                <w:sz w:val="24"/>
              </w:rPr>
              <w:t>住所地：</w:t>
            </w:r>
          </w:p>
        </w:tc>
      </w:tr>
      <w:tr>
        <w:tc>
          <w:tcPr>
            <w:tcW w:type="dxa" w:w="4145"/>
            <w:tcBorders>
              <w:top w:val="none" w:color="000000" w:sz="4"/>
              <w:left w:val="none" w:color="000000" w:sz="4"/>
              <w:bottom w:val="none" w:color="000000" w:sz="4"/>
              <w:right w:val="none" w:color="000000" w:sz="4"/>
            </w:tcBorders>
            <w:vAlign w:val="top"/>
          </w:tcPr>
          <w:p>
            <w:pPr>
              <w:jc w:val="both"/>
            </w:pPr>
            <w:r>
              <w:rPr>
                <w:sz w:val="24"/>
              </w:rPr>
              <w:t>电话：</w:t>
            </w:r>
          </w:p>
        </w:tc>
        <w:tc>
          <w:tcPr>
            <w:tcW w:type="dxa" w:w="4161"/>
            <w:tcBorders>
              <w:top w:val="none" w:color="000000" w:sz="4"/>
              <w:left w:val="none" w:color="000000" w:sz="4"/>
              <w:bottom w:val="none" w:color="000000" w:sz="4"/>
              <w:right w:val="none" w:color="000000" w:sz="4"/>
            </w:tcBorders>
            <w:vAlign w:val="top"/>
          </w:tcPr>
          <w:p>
            <w:pPr>
              <w:jc w:val="both"/>
            </w:pPr>
            <w:r>
              <w:rPr>
                <w:sz w:val="24"/>
              </w:rPr>
              <w:t>电话：</w:t>
            </w:r>
          </w:p>
        </w:tc>
      </w:tr>
      <w:tr>
        <w:tc>
          <w:tcPr>
            <w:tcW w:type="dxa" w:w="4145"/>
            <w:tcBorders>
              <w:top w:val="none" w:color="000000" w:sz="4"/>
              <w:left w:val="none" w:color="000000" w:sz="4"/>
              <w:bottom w:val="none" w:color="000000" w:sz="4"/>
              <w:right w:val="none" w:color="000000" w:sz="4"/>
            </w:tcBorders>
            <w:vAlign w:val="top"/>
          </w:tcPr>
          <w:p>
            <w:pPr>
              <w:jc w:val="both"/>
            </w:pPr>
            <w:r>
              <w:rPr>
                <w:sz w:val="24"/>
              </w:rPr>
              <w:t>开户银行：</w:t>
            </w:r>
          </w:p>
        </w:tc>
        <w:tc>
          <w:tcPr>
            <w:tcW w:type="dxa" w:w="4161"/>
            <w:tcBorders>
              <w:top w:val="none" w:color="000000" w:sz="4"/>
              <w:left w:val="none" w:color="000000" w:sz="4"/>
              <w:bottom w:val="none" w:color="000000" w:sz="4"/>
              <w:right w:val="none" w:color="000000" w:sz="4"/>
            </w:tcBorders>
            <w:vAlign w:val="top"/>
          </w:tcPr>
          <w:p>
            <w:pPr>
              <w:jc w:val="both"/>
            </w:pPr>
            <w:r>
              <w:rPr>
                <w:sz w:val="24"/>
              </w:rPr>
              <w:t>开户银行：</w:t>
            </w:r>
          </w:p>
        </w:tc>
      </w:tr>
      <w:tr>
        <w:tc>
          <w:tcPr>
            <w:tcW w:type="dxa" w:w="4145"/>
            <w:tcBorders>
              <w:top w:val="none" w:color="000000" w:sz="4"/>
              <w:left w:val="none" w:color="000000" w:sz="4"/>
              <w:bottom w:val="none" w:color="000000" w:sz="4"/>
              <w:right w:val="none" w:color="000000" w:sz="4"/>
            </w:tcBorders>
            <w:vAlign w:val="top"/>
          </w:tcPr>
          <w:p>
            <w:pPr>
              <w:jc w:val="both"/>
            </w:pPr>
            <w:r>
              <w:rPr>
                <w:sz w:val="24"/>
              </w:rPr>
              <w:t>账</w:t>
            </w:r>
            <w:r>
              <w:rPr>
                <w:sz w:val="24"/>
              </w:rPr>
              <w:t>号：</w:t>
            </w:r>
          </w:p>
        </w:tc>
        <w:tc>
          <w:tcPr>
            <w:tcW w:type="dxa" w:w="4161"/>
            <w:tcBorders>
              <w:top w:val="none" w:color="000000" w:sz="4"/>
              <w:left w:val="none" w:color="000000" w:sz="4"/>
              <w:bottom w:val="none" w:color="000000" w:sz="4"/>
              <w:right w:val="none" w:color="000000" w:sz="4"/>
            </w:tcBorders>
            <w:vAlign w:val="top"/>
          </w:tcPr>
          <w:p>
            <w:pPr>
              <w:jc w:val="both"/>
            </w:pPr>
            <w:r>
              <w:rPr>
                <w:sz w:val="24"/>
              </w:rPr>
              <w:t>账</w:t>
            </w:r>
            <w:r>
              <w:rPr>
                <w:sz w:val="24"/>
              </w:rPr>
              <w:t>号：</w:t>
            </w:r>
          </w:p>
        </w:tc>
      </w:tr>
    </w:tbl>
    <w:p>
      <w:pPr>
        <w:ind w:firstLine="422"/>
        <w:jc w:val="both"/>
      </w:pPr>
      <w:r>
        <w:rPr>
          <w:sz w:val="21"/>
        </w:rPr>
        <w:t xml:space="preserve"> </w:t>
      </w:r>
    </w:p>
    <w:p>
      <w:pPr>
        <w:ind w:firstLine="482"/>
        <w:jc w:val="both"/>
      </w:pPr>
    </w:p>
    <w:p>
      <w:pPr>
        <w:jc w:val="both"/>
      </w:pPr>
      <w:r>
        <w:rPr>
          <w:b/>
          <w:sz w:val="24"/>
        </w:rPr>
        <w:t>附件</w:t>
      </w:r>
      <w:r>
        <w:rPr>
          <w:b/>
          <w:sz w:val="24"/>
        </w:rPr>
        <w:t>3</w:t>
      </w:r>
      <w:r>
        <w:rPr>
          <w:b/>
          <w:sz w:val="24"/>
        </w:rPr>
        <w:t>：工程质量保修书</w:t>
      </w:r>
    </w:p>
    <w:p>
      <w:pPr>
        <w:jc w:val="both"/>
      </w:pPr>
      <w:r>
        <w:rPr>
          <w:sz w:val="21"/>
        </w:rPr>
        <w:t xml:space="preserve"> </w:t>
      </w:r>
    </w:p>
    <w:p>
      <w:pPr>
        <w:jc w:val="center"/>
      </w:pPr>
      <w:r>
        <w:rPr>
          <w:b/>
          <w:sz w:val="24"/>
        </w:rPr>
        <w:t>工程质量保修书</w:t>
      </w:r>
    </w:p>
    <w:p>
      <w:pPr>
        <w:jc w:val="center"/>
      </w:pPr>
      <w:r>
        <w:rPr>
          <w:sz w:val="24"/>
        </w:rPr>
        <w:t>（仅供参考）</w:t>
      </w:r>
    </w:p>
    <w:p>
      <w:pPr>
        <w:ind w:firstLine="480"/>
        <w:jc w:val="both"/>
      </w:pPr>
      <w:r>
        <w:rPr>
          <w:sz w:val="24"/>
        </w:rPr>
        <w:t>甲方（全称）：</w:t>
      </w:r>
      <w:r>
        <w:rPr>
          <w:sz w:val="24"/>
          <w:u w:val="single"/>
        </w:rPr>
        <w:t>佛山市顺德区容桂街道综合行政执法办公室</w:t>
      </w:r>
    </w:p>
    <w:p>
      <w:pPr>
        <w:jc w:val="both"/>
      </w:pPr>
      <w:r>
        <w:rPr>
          <w:sz w:val="24"/>
        </w:rPr>
        <w:t xml:space="preserve">    </w:t>
      </w:r>
      <w:r>
        <w:rPr>
          <w:sz w:val="24"/>
        </w:rPr>
        <w:t>乙方（全称）：</w:t>
      </w:r>
      <w:r>
        <w:rPr>
          <w:sz w:val="21"/>
          <w:u w:val="single"/>
        </w:rPr>
        <w:t xml:space="preserve">                                     </w:t>
      </w:r>
    </w:p>
    <w:p>
      <w:pPr>
        <w:jc w:val="both"/>
      </w:pPr>
      <w:r>
        <w:rPr>
          <w:sz w:val="21"/>
        </w:rPr>
        <w:t xml:space="preserve"> </w:t>
      </w:r>
    </w:p>
    <w:p>
      <w:pPr>
        <w:ind w:firstLine="480"/>
        <w:jc w:val="both"/>
      </w:pPr>
      <w:r>
        <w:rPr>
          <w:sz w:val="24"/>
        </w:rPr>
        <w:t>甲方和乙方根据《中华人民共和国建筑法》和《建设工程质量管理条例》，经协商一致就</w:t>
      </w:r>
      <w:r>
        <w:rPr>
          <w:sz w:val="24"/>
          <w:u w:val="single"/>
        </w:rPr>
        <w:t>2023-2025</w:t>
      </w:r>
      <w:r>
        <w:rPr>
          <w:sz w:val="24"/>
          <w:u w:val="single"/>
        </w:rPr>
        <w:t>年度容桂街道零散市政设施破损修复维护项目</w:t>
      </w:r>
      <w:r>
        <w:rPr>
          <w:sz w:val="24"/>
        </w:rPr>
        <w:t>的单宗委派服务项目</w:t>
      </w:r>
      <w:r>
        <w:rPr>
          <w:sz w:val="24"/>
          <w:u w:val="single"/>
        </w:rPr>
        <w:t>（工程全称）</w:t>
      </w:r>
      <w:r>
        <w:rPr>
          <w:sz w:val="24"/>
          <w:u w:val="single"/>
        </w:rPr>
        <w:t xml:space="preserve"> </w:t>
      </w:r>
      <w:r>
        <w:rPr>
          <w:sz w:val="24"/>
        </w:rPr>
        <w:t>签订工程质量保修书。</w:t>
      </w:r>
    </w:p>
    <w:p>
      <w:pPr>
        <w:jc w:val="left"/>
      </w:pPr>
      <w:r>
        <w:rPr>
          <w:sz w:val="24"/>
        </w:rPr>
        <w:t xml:space="preserve">  </w:t>
      </w:r>
      <w:r>
        <w:rPr>
          <w:sz w:val="24"/>
        </w:rPr>
        <w:t>一、工程质量保修范围和内容</w:t>
      </w:r>
    </w:p>
    <w:p>
      <w:pPr>
        <w:ind w:firstLine="200"/>
        <w:jc w:val="both"/>
      </w:pPr>
      <w:r>
        <w:rPr>
          <w:sz w:val="24"/>
        </w:rPr>
        <w:t xml:space="preserve">  </w:t>
      </w:r>
      <w:r>
        <w:rPr>
          <w:sz w:val="24"/>
        </w:rPr>
        <w:t>乙方在质量保修期内，按照有关法律规定和合同约定，承担工程质量保修责任。</w:t>
      </w:r>
    </w:p>
    <w:p>
      <w:pPr>
        <w:ind w:firstLine="200"/>
        <w:jc w:val="left"/>
      </w:pPr>
      <w:r>
        <w:rPr>
          <w:sz w:val="24"/>
        </w:rPr>
        <w:t xml:space="preserve">  </w:t>
      </w:r>
      <w:r>
        <w:rPr>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sz w:val="24"/>
          <w:u w:val="single"/>
        </w:rPr>
        <w:t>本合同承包范围内的全部工程内容</w:t>
      </w:r>
      <w:r>
        <w:rPr>
          <w:sz w:val="24"/>
        </w:rPr>
        <w:t>。</w:t>
      </w:r>
    </w:p>
    <w:p>
      <w:pPr>
        <w:jc w:val="left"/>
      </w:pPr>
      <w:r>
        <w:rPr>
          <w:sz w:val="24"/>
        </w:rPr>
        <w:t xml:space="preserve">  </w:t>
      </w:r>
      <w:r>
        <w:rPr>
          <w:sz w:val="24"/>
        </w:rPr>
        <w:t>二、质量保修期</w:t>
      </w:r>
    </w:p>
    <w:p>
      <w:pPr>
        <w:ind w:firstLine="480"/>
        <w:jc w:val="both"/>
      </w:pPr>
      <w:r>
        <w:rPr>
          <w:sz w:val="24"/>
        </w:rPr>
        <w:t>根据《建设工程质量管理条例》及有关规定，工程的质量保修期如下：</w:t>
      </w:r>
    </w:p>
    <w:p>
      <w:pPr>
        <w:ind w:firstLine="480"/>
        <w:jc w:val="both"/>
      </w:pPr>
      <w:r>
        <w:rPr>
          <w:sz w:val="24"/>
          <w:u w:val="single"/>
        </w:rPr>
        <w:t>（</w:t>
      </w:r>
      <w:r>
        <w:rPr>
          <w:sz w:val="24"/>
          <w:u w:val="single"/>
        </w:rPr>
        <w:t>1</w:t>
      </w:r>
      <w:r>
        <w:rPr>
          <w:sz w:val="24"/>
          <w:u w:val="single"/>
        </w:rPr>
        <w:t>）质量保修期从工程实际竣工之日算起。单宗竣工验收的工程，按单宗零散项目分别计算质量保修期。</w:t>
      </w:r>
    </w:p>
    <w:p>
      <w:pPr>
        <w:ind w:firstLine="480"/>
        <w:jc w:val="both"/>
      </w:pPr>
      <w:r>
        <w:rPr>
          <w:sz w:val="24"/>
          <w:u w:val="single"/>
        </w:rPr>
        <w:t>（</w:t>
      </w:r>
      <w:r>
        <w:rPr>
          <w:sz w:val="24"/>
          <w:u w:val="single"/>
        </w:rPr>
        <w:t>2</w:t>
      </w:r>
      <w:r>
        <w:rPr>
          <w:sz w:val="24"/>
          <w:u w:val="single"/>
        </w:rPr>
        <w:t>）合同工程质量保修期，合同双方当事人约定如下：保修期为</w:t>
      </w:r>
      <w:r>
        <w:rPr>
          <w:sz w:val="24"/>
          <w:u w:val="single"/>
        </w:rPr>
        <w:t>12</w:t>
      </w:r>
      <w:r>
        <w:rPr>
          <w:sz w:val="24"/>
          <w:u w:val="single"/>
        </w:rPr>
        <w:t>个月。</w:t>
      </w:r>
    </w:p>
    <w:p>
      <w:pPr>
        <w:ind w:firstLine="480"/>
        <w:jc w:val="both"/>
      </w:pPr>
      <w:r>
        <w:rPr>
          <w:sz w:val="24"/>
        </w:rPr>
        <w:t>质量保修期自工程竣工验收合格之日起计算。</w:t>
      </w:r>
    </w:p>
    <w:p>
      <w:pPr>
        <w:jc w:val="left"/>
      </w:pPr>
      <w:r>
        <w:rPr>
          <w:sz w:val="24"/>
        </w:rPr>
        <w:t>三、缺陷责任期</w:t>
      </w:r>
    </w:p>
    <w:p>
      <w:pPr>
        <w:ind w:firstLine="480"/>
        <w:jc w:val="both"/>
      </w:pPr>
      <w:r>
        <w:rPr>
          <w:sz w:val="24"/>
        </w:rPr>
        <w:t>工程缺陷责任期为</w:t>
      </w:r>
      <w:r>
        <w:rPr>
          <w:sz w:val="24"/>
          <w:u w:val="single"/>
        </w:rPr>
        <w:t>12</w:t>
      </w:r>
      <w:r>
        <w:rPr>
          <w:sz w:val="24"/>
        </w:rPr>
        <w:t>个月，缺陷责任期自工程通过竣工验收之日起计算。单位工程先于全部工程进行验收，单位工程缺陷责任期自单位工程验收合格之日起算。</w:t>
      </w:r>
    </w:p>
    <w:p>
      <w:pPr>
        <w:jc w:val="left"/>
      </w:pPr>
      <w:r>
        <w:rPr>
          <w:sz w:val="24"/>
        </w:rPr>
        <w:t>四、质量保修责任</w:t>
      </w:r>
    </w:p>
    <w:p>
      <w:pPr>
        <w:ind w:firstLine="491"/>
        <w:jc w:val="both"/>
      </w:pPr>
      <w:r>
        <w:rPr>
          <w:sz w:val="24"/>
        </w:rPr>
        <w:t>1</w:t>
      </w:r>
      <w:r>
        <w:rPr>
          <w:sz w:val="24"/>
        </w:rPr>
        <w:t>．属于保修范围、内容的项目，乙方应当在接到保修通知之日起</w:t>
      </w:r>
      <w:r>
        <w:rPr>
          <w:sz w:val="24"/>
        </w:rPr>
        <w:t>7</w:t>
      </w:r>
      <w:r>
        <w:rPr>
          <w:sz w:val="24"/>
        </w:rPr>
        <w:t>天内派人保修。乙方不在约定期限内派人保修的，甲方可以委托他人修理。</w:t>
      </w:r>
    </w:p>
    <w:p>
      <w:pPr>
        <w:ind w:firstLine="491"/>
        <w:jc w:val="both"/>
      </w:pPr>
      <w:r>
        <w:rPr>
          <w:sz w:val="24"/>
        </w:rPr>
        <w:t>2</w:t>
      </w:r>
      <w:r>
        <w:rPr>
          <w:sz w:val="24"/>
        </w:rPr>
        <w:t>．发生紧急事故需抢修的，乙方在接到事故通知后，应当立即到达事故现场抢修。</w:t>
      </w:r>
    </w:p>
    <w:p>
      <w:pPr>
        <w:ind w:firstLine="491"/>
        <w:jc w:val="both"/>
      </w:pPr>
      <w:r>
        <w:rPr>
          <w:sz w:val="24"/>
        </w:rPr>
        <w:t>3</w:t>
      </w:r>
      <w:r>
        <w:rPr>
          <w:sz w:val="24"/>
        </w:rPr>
        <w:t>．对于涉及结构安全的质量问题，应当按照《建设工程质量管理条例》的规定，立即向当地建设行政主管部门和有关部门报告，采取安全防范措施，并由原设计人或者具有相应资质等级的设计人提出保修方案，乙方实施保修。</w:t>
      </w:r>
    </w:p>
    <w:p>
      <w:pPr>
        <w:ind w:firstLine="491"/>
        <w:jc w:val="both"/>
      </w:pPr>
      <w:r>
        <w:rPr>
          <w:sz w:val="24"/>
        </w:rPr>
        <w:t>4</w:t>
      </w:r>
      <w:r>
        <w:rPr>
          <w:sz w:val="24"/>
        </w:rPr>
        <w:t>．质量保修完成后，由甲方组织验收。</w:t>
      </w:r>
    </w:p>
    <w:p>
      <w:pPr>
        <w:ind w:firstLine="491"/>
        <w:jc w:val="both"/>
      </w:pPr>
      <w:r>
        <w:rPr>
          <w:sz w:val="24"/>
        </w:rPr>
        <w:t>五、保修费用</w:t>
      </w:r>
    </w:p>
    <w:p>
      <w:pPr>
        <w:ind w:firstLine="200"/>
        <w:jc w:val="both"/>
      </w:pPr>
      <w:r>
        <w:rPr>
          <w:sz w:val="24"/>
        </w:rPr>
        <w:t xml:space="preserve">  </w:t>
      </w:r>
      <w:r>
        <w:rPr>
          <w:sz w:val="24"/>
        </w:rPr>
        <w:t>保修费用由造成质量缺陷的责任方承担。</w:t>
      </w:r>
    </w:p>
    <w:p>
      <w:pPr>
        <w:ind w:firstLine="480"/>
        <w:jc w:val="both"/>
      </w:pPr>
      <w:r>
        <w:rPr>
          <w:sz w:val="24"/>
        </w:rPr>
        <w:t>六、双方约定的其他工程质量保修事项：</w:t>
      </w:r>
      <w:r>
        <w:rPr>
          <w:sz w:val="24"/>
          <w:u w:val="single"/>
        </w:rPr>
        <w:t>按合同条款及以下条款执行</w:t>
      </w:r>
      <w:r>
        <w:rPr>
          <w:sz w:val="24"/>
        </w:rPr>
        <w:t>。</w:t>
      </w:r>
    </w:p>
    <w:p>
      <w:pPr>
        <w:ind w:firstLine="456"/>
        <w:jc w:val="both"/>
      </w:pPr>
      <w:r>
        <w:rPr>
          <w:sz w:val="24"/>
        </w:rPr>
        <w:t>工程质量保修书由甲方、乙方在工程竣工验收前共同签署，作为施工合同附件，其有效期限至保修期满。</w:t>
      </w:r>
    </w:p>
    <w:p>
      <w:pPr>
        <w:ind w:firstLine="456"/>
        <w:jc w:val="both"/>
      </w:pPr>
      <w:r>
        <w:rPr>
          <w:sz w:val="21"/>
        </w:rPr>
        <w:t xml:space="preserve"> </w:t>
      </w:r>
    </w:p>
    <w:p>
      <w:pPr>
        <w:ind w:firstLine="420"/>
        <w:jc w:val="both"/>
      </w:pPr>
      <w:r>
        <w:rPr>
          <w:sz w:val="21"/>
        </w:rPr>
        <w:t xml:space="preserve"> </w:t>
      </w:r>
    </w:p>
    <w:p>
      <w:pPr>
        <w:jc w:val="both"/>
      </w:pPr>
      <w:r>
        <w:rPr>
          <w:sz w:val="24"/>
        </w:rPr>
        <w:t>甲方（公章）：</w:t>
      </w:r>
      <w:r>
        <w:rPr>
          <w:sz w:val="24"/>
        </w:rPr>
        <w:t xml:space="preserve">                     </w:t>
      </w:r>
      <w:r>
        <w:rPr>
          <w:sz w:val="24"/>
        </w:rPr>
        <w:t>乙方（公章）：</w:t>
      </w:r>
      <w:r>
        <w:rPr>
          <w:sz w:val="24"/>
        </w:rPr>
        <w:t xml:space="preserve">                </w:t>
      </w:r>
    </w:p>
    <w:p>
      <w:pPr>
        <w:jc w:val="both"/>
      </w:pPr>
      <w:r>
        <w:rPr>
          <w:sz w:val="24"/>
        </w:rPr>
        <w:t>地址：</w:t>
      </w:r>
      <w:r>
        <w:rPr>
          <w:sz w:val="24"/>
        </w:rPr>
        <w:t xml:space="preserve">                          </w:t>
      </w:r>
      <w:r>
        <w:rPr>
          <w:sz w:val="24"/>
        </w:rPr>
        <w:t>地址：</w:t>
      </w:r>
      <w:r>
        <w:rPr>
          <w:sz w:val="24"/>
        </w:rPr>
        <w:t xml:space="preserve">                 </w:t>
      </w:r>
    </w:p>
    <w:p>
      <w:pPr>
        <w:ind w:firstLine="480"/>
        <w:jc w:val="both"/>
      </w:pPr>
      <w:r>
        <w:rPr>
          <w:sz w:val="24"/>
        </w:rPr>
        <w:t>法定代表人（签字）：</w:t>
      </w:r>
      <w:r>
        <w:rPr>
          <w:sz w:val="24"/>
        </w:rPr>
        <w:t xml:space="preserve">               </w:t>
      </w:r>
      <w:r>
        <w:rPr>
          <w:sz w:val="24"/>
        </w:rPr>
        <w:t>法定代表人（签字）：</w:t>
      </w:r>
      <w:r>
        <w:rPr>
          <w:sz w:val="24"/>
        </w:rPr>
        <w:t xml:space="preserve">       </w:t>
      </w:r>
    </w:p>
    <w:p>
      <w:pPr>
        <w:ind w:firstLine="480"/>
        <w:jc w:val="both"/>
      </w:pPr>
      <w:r>
        <w:rPr>
          <w:sz w:val="24"/>
        </w:rPr>
        <w:t>委托代理人（签字）：</w:t>
      </w:r>
      <w:r>
        <w:rPr>
          <w:sz w:val="24"/>
        </w:rPr>
        <w:t xml:space="preserve">               </w:t>
      </w:r>
      <w:r>
        <w:rPr>
          <w:sz w:val="24"/>
        </w:rPr>
        <w:t>委托代理人（签字）：</w:t>
      </w:r>
      <w:r>
        <w:rPr>
          <w:sz w:val="24"/>
        </w:rPr>
        <w:t xml:space="preserve">      </w:t>
      </w:r>
    </w:p>
    <w:p>
      <w:pPr>
        <w:ind w:firstLine="480"/>
        <w:jc w:val="both"/>
      </w:pPr>
      <w:r>
        <w:rPr>
          <w:sz w:val="24"/>
        </w:rPr>
        <w:t>电话：</w:t>
      </w:r>
      <w:r>
        <w:rPr>
          <w:sz w:val="24"/>
        </w:rPr>
        <w:t xml:space="preserve">                          </w:t>
      </w:r>
      <w:r>
        <w:rPr>
          <w:sz w:val="24"/>
        </w:rPr>
        <w:t>电话：</w:t>
      </w:r>
      <w:r>
        <w:rPr>
          <w:sz w:val="24"/>
        </w:rPr>
        <w:t xml:space="preserve">                 </w:t>
      </w:r>
    </w:p>
    <w:p>
      <w:pPr>
        <w:ind w:firstLine="480"/>
        <w:jc w:val="both"/>
      </w:pPr>
      <w:r>
        <w:rPr>
          <w:sz w:val="24"/>
        </w:rPr>
        <w:t>传真：</w:t>
      </w:r>
      <w:r>
        <w:rPr>
          <w:sz w:val="24"/>
        </w:rPr>
        <w:t xml:space="preserve">                          </w:t>
      </w:r>
      <w:r>
        <w:rPr>
          <w:sz w:val="24"/>
        </w:rPr>
        <w:t>传真：</w:t>
      </w:r>
      <w:r>
        <w:rPr>
          <w:sz w:val="24"/>
        </w:rPr>
        <w:t xml:space="preserve">                </w:t>
      </w:r>
    </w:p>
    <w:p>
      <w:pPr>
        <w:jc w:val="both"/>
      </w:pPr>
      <w:r>
        <w:rPr>
          <w:sz w:val="24"/>
        </w:rPr>
        <w:t>开户银行：</w:t>
      </w:r>
      <w:r>
        <w:rPr>
          <w:sz w:val="24"/>
        </w:rPr>
        <w:t xml:space="preserve">                        </w:t>
      </w:r>
      <w:r>
        <w:rPr>
          <w:sz w:val="24"/>
        </w:rPr>
        <w:t>开户银行：</w:t>
      </w:r>
      <w:r>
        <w:rPr>
          <w:sz w:val="24"/>
        </w:rPr>
        <w:t xml:space="preserve">             </w:t>
      </w:r>
    </w:p>
    <w:p>
      <w:pPr>
        <w:ind w:firstLine="480"/>
        <w:jc w:val="left"/>
      </w:pPr>
      <w:r>
        <w:rPr>
          <w:sz w:val="24"/>
        </w:rPr>
        <w:t>账号：</w:t>
      </w:r>
      <w:r>
        <w:rPr>
          <w:sz w:val="24"/>
        </w:rPr>
        <w:t xml:space="preserve">                          </w:t>
      </w:r>
      <w:r>
        <w:rPr>
          <w:sz w:val="24"/>
        </w:rPr>
        <w:t>账号：</w:t>
      </w:r>
      <w:r>
        <w:rPr>
          <w:sz w:val="24"/>
        </w:rPr>
        <w:t xml:space="preserve">               </w:t>
      </w:r>
    </w:p>
    <w:p>
      <w:pPr>
        <w:ind w:firstLine="480"/>
        <w:jc w:val="both"/>
      </w:pPr>
      <w:r>
        <w:rPr>
          <w:sz w:val="24"/>
        </w:rPr>
        <w:t>邮政编码：</w:t>
      </w:r>
      <w:r>
        <w:rPr>
          <w:sz w:val="24"/>
        </w:rPr>
        <w:t xml:space="preserve">                        </w:t>
      </w:r>
      <w:r>
        <w:rPr>
          <w:sz w:val="24"/>
        </w:rPr>
        <w:t>邮政编码：</w:t>
      </w:r>
      <w:r>
        <w:rPr>
          <w:sz w:val="24"/>
        </w:rPr>
        <w:t xml:space="preserve"> </w:t>
      </w:r>
    </w:p>
    <w:p>
      <w:pPr>
        <w:jc w:val="both"/>
      </w:pPr>
    </w:p>
    <w:p>
      <w:pPr>
        <w:jc w:val="both"/>
      </w:pPr>
    </w:p>
    <w:p>
      <w:pPr>
        <w:ind w:firstLine="480"/>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440606-2023-11021</w:t>
      </w:r>
    </w:p>
    <w:p>
      <w:pPr>
        <w:jc w:val="center"/>
      </w:pPr>
      <w:r>
        <w:rPr>
          <w:b/>
          <w:sz w:val="24"/>
        </w:rPr>
        <w:t>采购项目编号：</w:t>
      </w:r>
      <w:r>
        <w:rPr>
          <w:b/>
          <w:sz w:val="24"/>
        </w:rPr>
        <w:t>440606-2023-11021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广东华伦招标有限公司</w:t>
      </w:r>
    </w:p>
    <w:p>
      <w:pPr>
        <w:ind w:firstLine="480"/>
      </w:pPr>
      <w:r>
        <w:rPr/>
        <w:t>你方组织的</w:t>
      </w:r>
      <w:r>
        <w:rPr>
          <w:u w:val="single"/>
        </w:rPr>
        <w:t>“</w:t>
      </w:r>
      <w:r>
        <w:rPr>
          <w:u w:val="single"/>
        </w:rPr>
        <w:t>2023-2025年度容桂街道零散市政设施破损修复维护项目</w:t>
      </w:r>
      <w:r>
        <w:rPr>
          <w:u w:val="single"/>
        </w:rPr>
        <w:t>”</w:t>
      </w:r>
      <w:r>
        <w:rPr/>
        <w:t>项目的招标[采购项目编号为：</w:t>
      </w:r>
      <w:r>
        <w:rPr>
          <w:u w:val="single"/>
        </w:rPr>
        <w:t>440606-2023-11021</w:t>
      </w:r>
      <w:r>
        <w:rPr/>
        <w:t>]，我方愿参与投标。</w:t>
      </w:r>
    </w:p>
    <w:p>
      <w:pPr>
        <w:ind w:firstLine="480"/>
      </w:pPr>
      <w:r>
        <w:rPr/>
        <w:t>我方确认收到贵方提供的</w:t>
      </w:r>
      <w:r>
        <w:rPr>
          <w:u w:val="single"/>
        </w:rPr>
        <w:t>“</w:t>
      </w:r>
      <w:r>
        <w:rPr>
          <w:u w:val="single"/>
        </w:rPr>
        <w:t>2023-2025年度容桂街道零散市政设施破损修复维护项目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2023-2025年度容桂街道零散市政设施破损修复维护项目</w:t>
      </w:r>
      <w:r>
        <w:rPr/>
        <w:t>”项目采购[采购项目编号为</w:t>
      </w:r>
      <w:r>
        <w:rPr/>
        <w:t>440606-2023-11021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佛山市顺德区容桂街道综合行政执法办公室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广东华伦招标有限公司</w:t>
      </w:r>
    </w:p>
    <w:p>
      <w:pPr>
        <w:ind w:firstLine="480"/>
      </w:pPr>
      <w:r>
        <w:rPr/>
        <w:t>如果我方在贵采购代理机构组织的</w:t>
      </w:r>
      <w:r>
        <w:rPr/>
        <w:t>2023-2025年度容桂街道零散市政设施破损修复维护项目</w:t>
      </w:r>
      <w:r>
        <w:rPr/>
        <w:t>招标中获中标（采购项目编号：</w:t>
      </w:r>
      <w:r>
        <w:rPr/>
        <w:t>440606-2023-11021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广东华伦招标有限公司</w:t>
      </w:r>
    </w:p>
    <w:p>
      <w:pPr>
        <w:ind w:firstLine="480"/>
      </w:pPr>
      <w:r>
        <w:rPr/>
        <w:t>我单位已登记并准备参与“</w:t>
      </w:r>
      <w:r>
        <w:rPr/>
        <w:t>2023-2025年度容桂街道零散市政设施破损修复维护项目</w:t>
      </w:r>
      <w:r>
        <w:rPr/>
        <w:t>”项目（采购项目编号：</w:t>
      </w:r>
      <w:r>
        <w:rPr/>
        <w:t>440606-2023-11021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