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440001-2022-55704</w:t>
      </w:r>
    </w:p>
    <w:p>
      <w:pPr>
        <w:jc w:val="center"/>
      </w:pPr>
      <w:r>
        <w:rPr>
          <w:b/>
          <w:sz w:val="24"/>
        </w:rPr>
        <w:t>采购项目编号：</w:t>
      </w:r>
      <w:r>
        <w:rPr>
          <w:b/>
          <w:sz w:val="24"/>
        </w:rPr>
        <w:t>0809-2241GDG12235</w:t>
      </w:r>
    </w:p>
    <w:p>
      <w:pPr>
        <w:jc w:val="center"/>
      </w:pPr>
      <w:r>
        <w:rPr>
          <w:b/>
          <w:sz w:val="24"/>
        </w:rPr>
        <w:t>项目名称：</w:t>
      </w:r>
      <w:r>
        <w:rPr>
          <w:b/>
          <w:sz w:val="24"/>
        </w:rPr>
        <w:t>液压与气压传动实验室和智能制造实验室采购</w:t>
      </w:r>
    </w:p>
    <w:p>
      <w:pPr>
        <w:jc w:val="center"/>
      </w:pPr>
      <w:r>
        <w:rPr>
          <w:b/>
          <w:sz w:val="24"/>
        </w:rPr>
        <w:t>采购人：</w:t>
      </w:r>
      <w:r>
        <w:rPr>
          <w:b/>
          <w:sz w:val="24"/>
        </w:rPr>
        <w:t>广东工业大学</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广东工业大学</w:t>
      </w:r>
      <w:r>
        <w:rPr/>
        <w:t>的委托，采用</w:t>
      </w:r>
      <w:r>
        <w:rPr/>
        <w:t>公开招标</w:t>
      </w:r>
      <w:r>
        <w:rPr/>
        <w:t>方式组织采购</w:t>
      </w:r>
      <w:r>
        <w:rPr/>
        <w:t>液压与气压传动实验室和智能制造实验室采购</w:t>
      </w:r>
      <w:r>
        <w:rPr/>
        <w:t>。欢迎符合资格条件的国内供应商参加投标。</w:t>
      </w:r>
    </w:p>
    <w:p>
      <w:r>
        <w:rPr>
          <w:b/>
          <w:sz w:val="28"/>
        </w:rPr>
        <w:t>一.项目概述</w:t>
      </w:r>
    </w:p>
    <w:p>
      <w:r>
        <w:rPr>
          <w:b/>
          <w:sz w:val="24"/>
        </w:rPr>
        <w:t>1.名称与编号</w:t>
      </w:r>
    </w:p>
    <w:p>
      <w:pPr>
        <w:ind w:firstLine="480"/>
      </w:pPr>
      <w:r>
        <w:rPr/>
        <w:t>项目名称：</w:t>
      </w:r>
      <w:r>
        <w:rPr/>
        <w:t>液压与气压传动实验室和智能制造实验室采购</w:t>
      </w:r>
    </w:p>
    <w:p>
      <w:pPr>
        <w:ind w:firstLine="480"/>
      </w:pPr>
      <w:r>
        <w:rPr/>
        <w:t>采购计划编号：</w:t>
      </w:r>
      <w:r>
        <w:rPr/>
        <w:t>440001-2022-55704</w:t>
      </w:r>
    </w:p>
    <w:p>
      <w:pPr>
        <w:ind w:firstLine="480"/>
      </w:pPr>
      <w:r>
        <w:rPr/>
        <w:t>采购项目编号：</w:t>
      </w:r>
      <w:r>
        <w:rPr/>
        <w:t>0809-2241GDG12235</w:t>
      </w:r>
    </w:p>
    <w:p>
      <w:pPr>
        <w:ind w:firstLine="480"/>
      </w:pPr>
      <w:r>
        <w:rPr/>
        <w:t>采购方式：</w:t>
      </w:r>
      <w:r>
        <w:rPr/>
        <w:t>公开招标</w:t>
      </w:r>
    </w:p>
    <w:p>
      <w:pPr>
        <w:ind w:firstLine="480"/>
      </w:pPr>
      <w:r>
        <w:rPr/>
        <w:t>预算金额：</w:t>
      </w:r>
      <w:r>
        <w:rPr/>
        <w:t>3,695,000.00</w:t>
      </w:r>
      <w:r>
        <w:rPr/>
        <w:t>元</w:t>
      </w:r>
    </w:p>
    <w:p>
      <w:r>
        <w:rPr>
          <w:b/>
          <w:sz w:val="24"/>
        </w:rPr>
        <w:t>2.项目内容及需求情况（采购项目技术规格、参数及要求）</w:t>
      </w:r>
    </w:p>
    <w:p>
      <w:pPr>
        <w:ind w:firstLine="480"/>
      </w:pPr>
    </w:p>
    <w:p/>
    <w:p>
      <w:r>
        <w:rPr/>
        <w:t>采购包1(智能制造实验室设备):</w:t>
      </w:r>
    </w:p>
    <w:p>
      <w:r>
        <w:rPr/>
        <w:t>采购包预算金额：2,735,000.00元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其他专用仪器仪表</w:t>
            </w:r>
          </w:p>
        </w:tc>
        <w:tc>
          <w:tcPr>
            <w:tcW w:type="dxa" w:w="2136"/>
          </w:tcPr>
          <w:p>
            <w:r>
              <w:rPr/>
              <w:t>数控机床与机器人仿真与离线编程系统</w:t>
            </w:r>
          </w:p>
        </w:tc>
        <w:tc>
          <w:tcPr>
            <w:tcW w:type="dxa" w:w="1187"/>
          </w:tcPr>
          <w:p>
            <w:r>
              <w:rPr/>
              <w:t>30.0000(节点)</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其他专用仪器仪表</w:t>
            </w:r>
          </w:p>
        </w:tc>
        <w:tc>
          <w:tcPr>
            <w:tcW w:type="dxa" w:w="2136"/>
          </w:tcPr>
          <w:p>
            <w:r>
              <w:rPr/>
              <w:t>Mini模块化智能机器人系统</w:t>
            </w:r>
          </w:p>
        </w:tc>
        <w:tc>
          <w:tcPr>
            <w:tcW w:type="dxa" w:w="1187"/>
          </w:tcPr>
          <w:p>
            <w:r>
              <w:rPr/>
              <w:t>25.0000(套)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其他专用仪器仪表</w:t>
            </w:r>
          </w:p>
        </w:tc>
        <w:tc>
          <w:tcPr>
            <w:tcW w:type="dxa" w:w="2136"/>
          </w:tcPr>
          <w:p>
            <w:r>
              <w:rPr/>
              <w:t>双机器人生产线实训平台</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其他专用仪器仪表</w:t>
            </w:r>
          </w:p>
        </w:tc>
        <w:tc>
          <w:tcPr>
            <w:tcW w:type="dxa" w:w="2136"/>
          </w:tcPr>
          <w:p>
            <w:r>
              <w:rPr/>
              <w:t>多机器人协调控制平台</w:t>
            </w:r>
          </w:p>
        </w:tc>
        <w:tc>
          <w:tcPr>
            <w:tcW w:type="dxa" w:w="1187"/>
          </w:tcPr>
          <w:p>
            <w:r>
              <w:rPr/>
              <w:t>2.0000(台)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其他专用仪器仪表</w:t>
            </w:r>
          </w:p>
        </w:tc>
        <w:tc>
          <w:tcPr>
            <w:tcW w:type="dxa" w:w="2136"/>
          </w:tcPr>
          <w:p>
            <w:r>
              <w:rPr/>
              <w:t>工业机器人多功能实训工作站</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其他专用仪器仪表</w:t>
            </w:r>
          </w:p>
        </w:tc>
        <w:tc>
          <w:tcPr>
            <w:tcW w:type="dxa" w:w="2136"/>
          </w:tcPr>
          <w:p>
            <w:r>
              <w:rPr/>
              <w:t>工业机器人多功能控制系统</w:t>
            </w:r>
          </w:p>
        </w:tc>
        <w:tc>
          <w:tcPr>
            <w:tcW w:type="dxa" w:w="1187"/>
          </w:tcPr>
          <w:p>
            <w:r>
              <w:rPr/>
              <w:t>1.0000(套)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其他专用仪器仪表</w:t>
            </w:r>
          </w:p>
        </w:tc>
        <w:tc>
          <w:tcPr>
            <w:tcW w:type="dxa" w:w="2136"/>
          </w:tcPr>
          <w:p>
            <w:r>
              <w:rPr/>
              <w:t>固晶机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其他专用仪器仪表</w:t>
            </w:r>
          </w:p>
        </w:tc>
        <w:tc>
          <w:tcPr>
            <w:tcW w:type="dxa" w:w="2136"/>
          </w:tcPr>
          <w:p>
            <w:r>
              <w:rPr/>
              <w:t>焊线机</w:t>
            </w:r>
          </w:p>
        </w:tc>
        <w:tc>
          <w:tcPr>
            <w:tcW w:type="dxa" w:w="1187"/>
          </w:tcPr>
          <w:p>
            <w:r>
              <w:rPr/>
              <w:t>1.0000(台)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其他专用仪器仪表</w:t>
            </w:r>
          </w:p>
        </w:tc>
        <w:tc>
          <w:tcPr>
            <w:tcW w:type="dxa" w:w="2136"/>
          </w:tcPr>
          <w:p>
            <w:r>
              <w:rPr/>
              <w:t>多媒体教学管理系统</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合同履行期限：合同生效60天内完成货物安装调试并交付使用。</w:t>
      </w:r>
    </w:p>
    <w:p/>
    <w:p>
      <w:r>
        <w:rPr/>
        <w:t>采购包2(液压与气压传动实验室设备):</w:t>
      </w:r>
    </w:p>
    <w:p>
      <w:r>
        <w:rPr/>
        <w:t>采购包预算金额：960,000.00元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其他专用仪器仪表</w:t>
            </w:r>
          </w:p>
        </w:tc>
        <w:tc>
          <w:tcPr>
            <w:tcW w:type="dxa" w:w="2136"/>
          </w:tcPr>
          <w:p>
            <w:r>
              <w:rPr/>
              <w:t>液压与气压传动实验室设备</w:t>
            </w:r>
          </w:p>
        </w:tc>
        <w:tc>
          <w:tcPr>
            <w:tcW w:type="dxa" w:w="1187"/>
          </w:tcPr>
          <w:p>
            <w:r>
              <w:rPr/>
              <w:t>8.0000(台)</w:t>
            </w:r>
          </w:p>
        </w:tc>
        <w:tc>
          <w:tcPr>
            <w:tcW w:type="dxa" w:w="1187"/>
          </w:tcPr>
          <w:p>
            <w:r>
              <w:rPr/>
              <w:t>详见第二章</w:t>
            </w:r>
          </w:p>
        </w:tc>
        <w:tc>
          <w:tcPr>
            <w:tcW w:type="dxa" w:w="1187"/>
          </w:tcPr>
          <w:p>
            <w:r>
              <w:rPr/>
              <w:t>否</w:t>
            </w:r>
          </w:p>
        </w:tc>
      </w:tr>
    </w:tbl>
    <w:p/>
    <w:p>
      <w:r>
        <w:rPr/>
        <w:t>本采购包不接受联合体投标</w:t>
      </w:r>
    </w:p>
    <w:p/>
    <w:p>
      <w:r>
        <w:rPr/>
        <w:t>合同履行期限：合同生效一个月内完成货物安装调试并交付使用。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提供2021年度财务状况报告或基本开户行出具的资信证明，或最近一期财务报表（适用在上一年度或本财务年度成立的法人或其他组织），或人民银行出具的个人信用报告（适用于自然人）。</w:t>
      </w:r>
    </w:p>
    <w:p/>
    <w:p>
      <w:r>
        <w:rPr/>
        <w:t>4）履行合同所必需的设备和专业技术能力：提供承诺函原件或填报设备和专业技术能力情况。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采购包1（智能制造实验室设备）：</w:t>
      </w:r>
      <w:r>
        <w:rPr/>
        <w:t>本项目预留采购份额无法确保充分供应、充分竞争，或者存在可能影响政府采购目标实现的情形，不属于专门面向中小企业采购的项目。</w:t>
      </w:r>
    </w:p>
    <w:p>
      <w:pPr>
        <w:jc w:val="left"/>
      </w:pPr>
    </w:p>
    <w:p>
      <w:r>
        <w:rPr/>
        <w:t>采购包2（液压与气压传动实验室设备）：</w:t>
      </w:r>
      <w:r>
        <w:rPr/>
        <w:t>本项目预留采购份额无法确保充分供应、充分竞争，或者存在可能影响政府采购目标实现的情形，不属于专门面向中小企业采购的项目。</w:t>
      </w:r>
    </w:p>
    <w:p/>
    <w:p>
      <w:r>
        <w:rPr>
          <w:b/>
          <w:sz w:val="24"/>
        </w:rPr>
        <w:t>3.本项目特定的资格要求：</w:t>
      </w:r>
    </w:p>
    <w:p>
      <w:pPr>
        <w:ind w:firstLine="480"/>
      </w:pPr>
    </w:p>
    <w:p/>
    <w:p>
      <w:r>
        <w:rPr/>
        <w:t>采购包1（智能制造实验室设备）：</w:t>
      </w:r>
    </w:p>
    <w:p/>
    <w:p>
      <w:r>
        <w:rPr/>
        <w:t>1)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t>采购包2（液压与气压传动实验室设备）：</w:t>
      </w:r>
    </w:p>
    <w:p/>
    <w:p>
      <w:r>
        <w:rPr/>
        <w:t>1)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广东华伦招标有限公司网站（http://www.gdhualun.com.cn/）</w:t>
      </w:r>
    </w:p>
    <w:p>
      <w:r>
        <w:rPr>
          <w:b/>
          <w:sz w:val="28"/>
        </w:rPr>
        <w:t>六.本项目联系方式：</w:t>
      </w:r>
    </w:p>
    <w:p>
      <w:r>
        <w:rPr>
          <w:b/>
          <w:sz w:val="24"/>
        </w:rPr>
        <w:t>1.采购人信息</w:t>
      </w:r>
    </w:p>
    <w:p>
      <w:pPr>
        <w:ind w:firstLine="480"/>
      </w:pPr>
      <w:r>
        <w:rPr/>
        <w:t>名称：</w:t>
      </w:r>
      <w:r>
        <w:rPr/>
        <w:t>广东工业大学</w:t>
      </w:r>
    </w:p>
    <w:p>
      <w:pPr>
        <w:ind w:firstLine="480"/>
      </w:pPr>
      <w:r>
        <w:rPr/>
        <w:t>地址：</w:t>
      </w:r>
      <w:r>
        <w:rPr/>
        <w:t>广州市广州大学城外环西路100号</w:t>
      </w:r>
    </w:p>
    <w:p>
      <w:pPr>
        <w:ind w:firstLine="480"/>
      </w:pPr>
      <w:r>
        <w:rPr/>
        <w:t>联系方式：</w:t>
      </w:r>
      <w:r>
        <w:rPr/>
        <w:t>020-39340032</w:t>
      </w:r>
    </w:p>
    <w:p>
      <w:r>
        <w:rPr>
          <w:b/>
          <w:sz w:val="24"/>
        </w:rPr>
        <w:t>2.采购代理机构信息</w:t>
      </w:r>
    </w:p>
    <w:p>
      <w:pPr>
        <w:ind w:firstLine="480"/>
      </w:pPr>
      <w:r>
        <w:rPr/>
        <w:t>名称：</w:t>
      </w:r>
      <w:r>
        <w:rPr/>
        <w:t>广东华伦招标有限公司</w:t>
      </w:r>
    </w:p>
    <w:p>
      <w:pPr>
        <w:ind w:firstLine="480"/>
      </w:pPr>
      <w:r>
        <w:rPr/>
        <w:t>地址：</w:t>
      </w:r>
      <w:r>
        <w:rPr/>
        <w:t>广州市越秀区广仁路一号广仁大厦七楼</w:t>
      </w:r>
    </w:p>
    <w:p>
      <w:pPr>
        <w:ind w:firstLine="480"/>
      </w:pPr>
      <w:r>
        <w:rPr/>
        <w:t>联系方式：</w:t>
      </w:r>
      <w:r>
        <w:rPr/>
        <w:t>020-83172166-828</w:t>
      </w:r>
    </w:p>
    <w:p>
      <w:r>
        <w:rPr>
          <w:b/>
          <w:sz w:val="24"/>
        </w:rPr>
        <w:t>3.项目联系方式</w:t>
      </w:r>
    </w:p>
    <w:p>
      <w:pPr>
        <w:ind w:firstLine="480"/>
      </w:pPr>
      <w:r>
        <w:rPr/>
        <w:t>项目联系人：</w:t>
      </w:r>
      <w:r>
        <w:rPr/>
        <w:t>广东华伦招标有限公司</w:t>
      </w:r>
    </w:p>
    <w:p>
      <w:pPr>
        <w:ind w:firstLine="480"/>
      </w:pPr>
      <w:r>
        <w:rPr/>
        <w:t>电话：</w:t>
      </w:r>
      <w:r>
        <w:rPr/>
        <w:t>020-83172166-828</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sz w:val="24"/>
        </w:rPr>
        <w:t>1、本项目为教学科研设备采购项目</w:t>
      </w:r>
      <w:r>
        <w:rPr>
          <w:b/>
          <w:sz w:val="24"/>
        </w:rPr>
        <w:t>。</w:t>
      </w:r>
    </w:p>
    <w:p>
      <w:pPr>
        <w:ind w:firstLine="480"/>
        <w:jc w:val="both"/>
      </w:pPr>
      <w:r>
        <w:rPr>
          <w:sz w:val="24"/>
        </w:rPr>
        <w:t>项目属性：本项目为货物类政府采购项目。</w:t>
      </w:r>
    </w:p>
    <w:p>
      <w:pPr>
        <w:ind w:firstLine="480"/>
        <w:jc w:val="both"/>
      </w:pPr>
      <w:r>
        <w:rPr>
          <w:sz w:val="24"/>
        </w:rPr>
        <w:t>2</w:t>
      </w:r>
      <w:r>
        <w:rPr>
          <w:sz w:val="24"/>
        </w:rPr>
        <w:t>、</w:t>
      </w:r>
      <w:r>
        <w:rPr>
          <w:sz w:val="24"/>
        </w:rPr>
        <w:t>根据《关于印发中小企业划型标准规定的通知》（工信部联企业〔</w:t>
      </w:r>
      <w:r>
        <w:rPr>
          <w:sz w:val="24"/>
        </w:rPr>
        <w:t>2011〕300号）规定，本项目采购标的对应的中小企业划分标准所属行业为：工业。</w:t>
      </w:r>
    </w:p>
    <w:p>
      <w:pPr>
        <w:ind w:firstLine="480"/>
        <w:jc w:val="both"/>
      </w:pPr>
      <w:r>
        <w:rPr>
          <w:sz w:val="24"/>
        </w:rPr>
        <w:t>3</w:t>
      </w:r>
      <w:r>
        <w:rPr>
          <w:sz w:val="24"/>
        </w:rPr>
        <w:t>、</w:t>
      </w:r>
      <w:r>
        <w:rPr>
          <w:sz w:val="24"/>
        </w:rPr>
        <w:t>本项目不专门面向中小企业采购的原因：预留采购份额无法确保充分供应、充分竞争，或者存在可能影响政府采购目标实现的情形。</w:t>
      </w:r>
    </w:p>
    <w:p>
      <w:pPr>
        <w:ind w:firstLine="480"/>
        <w:jc w:val="both"/>
      </w:pPr>
      <w:r>
        <w:rPr>
          <w:sz w:val="24"/>
        </w:rPr>
        <w:t>4、</w:t>
      </w:r>
      <w:r>
        <w:rPr>
          <w:sz w:val="24"/>
        </w:rPr>
        <w:t>需求书中加注</w:t>
      </w:r>
      <w:r>
        <w:rPr>
          <w:sz w:val="24"/>
        </w:rPr>
        <w:t>“</w:t>
      </w:r>
      <w:r>
        <w:rPr>
          <w:sz w:val="24"/>
        </w:rPr>
        <w:t>★</w:t>
      </w:r>
      <w:r>
        <w:rPr>
          <w:sz w:val="24"/>
        </w:rPr>
        <w:t>”</w:t>
      </w:r>
      <w:r>
        <w:rPr>
          <w:sz w:val="24"/>
        </w:rPr>
        <w:t>的条款均被视为不可偏离条款，投标人要特别加以注意，必须对此响应并完全满足或优于这些条款，否则若有一项加注</w:t>
      </w:r>
      <w:r>
        <w:rPr>
          <w:sz w:val="24"/>
        </w:rPr>
        <w:t>“</w:t>
      </w:r>
      <w:r>
        <w:rPr>
          <w:sz w:val="24"/>
        </w:rPr>
        <w:t>★</w:t>
      </w:r>
      <w:r>
        <w:rPr>
          <w:sz w:val="24"/>
        </w:rPr>
        <w:t>”</w:t>
      </w:r>
      <w:r>
        <w:rPr>
          <w:sz w:val="24"/>
        </w:rPr>
        <w:t>的条款未响应或不满足，</w:t>
      </w:r>
      <w:r>
        <w:rPr>
          <w:sz w:val="24"/>
        </w:rPr>
        <w:t>投标</w:t>
      </w:r>
      <w:r>
        <w:rPr>
          <w:sz w:val="24"/>
        </w:rPr>
        <w:t>都将被视为无效</w:t>
      </w:r>
      <w:r>
        <w:rPr>
          <w:sz w:val="24"/>
        </w:rPr>
        <w:t>投标</w:t>
      </w:r>
      <w:r>
        <w:rPr>
          <w:sz w:val="24"/>
        </w:rPr>
        <w:t>。打</w:t>
      </w:r>
      <w:r>
        <w:rPr>
          <w:sz w:val="24"/>
        </w:rPr>
        <w:t>“</w:t>
      </w:r>
      <w:r>
        <w:rPr>
          <w:sz w:val="24"/>
        </w:rPr>
        <w:t>▲</w:t>
      </w:r>
      <w:r>
        <w:rPr>
          <w:sz w:val="24"/>
        </w:rPr>
        <w:t>”</w:t>
      </w:r>
      <w:r>
        <w:rPr>
          <w:sz w:val="24"/>
        </w:rPr>
        <w:t>号条款为重要</w:t>
      </w:r>
      <w:r>
        <w:rPr>
          <w:sz w:val="24"/>
        </w:rPr>
        <w:t>条款</w:t>
      </w:r>
      <w:r>
        <w:rPr>
          <w:sz w:val="24"/>
        </w:rPr>
        <w:t>（如有），若有部分</w:t>
      </w:r>
      <w:r>
        <w:rPr>
          <w:sz w:val="24"/>
        </w:rPr>
        <w:t>“</w:t>
      </w:r>
      <w:r>
        <w:rPr>
          <w:sz w:val="24"/>
        </w:rPr>
        <w:t>▲</w:t>
      </w:r>
      <w:r>
        <w:rPr>
          <w:sz w:val="24"/>
        </w:rPr>
        <w:t>”</w:t>
      </w:r>
      <w:r>
        <w:rPr>
          <w:sz w:val="24"/>
        </w:rPr>
        <w:t>条款未响应或不满足，将根据评审要求影响其得分，但不作为无效投标条款。</w:t>
      </w:r>
      <w:r>
        <w:rPr>
          <w:sz w:val="21"/>
        </w:rPr>
        <w:t xml:space="preserve"> </w:t>
      </w:r>
    </w:p>
    <w:p>
      <w:pPr>
        <w:ind w:firstLine="480"/>
        <w:jc w:val="both"/>
      </w:pPr>
      <w:r>
        <w:rPr>
          <w:sz w:val="24"/>
        </w:rPr>
        <w:t>5、投标人所投设备及材料应是原厂原装、全新的产品，并符合下列要求：国家标准、行业标准以及该产品的出厂标准。</w:t>
      </w:r>
    </w:p>
    <w:p>
      <w:pPr>
        <w:ind w:firstLine="480"/>
        <w:jc w:val="both"/>
      </w:pPr>
      <w:r>
        <w:rPr>
          <w:sz w:val="24"/>
        </w:rPr>
        <w:t>6、伴随服务（费用包含在投标总价内）：全部设备的技术设计、运输、安装调试、人员培训、售后服务、含税（国内产品）等费用。</w:t>
      </w:r>
    </w:p>
    <w:p>
      <w:pPr>
        <w:ind w:firstLine="480"/>
        <w:jc w:val="both"/>
      </w:pPr>
      <w:r>
        <w:rPr>
          <w:b/>
          <w:sz w:val="24"/>
        </w:rPr>
        <w:t>7、若所投产品属于《中华人民共和国实施强制性产品认证的产品目录》，供应商须在投标文件中提供有效期内的《中国国家强制性产品认证证书》复印件。</w:t>
      </w:r>
    </w:p>
    <w:p>
      <w:pPr>
        <w:ind w:firstLine="480"/>
        <w:jc w:val="both"/>
      </w:pPr>
      <w:r>
        <w:rPr>
          <w:sz w:val="24"/>
        </w:rPr>
        <w:t>8、若所投产品属于《节能产品政府采购品目清单》范围中政府采购产品类别的，供应商须在投标文件中提供《节能产品政府采购品目清单》范围中政府采购产品类别的相关内容页并对相关内容作圈记、市场监管总局公布的《参与实施政府采购节能产品认证机构名录》截图及有效期内的《节能产品认证证书》复印件。</w:t>
      </w:r>
    </w:p>
    <w:p>
      <w:pPr>
        <w:ind w:firstLine="480"/>
        <w:jc w:val="both"/>
      </w:pPr>
      <w:r>
        <w:rPr>
          <w:sz w:val="24"/>
        </w:rPr>
        <w:t>9、若所投产品属于《环境标志产品政府采购品目清单》范围中政府采购产品类别的，供应商须在投标文件中提供《环境标志产品政府采购品目清单》范围中政府采购产品类别的相关内容页并对相关内容作圈记、市场监管总局公布的《参与实施政府采购环境标志产品认证机构名录》截图及有效期内的《环境标志产品认证证书》复印件。</w:t>
      </w:r>
    </w:p>
    <w:p>
      <w:pPr>
        <w:ind w:firstLine="480"/>
        <w:jc w:val="both"/>
      </w:pPr>
      <w:r>
        <w:rPr>
          <w:sz w:val="24"/>
        </w:rPr>
        <w:t>10、</w:t>
      </w:r>
      <w:r>
        <w:rPr>
          <w:sz w:val="24"/>
        </w:rPr>
        <w:t>需要落实的政府采购政策：《政府采购促进中小企业发展管理办法》的通知（财库〔</w:t>
      </w:r>
      <w:r>
        <w:rPr>
          <w:sz w:val="24"/>
        </w:rPr>
        <w:t>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关于印发节能产品政府采购品目清单的通知》（财库〔2019〕19号）、《关于印发环境标志产品政府采购品目清单的通知》（财库〔2019〕18号）等。</w:t>
      </w:r>
    </w:p>
    <w:p>
      <w:pPr>
        <w:jc w:val="both"/>
      </w:pPr>
      <w:r>
        <w:rPr>
          <w:sz w:val="24"/>
        </w:rPr>
        <w:t>11、项目采购清单：</w:t>
      </w:r>
    </w:p>
    <w:p>
      <w:pPr>
        <w:ind w:firstLine="420"/>
        <w:jc w:val="both"/>
      </w:pPr>
      <w:r>
        <w:rPr>
          <w:sz w:val="24"/>
        </w:rPr>
        <w:t>采购包</w:t>
      </w:r>
      <w:r>
        <w:rPr>
          <w:sz w:val="24"/>
        </w:rPr>
        <w:t>1预算金额：273.5万元（含税）</w:t>
      </w:r>
    </w:p>
    <w:tbl>
      <w:tblPr>
        <w:tblW w:w="0" w:type="auto"/>
        <w:tblBorders>
          <w:top w:val="none" w:color="000000" w:sz="4"/>
          <w:left w:val="none" w:color="000000" w:sz="4"/>
          <w:bottom w:val="none" w:color="000000" w:sz="4"/>
          <w:right w:val="none" w:color="000000" w:sz="4"/>
          <w:insideH w:val="none"/>
          <w:insideV w:val="none"/>
        </w:tblBorders>
      </w:tblPr>
      <w:tblGrid>
        <w:gridCol w:w="381"/>
        <w:gridCol w:w="1716"/>
        <w:gridCol w:w="429"/>
        <w:gridCol w:w="572"/>
        <w:gridCol w:w="917"/>
        <w:gridCol w:w="917"/>
        <w:gridCol w:w="762"/>
        <w:gridCol w:w="1275"/>
        <w:gridCol w:w="1287"/>
      </w:tblGrid>
      <w:tr>
        <w:tc>
          <w:tcPr>
            <w:tcW w:type="dxa" w:w="381"/>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716"/>
            <w:tcBorders>
              <w:top w:val="single" w:color="000000" w:sz="4"/>
              <w:left w:val="none" w:color="000000" w:sz="4"/>
              <w:bottom w:val="single" w:color="000000" w:sz="4"/>
              <w:right w:val="single" w:color="000000" w:sz="4"/>
            </w:tcBorders>
            <w:vAlign w:val="top"/>
          </w:tcPr>
          <w:p>
            <w:pPr>
              <w:jc w:val="center"/>
            </w:pPr>
            <w:r>
              <w:rPr>
                <w:b/>
                <w:sz w:val="24"/>
              </w:rPr>
              <w:t>设备名称</w:t>
            </w:r>
          </w:p>
        </w:tc>
        <w:tc>
          <w:tcPr>
            <w:tcW w:type="dxa" w:w="429"/>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572"/>
            <w:tcBorders>
              <w:top w:val="single" w:color="000000" w:sz="4"/>
              <w:left w:val="none" w:color="000000" w:sz="4"/>
              <w:bottom w:val="single" w:color="000000" w:sz="4"/>
              <w:right w:val="single" w:color="000000" w:sz="4"/>
            </w:tcBorders>
            <w:vAlign w:val="top"/>
          </w:tcPr>
          <w:p>
            <w:pPr>
              <w:jc w:val="center"/>
            </w:pPr>
            <w:r>
              <w:rPr>
                <w:b/>
                <w:sz w:val="24"/>
              </w:rPr>
              <w:t>计量</w:t>
            </w:r>
          </w:p>
          <w:p>
            <w:pPr>
              <w:jc w:val="center"/>
            </w:pPr>
            <w:r>
              <w:rPr>
                <w:b/>
                <w:sz w:val="24"/>
              </w:rPr>
              <w:t>单位</w:t>
            </w:r>
          </w:p>
        </w:tc>
        <w:tc>
          <w:tcPr>
            <w:tcW w:type="dxa" w:w="917"/>
            <w:tcBorders>
              <w:top w:val="single" w:color="000000" w:sz="4"/>
              <w:left w:val="none" w:color="000000" w:sz="4"/>
              <w:bottom w:val="single" w:color="000000" w:sz="4"/>
              <w:right w:val="single" w:color="000000" w:sz="4"/>
            </w:tcBorders>
            <w:vAlign w:val="top"/>
          </w:tcPr>
          <w:p>
            <w:pPr>
              <w:jc w:val="center"/>
            </w:pPr>
            <w:r>
              <w:rPr>
                <w:b/>
                <w:sz w:val="24"/>
              </w:rPr>
              <w:t>单价最高限价</w:t>
            </w:r>
          </w:p>
          <w:p>
            <w:pPr>
              <w:jc w:val="center"/>
            </w:pPr>
            <w:r>
              <w:rPr>
                <w:b/>
                <w:sz w:val="24"/>
              </w:rPr>
              <w:t>（万元）</w:t>
            </w:r>
          </w:p>
        </w:tc>
        <w:tc>
          <w:tcPr>
            <w:tcW w:type="dxa" w:w="917"/>
            <w:tcBorders>
              <w:top w:val="single" w:color="000000" w:sz="4"/>
              <w:left w:val="none" w:color="000000" w:sz="4"/>
              <w:bottom w:val="single" w:color="000000" w:sz="4"/>
              <w:right w:val="single" w:color="000000" w:sz="4"/>
            </w:tcBorders>
            <w:vAlign w:val="top"/>
          </w:tcPr>
          <w:p>
            <w:pPr>
              <w:jc w:val="center"/>
            </w:pPr>
            <w:r>
              <w:rPr>
                <w:b/>
                <w:sz w:val="24"/>
              </w:rPr>
              <w:t>小计</w:t>
            </w:r>
          </w:p>
          <w:p>
            <w:pPr>
              <w:jc w:val="center"/>
            </w:pPr>
            <w:r>
              <w:rPr>
                <w:b/>
                <w:sz w:val="24"/>
              </w:rPr>
              <w:t>（万元）</w:t>
            </w:r>
          </w:p>
        </w:tc>
        <w:tc>
          <w:tcPr>
            <w:tcW w:type="dxa" w:w="762"/>
            <w:tcBorders>
              <w:top w:val="single" w:color="000000" w:sz="4"/>
              <w:left w:val="none" w:color="000000" w:sz="4"/>
              <w:bottom w:val="single" w:color="000000" w:sz="4"/>
              <w:right w:val="single" w:color="000000" w:sz="4"/>
            </w:tcBorders>
            <w:vAlign w:val="top"/>
          </w:tcPr>
          <w:p>
            <w:pPr>
              <w:jc w:val="center"/>
            </w:pPr>
            <w:r>
              <w:rPr>
                <w:b/>
                <w:sz w:val="24"/>
              </w:rPr>
              <w:t>保修期（年）</w:t>
            </w:r>
          </w:p>
        </w:tc>
        <w:tc>
          <w:tcPr>
            <w:tcW w:type="dxa" w:w="1275"/>
            <w:tcBorders>
              <w:top w:val="single" w:color="000000" w:sz="4"/>
              <w:left w:val="none" w:color="000000" w:sz="4"/>
              <w:bottom w:val="single" w:color="000000" w:sz="4"/>
              <w:right w:val="single" w:color="000000" w:sz="4"/>
            </w:tcBorders>
            <w:vAlign w:val="top"/>
          </w:tcPr>
          <w:p>
            <w:pPr>
              <w:jc w:val="center"/>
            </w:pPr>
            <w:r>
              <w:rPr>
                <w:b/>
                <w:sz w:val="24"/>
              </w:rPr>
              <w:t>国产/进口</w:t>
            </w:r>
          </w:p>
        </w:tc>
        <w:tc>
          <w:tcPr>
            <w:tcW w:type="dxa" w:w="1287"/>
            <w:tcBorders>
              <w:top w:val="single" w:color="000000" w:sz="4"/>
              <w:left w:val="none" w:color="000000" w:sz="4"/>
              <w:bottom w:val="single" w:color="000000" w:sz="4"/>
              <w:right w:val="single" w:color="000000" w:sz="4"/>
            </w:tcBorders>
            <w:vAlign w:val="top"/>
          </w:tcPr>
          <w:p>
            <w:pPr>
              <w:jc w:val="center"/>
            </w:pPr>
            <w:r>
              <w:rPr>
                <w:b/>
                <w:sz w:val="24"/>
              </w:rPr>
              <w:t>含税/免税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数控机床与机器人仿真与离线编程系统</w:t>
            </w:r>
          </w:p>
        </w:tc>
        <w:tc>
          <w:tcPr>
            <w:tcW w:type="dxa" w:w="429"/>
            <w:tcBorders>
              <w:top w:val="none" w:color="000000" w:sz="4"/>
              <w:left w:val="none" w:color="000000" w:sz="4"/>
              <w:bottom w:val="single" w:color="000000" w:sz="4"/>
              <w:right w:val="single" w:color="000000" w:sz="4"/>
            </w:tcBorders>
            <w:vAlign w:val="top"/>
          </w:tcPr>
          <w:p>
            <w:pPr>
              <w:jc w:val="center"/>
            </w:pPr>
            <w:r>
              <w:rPr>
                <w:color w:val="000000"/>
                <w:sz w:val="24"/>
              </w:rPr>
              <w:t>30</w:t>
            </w:r>
          </w:p>
        </w:tc>
        <w:tc>
          <w:tcPr>
            <w:tcW w:type="dxa" w:w="572"/>
            <w:tcBorders>
              <w:top w:val="none" w:color="000000" w:sz="4"/>
              <w:left w:val="none" w:color="000000" w:sz="4"/>
              <w:bottom w:val="single" w:color="000000" w:sz="4"/>
              <w:right w:val="single" w:color="000000" w:sz="4"/>
            </w:tcBorders>
            <w:vAlign w:val="top"/>
          </w:tcPr>
          <w:p>
            <w:pPr>
              <w:jc w:val="center"/>
            </w:pPr>
            <w:r>
              <w:rPr>
                <w:color w:val="000000"/>
                <w:sz w:val="24"/>
              </w:rPr>
              <w:t>节点</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1.2</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36</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2</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Mini模块化智能机器人系统</w:t>
            </w:r>
          </w:p>
        </w:tc>
        <w:tc>
          <w:tcPr>
            <w:tcW w:type="dxa" w:w="429"/>
            <w:tcBorders>
              <w:top w:val="none" w:color="000000" w:sz="4"/>
              <w:left w:val="none" w:color="000000" w:sz="4"/>
              <w:bottom w:val="single" w:color="000000" w:sz="4"/>
              <w:right w:val="single" w:color="000000" w:sz="4"/>
            </w:tcBorders>
            <w:vAlign w:val="top"/>
          </w:tcPr>
          <w:p>
            <w:pPr>
              <w:jc w:val="center"/>
            </w:pPr>
            <w:r>
              <w:rPr>
                <w:sz w:val="24"/>
              </w:rPr>
              <w:t>25</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套</w:t>
            </w:r>
          </w:p>
        </w:tc>
        <w:tc>
          <w:tcPr>
            <w:tcW w:type="dxa" w:w="917"/>
            <w:tcBorders>
              <w:top w:val="none" w:color="000000" w:sz="4"/>
              <w:left w:val="none" w:color="000000" w:sz="4"/>
              <w:bottom w:val="single" w:color="000000" w:sz="4"/>
              <w:right w:val="single" w:color="000000" w:sz="4"/>
            </w:tcBorders>
            <w:vAlign w:val="top"/>
          </w:tcPr>
          <w:p>
            <w:pPr>
              <w:jc w:val="center"/>
            </w:pPr>
            <w:r>
              <w:rPr>
                <w:sz w:val="24"/>
              </w:rPr>
              <w:t>3.6</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90</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3</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双机器人生产线实训平台</w:t>
            </w:r>
          </w:p>
        </w:tc>
        <w:tc>
          <w:tcPr>
            <w:tcW w:type="dxa" w:w="429"/>
            <w:tcBorders>
              <w:top w:val="none" w:color="000000" w:sz="4"/>
              <w:left w:val="none" w:color="000000" w:sz="4"/>
              <w:bottom w:val="single" w:color="000000" w:sz="4"/>
              <w:right w:val="single" w:color="000000" w:sz="4"/>
            </w:tcBorders>
            <w:vAlign w:val="top"/>
          </w:tcPr>
          <w:p>
            <w:pPr>
              <w:jc w:val="center"/>
            </w:pPr>
            <w:r>
              <w:rPr>
                <w:sz w:val="24"/>
              </w:rPr>
              <w:t>2</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18.5</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37</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4</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多机器人协调控制平台</w:t>
            </w:r>
          </w:p>
        </w:tc>
        <w:tc>
          <w:tcPr>
            <w:tcW w:type="dxa" w:w="429"/>
            <w:tcBorders>
              <w:top w:val="none" w:color="000000" w:sz="4"/>
              <w:left w:val="none" w:color="000000" w:sz="4"/>
              <w:bottom w:val="single" w:color="000000" w:sz="4"/>
              <w:right w:val="single" w:color="000000" w:sz="4"/>
            </w:tcBorders>
            <w:vAlign w:val="top"/>
          </w:tcPr>
          <w:p>
            <w:pPr>
              <w:jc w:val="center"/>
            </w:pPr>
            <w:r>
              <w:rPr>
                <w:sz w:val="24"/>
              </w:rPr>
              <w:t>2</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16.5</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33</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5</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工业机器人多功能实训工作站</w:t>
            </w:r>
          </w:p>
        </w:tc>
        <w:tc>
          <w:tcPr>
            <w:tcW w:type="dxa" w:w="429"/>
            <w:tcBorders>
              <w:top w:val="none" w:color="000000" w:sz="4"/>
              <w:left w:val="none" w:color="000000" w:sz="4"/>
              <w:bottom w:val="single" w:color="000000" w:sz="4"/>
              <w:right w:val="single" w:color="000000" w:sz="4"/>
            </w:tcBorders>
            <w:vAlign w:val="top"/>
          </w:tcPr>
          <w:p>
            <w:pPr>
              <w:jc w:val="center"/>
            </w:pPr>
            <w:r>
              <w:rPr>
                <w:sz w:val="24"/>
              </w:rPr>
              <w:t>1</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18.5</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18.5</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6</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工业机器人多功能控制系统</w:t>
            </w:r>
          </w:p>
        </w:tc>
        <w:tc>
          <w:tcPr>
            <w:tcW w:type="dxa" w:w="429"/>
            <w:tcBorders>
              <w:top w:val="none" w:color="000000" w:sz="4"/>
              <w:left w:val="none" w:color="000000" w:sz="4"/>
              <w:bottom w:val="single" w:color="000000" w:sz="4"/>
              <w:right w:val="single" w:color="000000" w:sz="4"/>
            </w:tcBorders>
            <w:vAlign w:val="top"/>
          </w:tcPr>
          <w:p>
            <w:pPr>
              <w:jc w:val="center"/>
            </w:pPr>
            <w:r>
              <w:rPr>
                <w:sz w:val="24"/>
              </w:rPr>
              <w:t>1</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套</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16.5</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16.5</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7</w:t>
            </w:r>
          </w:p>
        </w:tc>
        <w:tc>
          <w:tcPr>
            <w:tcW w:type="dxa" w:w="1716"/>
            <w:tcBorders>
              <w:top w:val="none" w:color="000000" w:sz="4"/>
              <w:left w:val="none" w:color="000000" w:sz="4"/>
              <w:bottom w:val="single" w:color="000000" w:sz="4"/>
              <w:right w:val="single" w:color="000000" w:sz="4"/>
            </w:tcBorders>
            <w:vAlign w:val="top"/>
          </w:tcPr>
          <w:p>
            <w:pPr>
              <w:jc w:val="center"/>
            </w:pPr>
            <w:r>
              <w:rPr>
                <w:sz w:val="24"/>
              </w:rPr>
              <w:t>固晶机</w:t>
            </w:r>
          </w:p>
        </w:tc>
        <w:tc>
          <w:tcPr>
            <w:tcW w:type="dxa" w:w="429"/>
            <w:tcBorders>
              <w:top w:val="none" w:color="000000" w:sz="4"/>
              <w:left w:val="none" w:color="000000" w:sz="4"/>
              <w:bottom w:val="single" w:color="000000" w:sz="4"/>
              <w:right w:val="single" w:color="000000" w:sz="4"/>
            </w:tcBorders>
            <w:vAlign w:val="top"/>
          </w:tcPr>
          <w:p>
            <w:pPr>
              <w:jc w:val="center"/>
            </w:pPr>
            <w:r>
              <w:rPr>
                <w:sz w:val="24"/>
              </w:rPr>
              <w:t>1</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15</w:t>
            </w:r>
          </w:p>
        </w:tc>
        <w:tc>
          <w:tcPr>
            <w:tcW w:type="dxa" w:w="917"/>
            <w:tcBorders>
              <w:top w:val="none" w:color="000000" w:sz="4"/>
              <w:left w:val="none" w:color="000000" w:sz="4"/>
              <w:bottom w:val="single" w:color="000000" w:sz="4"/>
              <w:right w:val="single" w:color="000000" w:sz="4"/>
            </w:tcBorders>
            <w:vAlign w:val="top"/>
          </w:tcPr>
          <w:p>
            <w:pPr>
              <w:jc w:val="center"/>
            </w:pPr>
            <w:r>
              <w:rPr>
                <w:color w:val="000000"/>
                <w:sz w:val="24"/>
              </w:rPr>
              <w:t>15</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8</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焊线机</w:t>
            </w:r>
          </w:p>
        </w:tc>
        <w:tc>
          <w:tcPr>
            <w:tcW w:type="dxa" w:w="429"/>
            <w:tcBorders>
              <w:top w:val="none" w:color="000000" w:sz="4"/>
              <w:left w:val="none" w:color="000000" w:sz="4"/>
              <w:bottom w:val="single" w:color="000000" w:sz="4"/>
              <w:right w:val="single" w:color="000000" w:sz="4"/>
            </w:tcBorders>
            <w:vAlign w:val="top"/>
          </w:tcPr>
          <w:p>
            <w:pPr>
              <w:jc w:val="center"/>
            </w:pPr>
            <w:r>
              <w:rPr>
                <w:sz w:val="24"/>
              </w:rPr>
              <w:t>1</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19.5</w:t>
            </w:r>
          </w:p>
        </w:tc>
        <w:tc>
          <w:tcPr>
            <w:tcW w:type="dxa" w:w="917"/>
            <w:tcBorders>
              <w:top w:val="none" w:color="000000" w:sz="4"/>
              <w:left w:val="none" w:color="000000" w:sz="4"/>
              <w:bottom w:val="single" w:color="000000" w:sz="4"/>
              <w:right w:val="single" w:color="000000" w:sz="4"/>
            </w:tcBorders>
            <w:vAlign w:val="top"/>
          </w:tcPr>
          <w:p>
            <w:pPr>
              <w:jc w:val="center"/>
            </w:pPr>
            <w:r>
              <w:rPr>
                <w:sz w:val="24"/>
              </w:rPr>
              <w:t>19.5</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4"/>
              </w:rPr>
              <w:t>9</w:t>
            </w:r>
          </w:p>
        </w:tc>
        <w:tc>
          <w:tcPr>
            <w:tcW w:type="dxa" w:w="1716"/>
            <w:tcBorders>
              <w:top w:val="none" w:color="000000" w:sz="4"/>
              <w:left w:val="none" w:color="000000" w:sz="4"/>
              <w:bottom w:val="single" w:color="000000" w:sz="4"/>
              <w:right w:val="single" w:color="000000" w:sz="4"/>
            </w:tcBorders>
            <w:vAlign w:val="top"/>
          </w:tcPr>
          <w:p>
            <w:pPr>
              <w:jc w:val="center"/>
            </w:pPr>
            <w:r>
              <w:rPr>
                <w:color w:val="000000"/>
                <w:sz w:val="24"/>
              </w:rPr>
              <w:t>多媒体教学管理系统</w:t>
            </w:r>
          </w:p>
        </w:tc>
        <w:tc>
          <w:tcPr>
            <w:tcW w:type="dxa" w:w="429"/>
            <w:tcBorders>
              <w:top w:val="none" w:color="000000" w:sz="4"/>
              <w:left w:val="none" w:color="000000" w:sz="4"/>
              <w:bottom w:val="single" w:color="000000" w:sz="4"/>
              <w:right w:val="single" w:color="000000" w:sz="4"/>
            </w:tcBorders>
            <w:vAlign w:val="top"/>
          </w:tcPr>
          <w:p>
            <w:pPr>
              <w:jc w:val="center"/>
            </w:pPr>
            <w:r>
              <w:rPr>
                <w:sz w:val="24"/>
              </w:rPr>
              <w:t>1</w:t>
            </w:r>
          </w:p>
        </w:tc>
        <w:tc>
          <w:tcPr>
            <w:tcW w:type="dxa" w:w="572"/>
            <w:tcBorders>
              <w:top w:val="none" w:color="000000" w:sz="4"/>
              <w:left w:val="none" w:color="000000" w:sz="4"/>
              <w:bottom w:val="single" w:color="000000" w:sz="4"/>
              <w:right w:val="single" w:color="000000" w:sz="4"/>
            </w:tcBorders>
            <w:vAlign w:val="top"/>
          </w:tcPr>
          <w:p>
            <w:pPr>
              <w:jc w:val="center"/>
            </w:pPr>
            <w:r>
              <w:rPr>
                <w:sz w:val="24"/>
              </w:rPr>
              <w:t>套</w:t>
            </w:r>
          </w:p>
        </w:tc>
        <w:tc>
          <w:tcPr>
            <w:tcW w:type="dxa" w:w="917"/>
            <w:tcBorders>
              <w:top w:val="none" w:color="000000" w:sz="4"/>
              <w:left w:val="none" w:color="000000" w:sz="4"/>
              <w:bottom w:val="single" w:color="000000" w:sz="4"/>
              <w:right w:val="single" w:color="000000" w:sz="4"/>
            </w:tcBorders>
            <w:vAlign w:val="top"/>
          </w:tcPr>
          <w:p>
            <w:pPr>
              <w:jc w:val="center"/>
            </w:pPr>
            <w:r>
              <w:rPr>
                <w:sz w:val="24"/>
              </w:rPr>
              <w:t>8</w:t>
            </w:r>
          </w:p>
        </w:tc>
        <w:tc>
          <w:tcPr>
            <w:tcW w:type="dxa" w:w="917"/>
            <w:tcBorders>
              <w:top w:val="none" w:color="000000" w:sz="4"/>
              <w:left w:val="none" w:color="000000" w:sz="4"/>
              <w:bottom w:val="single" w:color="000000" w:sz="4"/>
              <w:right w:val="single" w:color="000000" w:sz="4"/>
            </w:tcBorders>
            <w:vAlign w:val="top"/>
          </w:tcPr>
          <w:p>
            <w:pPr>
              <w:jc w:val="center"/>
            </w:pPr>
            <w:r>
              <w:rPr>
                <w:sz w:val="24"/>
              </w:rPr>
              <w:t>8</w:t>
            </w:r>
          </w:p>
        </w:tc>
        <w:tc>
          <w:tcPr>
            <w:tcW w:type="dxa" w:w="762"/>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5"/>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87"/>
            <w:tcBorders>
              <w:top w:val="none" w:color="000000" w:sz="4"/>
              <w:left w:val="none" w:color="000000" w:sz="4"/>
              <w:bottom w:val="single" w:color="000000" w:sz="4"/>
              <w:right w:val="single" w:color="000000" w:sz="4"/>
            </w:tcBorders>
            <w:vAlign w:val="top"/>
          </w:tcPr>
          <w:p>
            <w:pPr>
              <w:jc w:val="center"/>
            </w:pPr>
            <w:r>
              <w:rPr>
                <w:sz w:val="24"/>
              </w:rPr>
              <w:t>含税</w:t>
            </w:r>
          </w:p>
        </w:tc>
      </w:tr>
    </w:tbl>
    <w:p>
      <w:pPr>
        <w:jc w:val="both"/>
      </w:pPr>
      <w:r>
        <w:rPr>
          <w:sz w:val="24"/>
        </w:rPr>
        <w:t>采购包</w:t>
      </w:r>
      <w:r>
        <w:rPr>
          <w:sz w:val="24"/>
        </w:rPr>
        <w:t>2预算金额：96万元（含税）</w:t>
      </w:r>
    </w:p>
    <w:tbl>
      <w:tblPr>
        <w:tblW w:w="0" w:type="auto"/>
        <w:tblBorders>
          <w:top w:val="none" w:color="000000" w:sz="4"/>
          <w:left w:val="none" w:color="000000" w:sz="4"/>
          <w:bottom w:val="none" w:color="000000" w:sz="4"/>
          <w:right w:val="none" w:color="000000" w:sz="4"/>
          <w:insideH w:val="none"/>
          <w:insideV w:val="none"/>
        </w:tblBorders>
      </w:tblPr>
      <w:tblGrid>
        <w:gridCol w:w="382"/>
        <w:gridCol w:w="1720"/>
        <w:gridCol w:w="430"/>
        <w:gridCol w:w="573"/>
        <w:gridCol w:w="920"/>
        <w:gridCol w:w="920"/>
        <w:gridCol w:w="764"/>
        <w:gridCol w:w="1278"/>
        <w:gridCol w:w="1266"/>
      </w:tblGrid>
      <w:tr>
        <w:tc>
          <w:tcPr>
            <w:tcW w:type="dxa" w:w="382"/>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1720"/>
            <w:tcBorders>
              <w:top w:val="single" w:color="000000" w:sz="4"/>
              <w:left w:val="none" w:color="000000" w:sz="4"/>
              <w:bottom w:val="single" w:color="000000" w:sz="4"/>
              <w:right w:val="single" w:color="000000" w:sz="4"/>
            </w:tcBorders>
            <w:vAlign w:val="top"/>
          </w:tcPr>
          <w:p>
            <w:pPr>
              <w:jc w:val="center"/>
            </w:pPr>
            <w:r>
              <w:rPr>
                <w:b/>
                <w:sz w:val="24"/>
              </w:rPr>
              <w:t>设备名称</w:t>
            </w:r>
          </w:p>
        </w:tc>
        <w:tc>
          <w:tcPr>
            <w:tcW w:type="dxa" w:w="430"/>
            <w:tcBorders>
              <w:top w:val="single" w:color="000000" w:sz="4"/>
              <w:left w:val="none" w:color="000000" w:sz="4"/>
              <w:bottom w:val="single" w:color="000000" w:sz="4"/>
              <w:right w:val="single" w:color="000000" w:sz="4"/>
            </w:tcBorders>
            <w:vAlign w:val="top"/>
          </w:tcPr>
          <w:p>
            <w:pPr>
              <w:jc w:val="center"/>
            </w:pPr>
            <w:r>
              <w:rPr>
                <w:b/>
                <w:sz w:val="24"/>
              </w:rPr>
              <w:t>数量</w:t>
            </w:r>
          </w:p>
        </w:tc>
        <w:tc>
          <w:tcPr>
            <w:tcW w:type="dxa" w:w="573"/>
            <w:tcBorders>
              <w:top w:val="single" w:color="000000" w:sz="4"/>
              <w:left w:val="none" w:color="000000" w:sz="4"/>
              <w:bottom w:val="single" w:color="000000" w:sz="4"/>
              <w:right w:val="single" w:color="000000" w:sz="4"/>
            </w:tcBorders>
            <w:vAlign w:val="top"/>
          </w:tcPr>
          <w:p>
            <w:pPr>
              <w:jc w:val="center"/>
            </w:pPr>
            <w:r>
              <w:rPr>
                <w:b/>
                <w:sz w:val="24"/>
              </w:rPr>
              <w:t>计量</w:t>
            </w:r>
          </w:p>
          <w:p>
            <w:pPr>
              <w:jc w:val="center"/>
            </w:pPr>
            <w:r>
              <w:rPr>
                <w:b/>
                <w:sz w:val="24"/>
              </w:rPr>
              <w:t>单位</w:t>
            </w:r>
          </w:p>
        </w:tc>
        <w:tc>
          <w:tcPr>
            <w:tcW w:type="dxa" w:w="920"/>
            <w:tcBorders>
              <w:top w:val="single" w:color="000000" w:sz="4"/>
              <w:left w:val="none" w:color="000000" w:sz="4"/>
              <w:bottom w:val="single" w:color="000000" w:sz="4"/>
              <w:right w:val="single" w:color="000000" w:sz="4"/>
            </w:tcBorders>
            <w:vAlign w:val="top"/>
          </w:tcPr>
          <w:p>
            <w:pPr>
              <w:jc w:val="center"/>
            </w:pPr>
            <w:r>
              <w:rPr>
                <w:b/>
                <w:sz w:val="24"/>
              </w:rPr>
              <w:t>单价最高限价</w:t>
            </w:r>
          </w:p>
          <w:p>
            <w:pPr>
              <w:jc w:val="center"/>
            </w:pPr>
            <w:r>
              <w:rPr>
                <w:b/>
                <w:sz w:val="24"/>
              </w:rPr>
              <w:t>（万元）</w:t>
            </w:r>
          </w:p>
        </w:tc>
        <w:tc>
          <w:tcPr>
            <w:tcW w:type="dxa" w:w="920"/>
            <w:tcBorders>
              <w:top w:val="single" w:color="000000" w:sz="4"/>
              <w:left w:val="none" w:color="000000" w:sz="4"/>
              <w:bottom w:val="single" w:color="000000" w:sz="4"/>
              <w:right w:val="single" w:color="000000" w:sz="4"/>
            </w:tcBorders>
            <w:vAlign w:val="top"/>
          </w:tcPr>
          <w:p>
            <w:pPr>
              <w:jc w:val="center"/>
            </w:pPr>
            <w:r>
              <w:rPr>
                <w:b/>
                <w:sz w:val="24"/>
              </w:rPr>
              <w:t>小计</w:t>
            </w:r>
          </w:p>
          <w:p>
            <w:pPr>
              <w:jc w:val="center"/>
            </w:pPr>
            <w:r>
              <w:rPr>
                <w:b/>
                <w:sz w:val="24"/>
              </w:rPr>
              <w:t>（万元）</w:t>
            </w:r>
          </w:p>
        </w:tc>
        <w:tc>
          <w:tcPr>
            <w:tcW w:type="dxa" w:w="764"/>
            <w:tcBorders>
              <w:top w:val="single" w:color="000000" w:sz="4"/>
              <w:left w:val="none" w:color="000000" w:sz="4"/>
              <w:bottom w:val="single" w:color="000000" w:sz="4"/>
              <w:right w:val="single" w:color="000000" w:sz="4"/>
            </w:tcBorders>
            <w:vAlign w:val="top"/>
          </w:tcPr>
          <w:p>
            <w:pPr>
              <w:jc w:val="center"/>
            </w:pPr>
            <w:r>
              <w:rPr>
                <w:b/>
                <w:sz w:val="24"/>
              </w:rPr>
              <w:t>保修期（年）</w:t>
            </w:r>
          </w:p>
        </w:tc>
        <w:tc>
          <w:tcPr>
            <w:tcW w:type="dxa" w:w="1278"/>
            <w:tcBorders>
              <w:top w:val="single" w:color="000000" w:sz="4"/>
              <w:left w:val="none" w:color="000000" w:sz="4"/>
              <w:bottom w:val="single" w:color="000000" w:sz="4"/>
              <w:right w:val="single" w:color="000000" w:sz="4"/>
            </w:tcBorders>
            <w:vAlign w:val="top"/>
          </w:tcPr>
          <w:p>
            <w:pPr>
              <w:jc w:val="center"/>
            </w:pPr>
            <w:r>
              <w:rPr>
                <w:b/>
                <w:sz w:val="24"/>
              </w:rPr>
              <w:t>国产/进口</w:t>
            </w:r>
          </w:p>
        </w:tc>
        <w:tc>
          <w:tcPr>
            <w:tcW w:type="dxa" w:w="1266"/>
            <w:tcBorders>
              <w:top w:val="single" w:color="000000" w:sz="4"/>
              <w:left w:val="none" w:color="000000" w:sz="4"/>
              <w:bottom w:val="single" w:color="000000" w:sz="4"/>
              <w:right w:val="single" w:color="000000" w:sz="4"/>
            </w:tcBorders>
            <w:vAlign w:val="top"/>
          </w:tcPr>
          <w:p>
            <w:pPr>
              <w:jc w:val="center"/>
            </w:pPr>
            <w:r>
              <w:rPr>
                <w:b/>
                <w:sz w:val="24"/>
              </w:rPr>
              <w:t>含税/免税</w:t>
            </w:r>
          </w:p>
        </w:tc>
      </w:tr>
      <w:tr>
        <w:tc>
          <w:tcPr>
            <w:tcW w:type="dxa" w:w="382"/>
            <w:tcBorders>
              <w:top w:val="none" w:color="000000" w:sz="4"/>
              <w:left w:val="single" w:color="000000" w:sz="4"/>
              <w:bottom w:val="single" w:color="000000" w:sz="4"/>
              <w:right w:val="single" w:color="000000" w:sz="4"/>
            </w:tcBorders>
            <w:vAlign w:val="top"/>
          </w:tcPr>
          <w:p>
            <w:pPr>
              <w:jc w:val="center"/>
            </w:pPr>
            <w:r>
              <w:rPr>
                <w:sz w:val="24"/>
              </w:rPr>
              <w:t>1</w:t>
            </w:r>
          </w:p>
        </w:tc>
        <w:tc>
          <w:tcPr>
            <w:tcW w:type="dxa" w:w="1720"/>
            <w:tcBorders>
              <w:top w:val="none" w:color="000000" w:sz="4"/>
              <w:left w:val="none" w:color="000000" w:sz="4"/>
              <w:bottom w:val="single" w:color="000000" w:sz="4"/>
              <w:right w:val="single" w:color="000000" w:sz="4"/>
            </w:tcBorders>
            <w:vAlign w:val="top"/>
          </w:tcPr>
          <w:p>
            <w:pPr>
              <w:jc w:val="center"/>
            </w:pPr>
            <w:r>
              <w:rPr>
                <w:sz w:val="24"/>
              </w:rPr>
              <w:t>电液比例综合控制实验系统</w:t>
            </w:r>
          </w:p>
        </w:tc>
        <w:tc>
          <w:tcPr>
            <w:tcW w:type="dxa" w:w="430"/>
            <w:tcBorders>
              <w:top w:val="none" w:color="000000" w:sz="4"/>
              <w:left w:val="none" w:color="000000" w:sz="4"/>
              <w:bottom w:val="single" w:color="000000" w:sz="4"/>
              <w:right w:val="single" w:color="000000" w:sz="4"/>
            </w:tcBorders>
            <w:vAlign w:val="top"/>
          </w:tcPr>
          <w:p>
            <w:pPr>
              <w:jc w:val="center"/>
            </w:pPr>
            <w:r>
              <w:rPr>
                <w:sz w:val="24"/>
              </w:rPr>
              <w:t>8</w:t>
            </w:r>
          </w:p>
        </w:tc>
        <w:tc>
          <w:tcPr>
            <w:tcW w:type="dxa" w:w="573"/>
            <w:tcBorders>
              <w:top w:val="none" w:color="000000" w:sz="4"/>
              <w:left w:val="none" w:color="000000" w:sz="4"/>
              <w:bottom w:val="single" w:color="000000" w:sz="4"/>
              <w:right w:val="single" w:color="000000" w:sz="4"/>
            </w:tcBorders>
            <w:vAlign w:val="top"/>
          </w:tcPr>
          <w:p>
            <w:pPr>
              <w:jc w:val="center"/>
            </w:pPr>
            <w:r>
              <w:rPr>
                <w:sz w:val="24"/>
              </w:rPr>
              <w:t>台</w:t>
            </w:r>
          </w:p>
        </w:tc>
        <w:tc>
          <w:tcPr>
            <w:tcW w:type="dxa" w:w="920"/>
            <w:tcBorders>
              <w:top w:val="none" w:color="000000" w:sz="4"/>
              <w:left w:val="none" w:color="000000" w:sz="4"/>
              <w:bottom w:val="single" w:color="000000" w:sz="4"/>
              <w:right w:val="single" w:color="000000" w:sz="4"/>
            </w:tcBorders>
            <w:vAlign w:val="top"/>
          </w:tcPr>
          <w:p>
            <w:pPr>
              <w:jc w:val="center"/>
            </w:pPr>
            <w:r>
              <w:rPr>
                <w:sz w:val="24"/>
              </w:rPr>
              <w:t>12</w:t>
            </w:r>
          </w:p>
        </w:tc>
        <w:tc>
          <w:tcPr>
            <w:tcW w:type="dxa" w:w="920"/>
            <w:tcBorders>
              <w:top w:val="none" w:color="000000" w:sz="4"/>
              <w:left w:val="none" w:color="000000" w:sz="4"/>
              <w:bottom w:val="single" w:color="000000" w:sz="4"/>
              <w:right w:val="single" w:color="000000" w:sz="4"/>
            </w:tcBorders>
            <w:vAlign w:val="top"/>
          </w:tcPr>
          <w:p>
            <w:pPr>
              <w:jc w:val="center"/>
            </w:pPr>
            <w:r>
              <w:rPr>
                <w:sz w:val="24"/>
              </w:rPr>
              <w:t>96</w:t>
            </w:r>
          </w:p>
        </w:tc>
        <w:tc>
          <w:tcPr>
            <w:tcW w:type="dxa" w:w="764"/>
            <w:tcBorders>
              <w:top w:val="none" w:color="000000" w:sz="4"/>
              <w:left w:val="none" w:color="000000" w:sz="4"/>
              <w:bottom w:val="single" w:color="000000" w:sz="4"/>
              <w:right w:val="single" w:color="000000" w:sz="4"/>
            </w:tcBorders>
            <w:vAlign w:val="top"/>
          </w:tcPr>
          <w:p>
            <w:pPr>
              <w:jc w:val="center"/>
            </w:pPr>
            <w:r>
              <w:rPr>
                <w:sz w:val="24"/>
              </w:rPr>
              <w:t>3</w:t>
            </w:r>
          </w:p>
        </w:tc>
        <w:tc>
          <w:tcPr>
            <w:tcW w:type="dxa" w:w="1278"/>
            <w:tcBorders>
              <w:top w:val="none" w:color="000000" w:sz="4"/>
              <w:left w:val="none" w:color="000000" w:sz="4"/>
              <w:bottom w:val="single" w:color="000000" w:sz="4"/>
              <w:right w:val="single" w:color="000000" w:sz="4"/>
            </w:tcBorders>
            <w:vAlign w:val="top"/>
          </w:tcPr>
          <w:p>
            <w:pPr>
              <w:jc w:val="center"/>
            </w:pPr>
            <w:r>
              <w:rPr>
                <w:sz w:val="24"/>
              </w:rPr>
              <w:t>国产</w:t>
            </w:r>
          </w:p>
        </w:tc>
        <w:tc>
          <w:tcPr>
            <w:tcW w:type="dxa" w:w="1266"/>
            <w:tcBorders>
              <w:top w:val="none" w:color="000000" w:sz="4"/>
              <w:left w:val="none" w:color="000000" w:sz="4"/>
              <w:bottom w:val="single" w:color="000000" w:sz="4"/>
              <w:right w:val="single" w:color="000000" w:sz="4"/>
            </w:tcBorders>
            <w:vAlign w:val="top"/>
          </w:tcPr>
          <w:p>
            <w:pPr>
              <w:jc w:val="center"/>
            </w:pPr>
            <w:r>
              <w:rPr>
                <w:sz w:val="24"/>
              </w:rPr>
              <w:t>含税</w:t>
            </w:r>
          </w:p>
        </w:tc>
      </w:tr>
    </w:tbl>
    <w:p>
      <w:pPr>
        <w:jc w:val="both"/>
      </w:pPr>
      <w:r>
        <w:rPr>
          <w:sz w:val="24"/>
        </w:rPr>
        <w:t>注：</w:t>
      </w:r>
    </w:p>
    <w:p>
      <w:pPr>
        <w:jc w:val="both"/>
      </w:pPr>
      <w:r>
        <w:rPr>
          <w:sz w:val="24"/>
        </w:rPr>
        <w:t>1）本项目只允许采购本国产品。</w:t>
      </w:r>
    </w:p>
    <w:p>
      <w:pPr>
        <w:jc w:val="both"/>
      </w:pPr>
      <w:r>
        <w:rPr>
          <w:sz w:val="24"/>
        </w:rPr>
        <w:t>2</w:t>
      </w:r>
      <w:r>
        <w:rPr>
          <w:sz w:val="24"/>
        </w:rPr>
        <w:t>）</w:t>
      </w:r>
      <w:r>
        <w:rPr>
          <w:sz w:val="24"/>
        </w:rPr>
        <w:t>投标人必须对</w:t>
      </w:r>
      <w:r>
        <w:rPr>
          <w:sz w:val="24"/>
        </w:rPr>
        <w:t>各</w:t>
      </w:r>
      <w:r>
        <w:rPr>
          <w:sz w:val="24"/>
        </w:rPr>
        <w:t>采购包内</w:t>
      </w:r>
      <w:r>
        <w:rPr>
          <w:sz w:val="24"/>
        </w:rPr>
        <w:t>的</w:t>
      </w:r>
      <w:r>
        <w:rPr>
          <w:sz w:val="24"/>
        </w:rPr>
        <w:t>所有采购内容或服务进行整体响应，任何只对采购包内其中部分内容进行响应都被视为无效</w:t>
      </w:r>
      <w:r>
        <w:rPr>
          <w:sz w:val="24"/>
        </w:rPr>
        <w:t>投标</w:t>
      </w:r>
      <w:r>
        <w:rPr>
          <w:sz w:val="24"/>
        </w:rPr>
        <w:t>。</w:t>
      </w:r>
    </w:p>
    <w:p>
      <w:pPr>
        <w:jc w:val="both"/>
      </w:pPr>
      <w:r>
        <w:rPr>
          <w:b/>
          <w:sz w:val="24"/>
        </w:rPr>
        <w:t>3</w:t>
      </w:r>
      <w:r>
        <w:rPr>
          <w:b/>
          <w:sz w:val="24"/>
        </w:rPr>
        <w:t>）</w:t>
      </w:r>
      <w:r>
        <w:rPr>
          <w:b/>
          <w:sz w:val="24"/>
        </w:rPr>
        <w:t>投标总报价不得高于本项目</w:t>
      </w:r>
      <w:r>
        <w:rPr>
          <w:b/>
          <w:sz w:val="24"/>
        </w:rPr>
        <w:t>对应</w:t>
      </w:r>
      <w:r>
        <w:rPr>
          <w:b/>
          <w:sz w:val="24"/>
        </w:rPr>
        <w:t>采购包的</w:t>
      </w:r>
      <w:r>
        <w:rPr>
          <w:b/>
          <w:sz w:val="24"/>
        </w:rPr>
        <w:t>单价最高限价及</w:t>
      </w:r>
      <w:r>
        <w:rPr>
          <w:b/>
          <w:sz w:val="24"/>
        </w:rPr>
        <w:t>采购预算，否则</w:t>
      </w:r>
      <w:r>
        <w:rPr>
          <w:b/>
          <w:sz w:val="24"/>
        </w:rPr>
        <w:t>作</w:t>
      </w:r>
      <w:r>
        <w:rPr>
          <w:b/>
          <w:sz w:val="24"/>
        </w:rPr>
        <w:t>无效</w:t>
      </w:r>
      <w:r>
        <w:rPr>
          <w:b/>
          <w:sz w:val="24"/>
        </w:rPr>
        <w:t>投标</w:t>
      </w:r>
      <w:r>
        <w:rPr>
          <w:b/>
          <w:sz w:val="24"/>
        </w:rPr>
        <w:t>处理。</w:t>
      </w:r>
    </w:p>
    <w:p/>
    <w:p>
      <w:pPr>
        <w:ind w:firstLine="480"/>
      </w:pPr>
    </w:p>
    <w:p/>
    <w:p>
      <w:r>
        <w:rPr/>
        <w:t>采购包1（智能制造实验室设备）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合同生效60天内完成货物安装调试并交付使用。</w:t>
            </w:r>
          </w:p>
        </w:tc>
      </w:tr>
      <w:tr>
        <w:tc>
          <w:tcPr>
            <w:tcW w:type="dxa" w:w="4153"/>
          </w:tcPr>
          <w:p>
            <w:r>
              <w:rPr/>
              <w:t>标的提供的地点</w:t>
            </w:r>
          </w:p>
        </w:tc>
        <w:tc>
          <w:tcPr>
            <w:tcW w:type="dxa" w:w="4153"/>
          </w:tcPr>
          <w:p/>
          <w:p>
            <w:r>
              <w:rPr/>
              <w:t>广东工业大学大学城校区机电工程学院指定地点。</w:t>
            </w:r>
          </w:p>
        </w:tc>
      </w:tr>
      <w:tr>
        <w:tc>
          <w:tcPr>
            <w:tcW w:type="dxa" w:w="4153"/>
          </w:tcPr>
          <w:p>
            <w:r>
              <w:rPr/>
              <w:t>付款方式</w:t>
            </w:r>
          </w:p>
        </w:tc>
        <w:tc>
          <w:tcPr>
            <w:tcW w:type="dxa" w:w="4153"/>
          </w:tcPr>
          <w:p/>
          <w:p/>
          <w:p>
            <w:r>
              <w:rPr/>
              <w:t>1期：支付比例100%,★1、合同签订后，中标人开具全额增值税专用发票给采购人，同时中标人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货款（人民币*佰*拾*万*仟*佰*拾*元整，¥****.**）支付给中标人。 ★2、货物安装调试完毕，经采购人、中标人双方对货物进行验收合格并完成交付后，采购人将银行保函原件退回给中标人，中标人自行到银行办理相关手续。</w:t>
            </w:r>
          </w:p>
        </w:tc>
      </w:tr>
      <w:tr>
        <w:tc>
          <w:tcPr>
            <w:tcW w:type="dxa" w:w="4153"/>
          </w:tcPr>
          <w:p>
            <w:r>
              <w:rPr/>
              <w:t>验收要求</w:t>
            </w:r>
          </w:p>
        </w:tc>
        <w:tc>
          <w:tcPr>
            <w:tcW w:type="dxa" w:w="4153"/>
          </w:tcPr>
          <w:p/>
          <w:p/>
          <w:p/>
          <w:p>
            <w:r>
              <w:rPr/>
              <w:t>1期：1．交付验收标准为：按合同约定的货物及价格、详细配置清单及技术指标、符合采购文件和响应承诺中采购人认可的合理最佳配置、参数及各项要求、国家相关标准和行业规范进行验收（该等标准不一致的，以较高为准）。 2．验收流程按采购人规章制度执行，由采购人组成验收小组（含中标人人员）按国家有关规定、规范进行验收，必要时采购人可邀请相关的专业人员或机构参与验收。 3．货物安装调试完毕且正常运行后，中标人应向采购人提出书面验收申请，准备并向采购人提交验收文件，合同项下的全部货物按采购人验收流程验收通过，经采购人、中标人双方签署验收合格证明后，视为验收合格。 4．验收合格后，中标人应将货物的用户手册、保修手册、有关单证资料及配备件、随机工具等交付给采购人，使用操作及安全须知等重要资料应附有中文说明。前述资料物品交付完毕当日，视为合同货物完成交付。</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（一）货物质量要求：</w:t>
            </w:r>
          </w:p>
        </w:tc>
        <w:tc>
          <w:tcPr>
            <w:tcW w:type="dxa" w:w="2076"/>
          </w:tcPr>
          <w:p>
            <w:pPr>
              <w:jc w:val="left"/>
            </w:pPr>
            <w:r>
              <w:rPr/>
              <w:t>1.中标人提供的货物必须符合中华人民共和国国家安全环保标准。软件类产品则应符合国家技术规格和质量标准。 2.中标人提供的货物为全新的，整机无污染，无侵权行为、无任何缺陷隐患，在中国境内可依常规安全合法使用。软件类产品则应有相应的标准包装，确保产品为原厂正版产品。 3.中标人提供的货物必须是原制造商制造的全新产品（含零部件、配件、随机工具等），表面无划伤、无碰撞，配件齐全，完全符合国家的有关质量标准，并附有产品质量检验合格证书。 4.如果发现货物的质量和规格与合同规定不符或货物在保修期内被证明有缺陷，包括内在缺陷或使用不适当原材料，中标人应予退换货。</w:t>
            </w:r>
          </w:p>
        </w:tc>
      </w:tr>
      <w:tr>
        <w:tc>
          <w:tcPr>
            <w:tcW w:type="dxa" w:w="2076"/>
          </w:tcPr>
          <w:p>
            <w:pPr>
              <w:jc w:val="center"/>
            </w:pPr>
          </w:p>
        </w:tc>
        <w:tc>
          <w:tcPr>
            <w:tcW w:type="dxa" w:w="2076"/>
          </w:tcPr>
          <w:p>
            <w:pPr>
              <w:jc w:val="center"/>
            </w:pPr>
            <w:r>
              <w:rPr/>
              <w:t>2</w:t>
            </w:r>
          </w:p>
        </w:tc>
        <w:tc>
          <w:tcPr>
            <w:tcW w:type="dxa" w:w="2076"/>
          </w:tcPr>
          <w:p>
            <w:pPr>
              <w:jc w:val="left"/>
            </w:pPr>
            <w:r>
              <w:rPr/>
              <w:t>（二）到货检验、安装与调试：</w:t>
            </w:r>
          </w:p>
        </w:tc>
        <w:tc>
          <w:tcPr>
            <w:tcW w:type="dxa" w:w="2076"/>
          </w:tcPr>
          <w:p>
            <w:pPr>
              <w:jc w:val="left"/>
            </w:pPr>
            <w:r>
              <w:rPr/>
              <w:t>1.货物的到货检验包括：型号、规格、数量、外观质量及货物包装完整无破损，在货物抵达交货目的地后，采购人和中标人双方就货物外观质量、规格和型号进行初步检验。货物为原厂商未启封全新包装，具有出厂合格证，序列号、包装箱号与出厂批号一致，并可追索查阅。所有随货物的附件必须齐全。如果发现到货的外观质量、规格和型号与合同不符，采购人有权拒收货物，并可向中标人索赔。 2.除非采购人另有通知，中标人应按照合同的要求以及合同执行计划的时间安排，派出足够的人员进行现场安装和负责调试工作。 3.中标人必须依照招标文件的要求和投标文件的承诺，将货物安装并调试至正常运行的最佳状态。 4.软件类产品中标人应该提供软件现场或远程安装，包括软件服务器端安装、客户端安装和软件license的安装；在服务器端安装时乙方应主动寻求服务器供应商的工程师配合。</w:t>
            </w:r>
          </w:p>
        </w:tc>
      </w:tr>
      <w:tr>
        <w:tc>
          <w:tcPr>
            <w:tcW w:type="dxa" w:w="2076"/>
          </w:tcPr>
          <w:p>
            <w:pPr>
              <w:jc w:val="center"/>
            </w:pPr>
          </w:p>
        </w:tc>
        <w:tc>
          <w:tcPr>
            <w:tcW w:type="dxa" w:w="2076"/>
          </w:tcPr>
          <w:p>
            <w:pPr>
              <w:jc w:val="center"/>
            </w:pPr>
            <w:r>
              <w:rPr/>
              <w:t>3</w:t>
            </w:r>
          </w:p>
        </w:tc>
        <w:tc>
          <w:tcPr>
            <w:tcW w:type="dxa" w:w="2076"/>
          </w:tcPr>
          <w:p>
            <w:pPr>
              <w:jc w:val="left"/>
            </w:pPr>
            <w:r>
              <w:rPr/>
              <w:t>（三）培训及售后服务：</w:t>
            </w:r>
          </w:p>
        </w:tc>
        <w:tc>
          <w:tcPr>
            <w:tcW w:type="dxa" w:w="2076"/>
          </w:tcPr>
          <w:p>
            <w:pPr>
              <w:jc w:val="left"/>
            </w:pPr>
            <w:r>
              <w:rPr/>
              <w:t>1.中标人负责采购人使用人员的使用操作技术及维护技术的培训，具体培训内容和时间安排由双方协商确定。软件类产品在安装完毕后，中标人需对采购人使用部门有关人员进行必要的现场培训，保证采购人使用人员能独立安装软件、软件升级并能运行算例。 ★2.所有货物保修期为3年，中标人提供免费3年上门保修服务和系统维护，中标人不再收取任何费用，保修期自双方代表在货物安装调试后的验收证明文件上签字之日起计算。 3.保修期内，如货物或零部件因质量原因出现故障而造成短期停用时，则保修期和免费维修期相应顺延。如停用时间累计超过60天则保修期重新计算。 4.在保修期内，如货品非因采购人的人为原因而出现的问题由中标人负责包修、包换或包退，并承担修理、调换或退货的实际费用。 5.保修期内，中标人负责对其提供的货物整机进行维修和系统维护，不再收取任何费用，但非中标人责任的人为因素、自然因素（如火灾、雷击等）造成的故障除外。 6.货物（含软件类产品）故障报修的响应时间为2小时，且在8小时内（连同前面时间计算）到达现场，24小时内处理完毕。规定时间内未处理完毕的，中标人在48小时内提供不低于同等档次货物供用户使用至故障货物能正常使用为止。 7.保修期间，同一硬件一个月内连续2次出现同一故障，中标人须无偿更换全新货物。</w:t>
            </w:r>
          </w:p>
        </w:tc>
      </w:tr>
      <w:tr>
        <w:tc>
          <w:tcPr>
            <w:tcW w:type="dxa" w:w="2076"/>
          </w:tcPr>
          <w:p>
            <w:pPr>
              <w:jc w:val="center"/>
            </w:pPr>
          </w:p>
        </w:tc>
        <w:tc>
          <w:tcPr>
            <w:tcW w:type="dxa" w:w="2076"/>
          </w:tcPr>
          <w:p>
            <w:pPr>
              <w:jc w:val="center"/>
            </w:pPr>
            <w:r>
              <w:rPr/>
              <w:t>4</w:t>
            </w:r>
          </w:p>
        </w:tc>
        <w:tc>
          <w:tcPr>
            <w:tcW w:type="dxa" w:w="2076"/>
          </w:tcPr>
          <w:p>
            <w:pPr>
              <w:jc w:val="left"/>
            </w:pPr>
            <w:r>
              <w:rPr/>
              <w:t>（四）其他要求：</w:t>
            </w:r>
          </w:p>
        </w:tc>
        <w:tc>
          <w:tcPr>
            <w:tcW w:type="dxa" w:w="2076"/>
          </w:tcPr>
          <w:p>
            <w:pPr>
              <w:jc w:val="left"/>
            </w:pPr>
            <w:r>
              <w:rPr/>
              <w:t>★项目资金来源自政府财政贴息贷款，在合同签订后，如学校设备贴息贷款申请未通过国家财政贴息审核，则合同自动终止，采购人无须承担任何责任，双方配合完成书面终止合同的手续，采购代理服务费由采购人支付。</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其他专用仪器仪表</w:t>
            </w:r>
          </w:p>
        </w:tc>
        <w:tc>
          <w:tcPr>
            <w:tcW w:type="dxa" w:w="831"/>
          </w:tcPr>
          <w:p>
            <w:pPr>
              <w:jc w:val="left"/>
            </w:pPr>
            <w:r>
              <w:rPr/>
              <w:t>数控机床与机器人仿真与离线编程系统</w:t>
            </w:r>
          </w:p>
        </w:tc>
        <w:tc>
          <w:tcPr>
            <w:tcW w:type="dxa" w:w="831"/>
          </w:tcPr>
          <w:p>
            <w:pPr>
              <w:jc w:val="left"/>
            </w:pPr>
            <w:r>
              <w:rPr/>
              <w:t>节点</w:t>
            </w:r>
          </w:p>
        </w:tc>
        <w:tc>
          <w:tcPr>
            <w:tcW w:type="dxa" w:w="831"/>
          </w:tcPr>
          <w:p>
            <w:pPr>
              <w:jc w:val="right"/>
            </w:pPr>
            <w:r>
              <w:rPr/>
              <w:t>30.00</w:t>
            </w:r>
          </w:p>
        </w:tc>
        <w:tc>
          <w:tcPr>
            <w:tcW w:type="dxa" w:w="831"/>
          </w:tcPr>
          <w:p>
            <w:pPr>
              <w:jc w:val="right"/>
            </w:pPr>
            <w:r>
              <w:rPr/>
              <w:t>12,000.00</w:t>
            </w:r>
          </w:p>
        </w:tc>
        <w:tc>
          <w:tcPr>
            <w:tcW w:type="dxa" w:w="831"/>
          </w:tcPr>
          <w:p>
            <w:pPr>
              <w:jc w:val="right"/>
            </w:pPr>
            <w:r>
              <w:rPr/>
              <w:t>360,000.00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Mini模块化智能机器人系统</w:t>
            </w:r>
          </w:p>
        </w:tc>
        <w:tc>
          <w:tcPr>
            <w:tcW w:type="dxa" w:w="831"/>
          </w:tcPr>
          <w:p>
            <w:pPr>
              <w:jc w:val="left"/>
            </w:pPr>
            <w:r>
              <w:rPr/>
              <w:t>套</w:t>
            </w:r>
          </w:p>
        </w:tc>
        <w:tc>
          <w:tcPr>
            <w:tcW w:type="dxa" w:w="831"/>
          </w:tcPr>
          <w:p>
            <w:pPr>
              <w:jc w:val="right"/>
            </w:pPr>
            <w:r>
              <w:rPr/>
              <w:t>25.00</w:t>
            </w:r>
          </w:p>
        </w:tc>
        <w:tc>
          <w:tcPr>
            <w:tcW w:type="dxa" w:w="831"/>
          </w:tcPr>
          <w:p>
            <w:pPr>
              <w:jc w:val="right"/>
            </w:pPr>
            <w:r>
              <w:rPr/>
              <w:t>36,000.00</w:t>
            </w:r>
          </w:p>
        </w:tc>
        <w:tc>
          <w:tcPr>
            <w:tcW w:type="dxa" w:w="831"/>
          </w:tcPr>
          <w:p>
            <w:pPr>
              <w:jc w:val="right"/>
            </w:pPr>
            <w:r>
              <w:rPr/>
              <w:t>900,000.00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其他专用仪器仪表</w:t>
            </w:r>
          </w:p>
        </w:tc>
        <w:tc>
          <w:tcPr>
            <w:tcW w:type="dxa" w:w="831"/>
          </w:tcPr>
          <w:p>
            <w:pPr>
              <w:jc w:val="left"/>
            </w:pPr>
            <w:r>
              <w:rPr/>
              <w:t>双机器人生产线实训平台</w:t>
            </w:r>
          </w:p>
        </w:tc>
        <w:tc>
          <w:tcPr>
            <w:tcW w:type="dxa" w:w="831"/>
          </w:tcPr>
          <w:p>
            <w:pPr>
              <w:jc w:val="left"/>
            </w:pPr>
            <w:r>
              <w:rPr/>
              <w:t>台</w:t>
            </w:r>
          </w:p>
        </w:tc>
        <w:tc>
          <w:tcPr>
            <w:tcW w:type="dxa" w:w="831"/>
          </w:tcPr>
          <w:p>
            <w:pPr>
              <w:jc w:val="right"/>
            </w:pPr>
            <w:r>
              <w:rPr/>
              <w:t>2.00</w:t>
            </w:r>
          </w:p>
        </w:tc>
        <w:tc>
          <w:tcPr>
            <w:tcW w:type="dxa" w:w="831"/>
          </w:tcPr>
          <w:p>
            <w:pPr>
              <w:jc w:val="right"/>
            </w:pPr>
            <w:r>
              <w:rPr/>
              <w:t>185,000.00</w:t>
            </w:r>
          </w:p>
        </w:tc>
        <w:tc>
          <w:tcPr>
            <w:tcW w:type="dxa" w:w="831"/>
          </w:tcPr>
          <w:p>
            <w:pPr>
              <w:jc w:val="right"/>
            </w:pPr>
            <w:r>
              <w:rPr/>
              <w:t>370,000.00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其他专用仪器仪表</w:t>
            </w:r>
          </w:p>
        </w:tc>
        <w:tc>
          <w:tcPr>
            <w:tcW w:type="dxa" w:w="831"/>
          </w:tcPr>
          <w:p>
            <w:pPr>
              <w:jc w:val="left"/>
            </w:pPr>
            <w:r>
              <w:rPr/>
              <w:t>多机器人协调控制平台</w:t>
            </w:r>
          </w:p>
        </w:tc>
        <w:tc>
          <w:tcPr>
            <w:tcW w:type="dxa" w:w="831"/>
          </w:tcPr>
          <w:p>
            <w:pPr>
              <w:jc w:val="left"/>
            </w:pPr>
            <w:r>
              <w:rPr/>
              <w:t>台</w:t>
            </w:r>
          </w:p>
        </w:tc>
        <w:tc>
          <w:tcPr>
            <w:tcW w:type="dxa" w:w="831"/>
          </w:tcPr>
          <w:p>
            <w:pPr>
              <w:jc w:val="right"/>
            </w:pPr>
            <w:r>
              <w:rPr/>
              <w:t>2.00</w:t>
            </w:r>
          </w:p>
        </w:tc>
        <w:tc>
          <w:tcPr>
            <w:tcW w:type="dxa" w:w="831"/>
          </w:tcPr>
          <w:p>
            <w:pPr>
              <w:jc w:val="right"/>
            </w:pPr>
            <w:r>
              <w:rPr/>
              <w:t>165,000.00</w:t>
            </w:r>
          </w:p>
        </w:tc>
        <w:tc>
          <w:tcPr>
            <w:tcW w:type="dxa" w:w="831"/>
          </w:tcPr>
          <w:p>
            <w:pPr>
              <w:jc w:val="right"/>
            </w:pPr>
            <w:r>
              <w:rPr/>
              <w:t>330,000.00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其他专用仪器仪表</w:t>
            </w:r>
          </w:p>
        </w:tc>
        <w:tc>
          <w:tcPr>
            <w:tcW w:type="dxa" w:w="831"/>
          </w:tcPr>
          <w:p>
            <w:pPr>
              <w:jc w:val="left"/>
            </w:pPr>
            <w:r>
              <w:rPr/>
              <w:t>工业机器人多功能实训工作站</w:t>
            </w:r>
          </w:p>
        </w:tc>
        <w:tc>
          <w:tcPr>
            <w:tcW w:type="dxa" w:w="831"/>
          </w:tcPr>
          <w:p>
            <w:pPr>
              <w:jc w:val="left"/>
            </w:pPr>
            <w:r>
              <w:rPr/>
              <w:t>台</w:t>
            </w:r>
          </w:p>
        </w:tc>
        <w:tc>
          <w:tcPr>
            <w:tcW w:type="dxa" w:w="831"/>
          </w:tcPr>
          <w:p>
            <w:pPr>
              <w:jc w:val="right"/>
            </w:pPr>
            <w:r>
              <w:rPr/>
              <w:t>1.00</w:t>
            </w:r>
          </w:p>
        </w:tc>
        <w:tc>
          <w:tcPr>
            <w:tcW w:type="dxa" w:w="831"/>
          </w:tcPr>
          <w:p>
            <w:pPr>
              <w:jc w:val="right"/>
            </w:pPr>
            <w:r>
              <w:rPr/>
              <w:t>185,000.00</w:t>
            </w:r>
          </w:p>
        </w:tc>
        <w:tc>
          <w:tcPr>
            <w:tcW w:type="dxa" w:w="831"/>
          </w:tcPr>
          <w:p>
            <w:pPr>
              <w:jc w:val="right"/>
            </w:pPr>
            <w:r>
              <w:rPr/>
              <w:t>185,000.00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其他专用仪器仪表</w:t>
            </w:r>
          </w:p>
        </w:tc>
        <w:tc>
          <w:tcPr>
            <w:tcW w:type="dxa" w:w="831"/>
          </w:tcPr>
          <w:p>
            <w:pPr>
              <w:jc w:val="left"/>
            </w:pPr>
            <w:r>
              <w:rPr/>
              <w:t>工业机器人多功能控制系统</w:t>
            </w:r>
          </w:p>
        </w:tc>
        <w:tc>
          <w:tcPr>
            <w:tcW w:type="dxa" w:w="831"/>
          </w:tcPr>
          <w:p>
            <w:pPr>
              <w:jc w:val="left"/>
            </w:pPr>
            <w:r>
              <w:rPr/>
              <w:t>套</w:t>
            </w:r>
          </w:p>
        </w:tc>
        <w:tc>
          <w:tcPr>
            <w:tcW w:type="dxa" w:w="831"/>
          </w:tcPr>
          <w:p>
            <w:pPr>
              <w:jc w:val="right"/>
            </w:pPr>
            <w:r>
              <w:rPr/>
              <w:t>1.00</w:t>
            </w:r>
          </w:p>
        </w:tc>
        <w:tc>
          <w:tcPr>
            <w:tcW w:type="dxa" w:w="831"/>
          </w:tcPr>
          <w:p>
            <w:pPr>
              <w:jc w:val="right"/>
            </w:pPr>
            <w:r>
              <w:rPr/>
              <w:t>165,000.00</w:t>
            </w:r>
          </w:p>
        </w:tc>
        <w:tc>
          <w:tcPr>
            <w:tcW w:type="dxa" w:w="831"/>
          </w:tcPr>
          <w:p>
            <w:pPr>
              <w:jc w:val="right"/>
            </w:pPr>
            <w:r>
              <w:rPr/>
              <w:t>165,000.00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其他专用仪器仪表</w:t>
            </w:r>
          </w:p>
        </w:tc>
        <w:tc>
          <w:tcPr>
            <w:tcW w:type="dxa" w:w="831"/>
          </w:tcPr>
          <w:p>
            <w:pPr>
              <w:jc w:val="left"/>
            </w:pPr>
            <w:r>
              <w:rPr/>
              <w:t>固晶机</w:t>
            </w:r>
          </w:p>
        </w:tc>
        <w:tc>
          <w:tcPr>
            <w:tcW w:type="dxa" w:w="831"/>
          </w:tcPr>
          <w:p>
            <w:pPr>
              <w:jc w:val="left"/>
            </w:pPr>
            <w:r>
              <w:rPr/>
              <w:t>台</w:t>
            </w:r>
          </w:p>
        </w:tc>
        <w:tc>
          <w:tcPr>
            <w:tcW w:type="dxa" w:w="831"/>
          </w:tcPr>
          <w:p>
            <w:pPr>
              <w:jc w:val="right"/>
            </w:pPr>
            <w:r>
              <w:rPr/>
              <w:t>1.00</w:t>
            </w:r>
          </w:p>
        </w:tc>
        <w:tc>
          <w:tcPr>
            <w:tcW w:type="dxa" w:w="831"/>
          </w:tcPr>
          <w:p>
            <w:pPr>
              <w:jc w:val="right"/>
            </w:pPr>
            <w:r>
              <w:rPr/>
              <w:t>150,000.00</w:t>
            </w:r>
          </w:p>
        </w:tc>
        <w:tc>
          <w:tcPr>
            <w:tcW w:type="dxa" w:w="831"/>
          </w:tcPr>
          <w:p>
            <w:pPr>
              <w:jc w:val="right"/>
            </w:pPr>
            <w:r>
              <w:rPr/>
              <w:t>150,000.00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其他专用仪器仪表</w:t>
            </w:r>
          </w:p>
        </w:tc>
        <w:tc>
          <w:tcPr>
            <w:tcW w:type="dxa" w:w="831"/>
          </w:tcPr>
          <w:p>
            <w:pPr>
              <w:jc w:val="left"/>
            </w:pPr>
            <w:r>
              <w:rPr/>
              <w:t>焊线机</w:t>
            </w:r>
          </w:p>
        </w:tc>
        <w:tc>
          <w:tcPr>
            <w:tcW w:type="dxa" w:w="831"/>
          </w:tcPr>
          <w:p>
            <w:pPr>
              <w:jc w:val="left"/>
            </w:pPr>
            <w:r>
              <w:rPr/>
              <w:t>台</w:t>
            </w:r>
          </w:p>
        </w:tc>
        <w:tc>
          <w:tcPr>
            <w:tcW w:type="dxa" w:w="831"/>
          </w:tcPr>
          <w:p>
            <w:pPr>
              <w:jc w:val="right"/>
            </w:pPr>
            <w:r>
              <w:rPr/>
              <w:t>1.00</w:t>
            </w:r>
          </w:p>
        </w:tc>
        <w:tc>
          <w:tcPr>
            <w:tcW w:type="dxa" w:w="831"/>
          </w:tcPr>
          <w:p>
            <w:pPr>
              <w:jc w:val="right"/>
            </w:pPr>
            <w:r>
              <w:rPr/>
              <w:t>195,000.00</w:t>
            </w:r>
          </w:p>
        </w:tc>
        <w:tc>
          <w:tcPr>
            <w:tcW w:type="dxa" w:w="831"/>
          </w:tcPr>
          <w:p>
            <w:pPr>
              <w:jc w:val="right"/>
            </w:pPr>
            <w:r>
              <w:rPr/>
              <w:t>195,000.00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其他专用仪器仪表</w:t>
            </w:r>
          </w:p>
        </w:tc>
        <w:tc>
          <w:tcPr>
            <w:tcW w:type="dxa" w:w="831"/>
          </w:tcPr>
          <w:p>
            <w:pPr>
              <w:jc w:val="left"/>
            </w:pPr>
            <w:r>
              <w:rPr/>
              <w:t>多媒体教学管理系统</w:t>
            </w:r>
          </w:p>
        </w:tc>
        <w:tc>
          <w:tcPr>
            <w:tcW w:type="dxa" w:w="831"/>
          </w:tcPr>
          <w:p>
            <w:pPr>
              <w:jc w:val="left"/>
            </w:pPr>
            <w:r>
              <w:rPr/>
              <w:t>套</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工业</w:t>
            </w:r>
          </w:p>
        </w:tc>
        <w:tc>
          <w:tcPr>
            <w:tcW w:type="dxa" w:w="831"/>
          </w:tcPr>
          <w:p>
            <w:r>
              <w:rPr/>
              <w:t>详见附表九</w:t>
            </w:r>
          </w:p>
        </w:tc>
      </w:tr>
    </w:tbl>
    <w:p/>
    <w:p>
      <w:r>
        <w:rPr>
          <w:b/>
        </w:rPr>
        <w:t>附表</w:t>
      </w:r>
      <w:r>
        <w:rPr>
          <w:b/>
        </w:rPr>
        <w:t>一</w:t>
      </w:r>
      <w:r>
        <w:rPr>
          <w:b/>
        </w:rPr>
        <w:t>：</w:t>
      </w:r>
      <w:r>
        <w:rPr>
          <w:b/>
        </w:rPr>
        <w:t>数控机床与机器人仿真与离线编程系统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正版软件基于Windows风格，不需基于第三方软件，中文界面；软件数据接口：支持sgf、5dc等格式的模型文件；软件具有“清除碎片”功能，清除模拟结束后的碎片，能更直观地体现加工结果；软件具有“自动产生避让线”功能；</w:t>
            </w:r>
          </w:p>
        </w:tc>
      </w:tr>
      <w:tr>
        <w:tc>
          <w:tcPr>
            <w:tcW w:type="dxa" w:w="2076"/>
          </w:tcPr>
          <w:p/>
        </w:tc>
        <w:tc>
          <w:tcPr>
            <w:tcW w:type="dxa" w:w="415"/>
          </w:tcPr>
          <w:p>
            <w:r>
              <w:rPr/>
              <w:t>2</w:t>
            </w:r>
          </w:p>
        </w:tc>
        <w:tc>
          <w:tcPr>
            <w:tcW w:type="dxa" w:w="5814"/>
          </w:tcPr>
          <w:p>
            <w:r>
              <w:rPr/>
              <w:t>软件能导入三维模型，通过不同的策略自动规划运行轨迹和机器人姿态，输出代码给机器人直接加工；</w:t>
            </w:r>
          </w:p>
        </w:tc>
      </w:tr>
      <w:tr>
        <w:tc>
          <w:tcPr>
            <w:tcW w:type="dxa" w:w="2076"/>
          </w:tcPr>
          <w:p/>
        </w:tc>
        <w:tc>
          <w:tcPr>
            <w:tcW w:type="dxa" w:w="415"/>
          </w:tcPr>
          <w:p>
            <w:r>
              <w:rPr/>
              <w:t>3</w:t>
            </w:r>
          </w:p>
        </w:tc>
        <w:tc>
          <w:tcPr>
            <w:tcW w:type="dxa" w:w="5814"/>
          </w:tcPr>
          <w:p>
            <w:r>
              <w:rPr/>
              <w:t>需要能直接选择≥6轴机器人进行轨迹规划编程，能对外部附加轴进行编程，能额外控制≥3个直线轴、≥3个旋转轴；</w:t>
            </w:r>
          </w:p>
        </w:tc>
      </w:tr>
      <w:tr>
        <w:tc>
          <w:tcPr>
            <w:tcW w:type="dxa" w:w="2076"/>
          </w:tcPr>
          <w:p>
            <w:r>
              <w:rPr/>
              <w:t>▲</w:t>
            </w:r>
          </w:p>
        </w:tc>
        <w:tc>
          <w:tcPr>
            <w:tcW w:type="dxa" w:w="415"/>
          </w:tcPr>
          <w:p>
            <w:r>
              <w:rPr/>
              <w:t>4</w:t>
            </w:r>
          </w:p>
        </w:tc>
        <w:tc>
          <w:tcPr>
            <w:tcW w:type="dxa" w:w="5814"/>
          </w:tcPr>
          <w:p>
            <w:r>
              <w:rPr/>
              <w:t>软件能同时联动优化≥12轴：≥6轴机器人+≥3个直线轴+≥3个旋转轴（需提供图片并加盖投标人公章）；</w:t>
            </w:r>
          </w:p>
        </w:tc>
      </w:tr>
      <w:tr>
        <w:tc>
          <w:tcPr>
            <w:tcW w:type="dxa" w:w="2076"/>
          </w:tcPr>
          <w:p/>
        </w:tc>
        <w:tc>
          <w:tcPr>
            <w:tcW w:type="dxa" w:w="415"/>
          </w:tcPr>
          <w:p>
            <w:r>
              <w:rPr/>
              <w:t>5</w:t>
            </w:r>
          </w:p>
        </w:tc>
        <w:tc>
          <w:tcPr>
            <w:tcW w:type="dxa" w:w="5814"/>
          </w:tcPr>
          <w:p>
            <w:r>
              <w:rPr/>
              <w:t>支持多个工业机器人多通道联动加工；</w:t>
            </w:r>
          </w:p>
        </w:tc>
      </w:tr>
      <w:tr>
        <w:tc>
          <w:tcPr>
            <w:tcW w:type="dxa" w:w="2076"/>
          </w:tcPr>
          <w:p/>
        </w:tc>
        <w:tc>
          <w:tcPr>
            <w:tcW w:type="dxa" w:w="415"/>
          </w:tcPr>
          <w:p>
            <w:r>
              <w:rPr/>
              <w:t>6</w:t>
            </w:r>
          </w:p>
        </w:tc>
        <w:tc>
          <w:tcPr>
            <w:tcW w:type="dxa" w:w="5814"/>
          </w:tcPr>
          <w:p>
            <w:r>
              <w:rPr/>
              <w:t>软件具备多轴数控设备的刀路计算功能，包括：2轴、3轴、4轴、5轴联动、车铣复合、多工位机床；</w:t>
            </w:r>
          </w:p>
        </w:tc>
      </w:tr>
      <w:tr>
        <w:tc>
          <w:tcPr>
            <w:tcW w:type="dxa" w:w="2076"/>
          </w:tcPr>
          <w:p/>
        </w:tc>
        <w:tc>
          <w:tcPr>
            <w:tcW w:type="dxa" w:w="415"/>
          </w:tcPr>
          <w:p>
            <w:r>
              <w:rPr/>
              <w:t>7</w:t>
            </w:r>
          </w:p>
        </w:tc>
        <w:tc>
          <w:tcPr>
            <w:tcW w:type="dxa" w:w="5814"/>
          </w:tcPr>
          <w:p>
            <w:r>
              <w:rPr/>
              <w:t>软件具备机器人和多轴数控设备在同一个平台编程、仿真的功能；</w:t>
            </w:r>
          </w:p>
        </w:tc>
      </w:tr>
      <w:tr>
        <w:tc>
          <w:tcPr>
            <w:tcW w:type="dxa" w:w="2076"/>
          </w:tcPr>
          <w:p/>
        </w:tc>
        <w:tc>
          <w:tcPr>
            <w:tcW w:type="dxa" w:w="415"/>
          </w:tcPr>
          <w:p>
            <w:r>
              <w:rPr/>
              <w:t>8</w:t>
            </w:r>
          </w:p>
        </w:tc>
        <w:tc>
          <w:tcPr>
            <w:tcW w:type="dxa" w:w="5814"/>
          </w:tcPr>
          <w:p>
            <w:r>
              <w:rPr/>
              <w:t>针对雕刻、切割、3D打印、喷涂、淬火、锯切、焊接等不同行业，提供专用的工艺包，可设置专业的工艺参数和轨迹规划方法；</w:t>
            </w:r>
          </w:p>
        </w:tc>
      </w:tr>
      <w:tr>
        <w:tc>
          <w:tcPr>
            <w:tcW w:type="dxa" w:w="2076"/>
          </w:tcPr>
          <w:p/>
        </w:tc>
        <w:tc>
          <w:tcPr>
            <w:tcW w:type="dxa" w:w="415"/>
          </w:tcPr>
          <w:p>
            <w:r>
              <w:rPr/>
              <w:t>9</w:t>
            </w:r>
          </w:p>
        </w:tc>
        <w:tc>
          <w:tcPr>
            <w:tcW w:type="dxa" w:w="5814"/>
          </w:tcPr>
          <w:p>
            <w:r>
              <w:rPr/>
              <w:t>软件可以识别stl扫描数据文件，直接用于刀具路径的产生；</w:t>
            </w:r>
          </w:p>
        </w:tc>
      </w:tr>
      <w:tr>
        <w:tc>
          <w:tcPr>
            <w:tcW w:type="dxa" w:w="2076"/>
          </w:tcPr>
          <w:p>
            <w:r>
              <w:rPr/>
              <w:t>▲</w:t>
            </w:r>
          </w:p>
        </w:tc>
        <w:tc>
          <w:tcPr>
            <w:tcW w:type="dxa" w:w="415"/>
          </w:tcPr>
          <w:p>
            <w:r>
              <w:rPr/>
              <w:t>10</w:t>
            </w:r>
          </w:p>
        </w:tc>
        <w:tc>
          <w:tcPr>
            <w:tcW w:type="dxa" w:w="5814"/>
          </w:tcPr>
          <w:p>
            <w:r>
              <w:rPr/>
              <w:t>软件具有如下加工策略：两曲线间流线加工、螺旋状加工、3D等距精加工、5轴曲面加工等；</w:t>
            </w:r>
          </w:p>
        </w:tc>
      </w:tr>
      <w:tr>
        <w:tc>
          <w:tcPr>
            <w:tcW w:type="dxa" w:w="2076"/>
          </w:tcPr>
          <w:p/>
        </w:tc>
        <w:tc>
          <w:tcPr>
            <w:tcW w:type="dxa" w:w="415"/>
          </w:tcPr>
          <w:p>
            <w:r>
              <w:rPr/>
              <w:t>11</w:t>
            </w:r>
          </w:p>
        </w:tc>
        <w:tc>
          <w:tcPr>
            <w:tcW w:type="dxa" w:w="5814"/>
          </w:tcPr>
          <w:p>
            <w:r>
              <w:rPr/>
              <w:t>软件具备基于毛坯加工的功能。可以定义圆柱体、环状、铸件等毛坯形状，系统自动计算只在有毛坯的地方产生刀路，减少空刀，提高加工效率；</w:t>
            </w:r>
          </w:p>
        </w:tc>
      </w:tr>
      <w:tr>
        <w:tc>
          <w:tcPr>
            <w:tcW w:type="dxa" w:w="2076"/>
          </w:tcPr>
          <w:p/>
        </w:tc>
        <w:tc>
          <w:tcPr>
            <w:tcW w:type="dxa" w:w="415"/>
          </w:tcPr>
          <w:p>
            <w:r>
              <w:rPr/>
              <w:t>12</w:t>
            </w:r>
          </w:p>
        </w:tc>
        <w:tc>
          <w:tcPr>
            <w:tcW w:type="dxa" w:w="5814"/>
          </w:tcPr>
          <w:p>
            <w:r>
              <w:rPr/>
              <w:t>软件不需要导入外部刀路文件即可完成机器人立体雕刻等复杂应用；</w:t>
            </w:r>
          </w:p>
        </w:tc>
      </w:tr>
      <w:tr>
        <w:tc>
          <w:tcPr>
            <w:tcW w:type="dxa" w:w="2076"/>
          </w:tcPr>
          <w:p/>
        </w:tc>
        <w:tc>
          <w:tcPr>
            <w:tcW w:type="dxa" w:w="415"/>
          </w:tcPr>
          <w:p>
            <w:r>
              <w:rPr/>
              <w:t>13</w:t>
            </w:r>
          </w:p>
        </w:tc>
        <w:tc>
          <w:tcPr>
            <w:tcW w:type="dxa" w:w="5814"/>
          </w:tcPr>
          <w:p>
            <w:r>
              <w:rPr/>
              <w:t>软件不需要导入外部刀路文件即可完成切片分层、机器人3D打印等复杂应用；</w:t>
            </w:r>
          </w:p>
        </w:tc>
      </w:tr>
      <w:tr>
        <w:tc>
          <w:tcPr>
            <w:tcW w:type="dxa" w:w="2076"/>
          </w:tcPr>
          <w:p/>
        </w:tc>
        <w:tc>
          <w:tcPr>
            <w:tcW w:type="dxa" w:w="415"/>
          </w:tcPr>
          <w:p>
            <w:r>
              <w:rPr/>
              <w:t>14</w:t>
            </w:r>
          </w:p>
        </w:tc>
        <w:tc>
          <w:tcPr>
            <w:tcW w:type="dxa" w:w="5814"/>
          </w:tcPr>
          <w:p>
            <w:r>
              <w:rPr/>
              <w:t>软件能导出模拟加工后的仿真结果，作为下一工序的毛坯使用；</w:t>
            </w:r>
          </w:p>
        </w:tc>
      </w:tr>
      <w:tr>
        <w:tc>
          <w:tcPr>
            <w:tcW w:type="dxa" w:w="2076"/>
          </w:tcPr>
          <w:p/>
        </w:tc>
        <w:tc>
          <w:tcPr>
            <w:tcW w:type="dxa" w:w="415"/>
          </w:tcPr>
          <w:p>
            <w:r>
              <w:rPr/>
              <w:t>15</w:t>
            </w:r>
          </w:p>
        </w:tc>
        <w:tc>
          <w:tcPr>
            <w:tcW w:type="dxa" w:w="5814"/>
          </w:tcPr>
          <w:p>
            <w:r>
              <w:rPr/>
              <w:t>软件包含运动轨迹综合评估界面，可以在一个窗口中检查制定的工艺路径是否有碰撞，奇异点、超行程、不可达等问题；</w:t>
            </w:r>
          </w:p>
        </w:tc>
      </w:tr>
      <w:tr>
        <w:tc>
          <w:tcPr>
            <w:tcW w:type="dxa" w:w="2076"/>
          </w:tcPr>
          <w:p/>
        </w:tc>
        <w:tc>
          <w:tcPr>
            <w:tcW w:type="dxa" w:w="415"/>
          </w:tcPr>
          <w:p>
            <w:r>
              <w:rPr/>
              <w:t>16</w:t>
            </w:r>
          </w:p>
        </w:tc>
        <w:tc>
          <w:tcPr>
            <w:tcW w:type="dxa" w:w="5814"/>
          </w:tcPr>
          <w:p>
            <w:r>
              <w:rPr/>
              <w:t>在运动轨迹综合评估界面窗口中，能在调整的同时看到机器人实时的变化，做到所见即所得；</w:t>
            </w:r>
          </w:p>
        </w:tc>
      </w:tr>
      <w:tr>
        <w:tc>
          <w:tcPr>
            <w:tcW w:type="dxa" w:w="2076"/>
          </w:tcPr>
          <w:p>
            <w:r>
              <w:rPr/>
              <w:t>▲</w:t>
            </w:r>
          </w:p>
        </w:tc>
        <w:tc>
          <w:tcPr>
            <w:tcW w:type="dxa" w:w="415"/>
          </w:tcPr>
          <w:p>
            <w:r>
              <w:rPr/>
              <w:t>17</w:t>
            </w:r>
          </w:p>
        </w:tc>
        <w:tc>
          <w:tcPr>
            <w:tcW w:type="dxa" w:w="5814"/>
          </w:tcPr>
          <w:p>
            <w:r>
              <w:rPr/>
              <w:t>在运动轨迹综合评估界面窗口中，能识别碰撞区域并自动优化（需提供图片并加盖投标人公章）；</w:t>
            </w:r>
          </w:p>
        </w:tc>
      </w:tr>
      <w:tr>
        <w:tc>
          <w:tcPr>
            <w:tcW w:type="dxa" w:w="2076"/>
          </w:tcPr>
          <w:p/>
        </w:tc>
        <w:tc>
          <w:tcPr>
            <w:tcW w:type="dxa" w:w="415"/>
          </w:tcPr>
          <w:p>
            <w:r>
              <w:rPr/>
              <w:t>18</w:t>
            </w:r>
          </w:p>
        </w:tc>
        <w:tc>
          <w:tcPr>
            <w:tcW w:type="dxa" w:w="5814"/>
          </w:tcPr>
          <w:p>
            <w:r>
              <w:rPr/>
              <w:t>软件需要具备仿真模拟校验工具，提供机器人运动仿真功能：仿真模拟不仅可以真实地体现实际加工的状况，在工艺上如果存在不合理时可以进行有效的报警，在仿真结果上，还可以进行测量与加工结果的校验；</w:t>
            </w:r>
          </w:p>
        </w:tc>
      </w:tr>
      <w:tr>
        <w:tc>
          <w:tcPr>
            <w:tcW w:type="dxa" w:w="2076"/>
          </w:tcPr>
          <w:p/>
        </w:tc>
        <w:tc>
          <w:tcPr>
            <w:tcW w:type="dxa" w:w="415"/>
          </w:tcPr>
          <w:p>
            <w:r>
              <w:rPr/>
              <w:t>19</w:t>
            </w:r>
          </w:p>
        </w:tc>
        <w:tc>
          <w:tcPr>
            <w:tcW w:type="dxa" w:w="5814"/>
          </w:tcPr>
          <w:p>
            <w:r>
              <w:rPr/>
              <w:t>软件支持KUKA、FANUC、安川、ABB、Staubli、Nachi、Reis、川崎、三菱、松下、现代、Comau、EPSON、Denso、OTC、Toshiba、Everobot、UR、埃斯顿、广州数控、国机、三扬、启帆、钱江、欢颜、新松、图灵、新时达、遨博、伯朗特、配天、衡邦埃克森特、科佩克、达野、智诚、卡佩克、埃夫特、Elite、Sooyee、KEBA、卡诺普、纳博特、研华宝元、英威腾、固高、华成工控等主流机器人/控制器；</w:t>
            </w:r>
          </w:p>
        </w:tc>
      </w:tr>
      <w:tr>
        <w:tc>
          <w:tcPr>
            <w:tcW w:type="dxa" w:w="2076"/>
          </w:tcPr>
          <w:p/>
        </w:tc>
        <w:tc>
          <w:tcPr>
            <w:tcW w:type="dxa" w:w="415"/>
          </w:tcPr>
          <w:p>
            <w:r>
              <w:rPr/>
              <w:t>20</w:t>
            </w:r>
          </w:p>
        </w:tc>
        <w:tc>
          <w:tcPr>
            <w:tcW w:type="dxa" w:w="5814"/>
          </w:tcPr>
          <w:p>
            <w:r>
              <w:rPr/>
              <w:t>软件不仅能生成与机器人相匹配的后置处理文件，而且将来再添加设备或外协时可根据需要定制新的后置处理文件；</w:t>
            </w:r>
          </w:p>
        </w:tc>
      </w:tr>
      <w:tr>
        <w:tc>
          <w:tcPr>
            <w:tcW w:type="dxa" w:w="2076"/>
          </w:tcPr>
          <w:p/>
        </w:tc>
        <w:tc>
          <w:tcPr>
            <w:tcW w:type="dxa" w:w="415"/>
          </w:tcPr>
          <w:p>
            <w:r>
              <w:rPr/>
              <w:t>21</w:t>
            </w:r>
          </w:p>
        </w:tc>
        <w:tc>
          <w:tcPr>
            <w:tcW w:type="dxa" w:w="5814"/>
          </w:tcPr>
          <w:p>
            <w:r>
              <w:rPr/>
              <w:t>软件具有实际工作站与虚拟工作站快速匹配的功能。</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Mini模块化智能机器人系统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模块化：支持完全可重构，可快速拼装和拆解模块，每个模块都是独立的机电控系统；模块运动模式：≥3种，实现包括摆转（转动轴与关节连杆相交垂直）与回转（转动轴与关节连杆同心平行）；提供样本构型控制方式：≥30种；轮式构型至少包含：2轮橡胶轮、3轮全向轮、正交4轮、平行4轮（橡胶轮）与平行四轮（麦克纳姆轮）；移动平台模块：配备激光雷达，配备激光导航与slam例程；</w:t>
            </w:r>
          </w:p>
        </w:tc>
      </w:tr>
      <w:tr>
        <w:tc>
          <w:tcPr>
            <w:tcW w:type="dxa" w:w="2076"/>
          </w:tcPr>
          <w:p/>
        </w:tc>
        <w:tc>
          <w:tcPr>
            <w:tcW w:type="dxa" w:w="415"/>
          </w:tcPr>
          <w:p>
            <w:r>
              <w:rPr/>
              <w:t>2</w:t>
            </w:r>
          </w:p>
        </w:tc>
        <w:tc>
          <w:tcPr>
            <w:tcW w:type="dxa" w:w="5814"/>
          </w:tcPr>
          <w:p>
            <w:r>
              <w:rPr/>
              <w:t>提供样本构型的搭建与运动实验，包括①5自由度操作臂、②四足机器人、③双足机器人、④四轮移动操作机器人（麦克拉姆轮）、⑤仿生蛇形机器人。（须提供现场功能演示）</w:t>
            </w:r>
          </w:p>
        </w:tc>
      </w:tr>
      <w:tr>
        <w:tc>
          <w:tcPr>
            <w:tcW w:type="dxa" w:w="2076"/>
          </w:tcPr>
          <w:p/>
        </w:tc>
        <w:tc>
          <w:tcPr>
            <w:tcW w:type="dxa" w:w="415"/>
          </w:tcPr>
          <w:p>
            <w:r>
              <w:rPr/>
              <w:t>3</w:t>
            </w:r>
          </w:p>
        </w:tc>
        <w:tc>
          <w:tcPr>
            <w:tcW w:type="dxa" w:w="5814"/>
          </w:tcPr>
          <w:p>
            <w:r>
              <w:rPr/>
              <w:t>提供机器人与智能传感结合的应用实验视频：①提供机器人自主导航实验的视频，展示RIVZ仿真与实际运行；②提供机器人与视觉摄像头配合动态抓取实验的视频；③提供机器人与手势识别传感器结合实验的视频（须提供现场功能演示）。</w:t>
            </w:r>
          </w:p>
        </w:tc>
      </w:tr>
      <w:tr>
        <w:tc>
          <w:tcPr>
            <w:tcW w:type="dxa" w:w="2076"/>
          </w:tcPr>
          <w:p>
            <w:r>
              <w:rPr/>
              <w:t>▲</w:t>
            </w:r>
          </w:p>
        </w:tc>
        <w:tc>
          <w:tcPr>
            <w:tcW w:type="dxa" w:w="415"/>
          </w:tcPr>
          <w:p>
            <w:r>
              <w:rPr/>
              <w:t>4</w:t>
            </w:r>
          </w:p>
        </w:tc>
        <w:tc>
          <w:tcPr>
            <w:tcW w:type="dxa" w:w="5814"/>
          </w:tcPr>
          <w:p>
            <w:r>
              <w:rPr/>
              <w:t>模块接口：统一的机械与电器接口，具有防脱设计（需提供图片并加盖投标人公章）；</w:t>
            </w:r>
          </w:p>
        </w:tc>
      </w:tr>
      <w:tr>
        <w:tc>
          <w:tcPr>
            <w:tcW w:type="dxa" w:w="2076"/>
          </w:tcPr>
          <w:p/>
        </w:tc>
        <w:tc>
          <w:tcPr>
            <w:tcW w:type="dxa" w:w="415"/>
          </w:tcPr>
          <w:p>
            <w:r>
              <w:rPr/>
              <w:t>5</w:t>
            </w:r>
          </w:p>
        </w:tc>
        <w:tc>
          <w:tcPr>
            <w:tcW w:type="dxa" w:w="5814"/>
          </w:tcPr>
          <w:p>
            <w:r>
              <w:rPr/>
              <w:t>自由度：可根据用户需要设定；</w:t>
            </w:r>
          </w:p>
        </w:tc>
      </w:tr>
      <w:tr>
        <w:tc>
          <w:tcPr>
            <w:tcW w:type="dxa" w:w="2076"/>
          </w:tcPr>
          <w:p>
            <w:r>
              <w:rPr/>
              <w:t>▲</w:t>
            </w:r>
          </w:p>
        </w:tc>
        <w:tc>
          <w:tcPr>
            <w:tcW w:type="dxa" w:w="415"/>
          </w:tcPr>
          <w:p>
            <w:r>
              <w:rPr/>
              <w:t>6</w:t>
            </w:r>
          </w:p>
        </w:tc>
        <w:tc>
          <w:tcPr>
            <w:tcW w:type="dxa" w:w="5814"/>
          </w:tcPr>
          <w:p>
            <w:r>
              <w:rPr/>
              <w:t>移动机器人驱动：采用回转模块进行驱动（需提供图片并加盖投标人公章）；</w:t>
            </w:r>
          </w:p>
        </w:tc>
      </w:tr>
      <w:tr>
        <w:tc>
          <w:tcPr>
            <w:tcW w:type="dxa" w:w="2076"/>
          </w:tcPr>
          <w:p/>
        </w:tc>
        <w:tc>
          <w:tcPr>
            <w:tcW w:type="dxa" w:w="415"/>
          </w:tcPr>
          <w:p>
            <w:r>
              <w:rPr/>
              <w:t>7</w:t>
            </w:r>
          </w:p>
        </w:tc>
        <w:tc>
          <w:tcPr>
            <w:tcW w:type="dxa" w:w="5814"/>
          </w:tcPr>
          <w:p>
            <w:r>
              <w:rPr/>
              <w:t>模块反馈数据类型：电流、电压、温度、角度；</w:t>
            </w:r>
          </w:p>
        </w:tc>
      </w:tr>
      <w:tr>
        <w:tc>
          <w:tcPr>
            <w:tcW w:type="dxa" w:w="2076"/>
          </w:tcPr>
          <w:p/>
        </w:tc>
        <w:tc>
          <w:tcPr>
            <w:tcW w:type="dxa" w:w="415"/>
          </w:tcPr>
          <w:p>
            <w:r>
              <w:rPr/>
              <w:t>8</w:t>
            </w:r>
          </w:p>
        </w:tc>
        <w:tc>
          <w:tcPr>
            <w:tcW w:type="dxa" w:w="5814"/>
          </w:tcPr>
          <w:p>
            <w:r>
              <w:rPr/>
              <w:t>模块运行模式：≥3种；</w:t>
            </w:r>
          </w:p>
        </w:tc>
      </w:tr>
      <w:tr>
        <w:tc>
          <w:tcPr>
            <w:tcW w:type="dxa" w:w="2076"/>
          </w:tcPr>
          <w:p/>
        </w:tc>
        <w:tc>
          <w:tcPr>
            <w:tcW w:type="dxa" w:w="415"/>
          </w:tcPr>
          <w:p>
            <w:r>
              <w:rPr/>
              <w:t>9</w:t>
            </w:r>
          </w:p>
        </w:tc>
        <w:tc>
          <w:tcPr>
            <w:tcW w:type="dxa" w:w="5814"/>
          </w:tcPr>
          <w:p>
            <w:r>
              <w:rPr/>
              <w:t>轻量化：每个关节模块重量≤0.15kg；</w:t>
            </w:r>
          </w:p>
        </w:tc>
      </w:tr>
      <w:tr>
        <w:tc>
          <w:tcPr>
            <w:tcW w:type="dxa" w:w="2076"/>
          </w:tcPr>
          <w:p/>
        </w:tc>
        <w:tc>
          <w:tcPr>
            <w:tcW w:type="dxa" w:w="415"/>
          </w:tcPr>
          <w:p>
            <w:r>
              <w:rPr/>
              <w:t>10</w:t>
            </w:r>
          </w:p>
        </w:tc>
        <w:tc>
          <w:tcPr>
            <w:tcW w:type="dxa" w:w="5814"/>
          </w:tcPr>
          <w:p>
            <w:r>
              <w:rPr/>
              <w:t>走线要求：机器人本体所有导线内走线，不外露（需提供图片并加盖投标人公章）；</w:t>
            </w:r>
          </w:p>
        </w:tc>
      </w:tr>
      <w:tr>
        <w:tc>
          <w:tcPr>
            <w:tcW w:type="dxa" w:w="2076"/>
          </w:tcPr>
          <w:p/>
        </w:tc>
        <w:tc>
          <w:tcPr>
            <w:tcW w:type="dxa" w:w="415"/>
          </w:tcPr>
          <w:p>
            <w:r>
              <w:rPr/>
              <w:t>11</w:t>
            </w:r>
          </w:p>
        </w:tc>
        <w:tc>
          <w:tcPr>
            <w:tcW w:type="dxa" w:w="5814"/>
          </w:tcPr>
          <w:p>
            <w:r>
              <w:rPr/>
              <w:t>模块组装时间：≤5秒，不需外部固定件；</w:t>
            </w:r>
          </w:p>
        </w:tc>
      </w:tr>
      <w:tr>
        <w:tc>
          <w:tcPr>
            <w:tcW w:type="dxa" w:w="2076"/>
          </w:tcPr>
          <w:p/>
        </w:tc>
        <w:tc>
          <w:tcPr>
            <w:tcW w:type="dxa" w:w="415"/>
          </w:tcPr>
          <w:p>
            <w:r>
              <w:rPr/>
              <w:t>12</w:t>
            </w:r>
          </w:p>
        </w:tc>
        <w:tc>
          <w:tcPr>
            <w:tcW w:type="dxa" w:w="5814"/>
          </w:tcPr>
          <w:p>
            <w:r>
              <w:rPr/>
              <w:t>控制器：配备独立机器人控制器，不需额外配备控制器使用；</w:t>
            </w:r>
          </w:p>
        </w:tc>
      </w:tr>
      <w:tr>
        <w:tc>
          <w:tcPr>
            <w:tcW w:type="dxa" w:w="2076"/>
          </w:tcPr>
          <w:p/>
        </w:tc>
        <w:tc>
          <w:tcPr>
            <w:tcW w:type="dxa" w:w="415"/>
          </w:tcPr>
          <w:p>
            <w:r>
              <w:rPr/>
              <w:t>13</w:t>
            </w:r>
          </w:p>
        </w:tc>
        <w:tc>
          <w:tcPr>
            <w:tcW w:type="dxa" w:w="5814"/>
          </w:tcPr>
          <w:p>
            <w:r>
              <w:rPr/>
              <w:t>运动范围：摆转关节模块≥±90°，摆转关节模块可实现整周无限转动，可实现速度和位置控制；</w:t>
            </w:r>
          </w:p>
        </w:tc>
      </w:tr>
      <w:tr>
        <w:tc>
          <w:tcPr>
            <w:tcW w:type="dxa" w:w="2076"/>
          </w:tcPr>
          <w:p/>
        </w:tc>
        <w:tc>
          <w:tcPr>
            <w:tcW w:type="dxa" w:w="415"/>
          </w:tcPr>
          <w:p>
            <w:r>
              <w:rPr/>
              <w:t>14</w:t>
            </w:r>
          </w:p>
        </w:tc>
        <w:tc>
          <w:tcPr>
            <w:tcW w:type="dxa" w:w="5814"/>
          </w:tcPr>
          <w:p>
            <w:r>
              <w:rPr/>
              <w:t>编程语言：包含C/C++、C#、JAVA、MATLAB、ROS、Python，并有配套≥30个demo案例程序；</w:t>
            </w:r>
          </w:p>
        </w:tc>
      </w:tr>
      <w:tr>
        <w:tc>
          <w:tcPr>
            <w:tcW w:type="dxa" w:w="2076"/>
          </w:tcPr>
          <w:p/>
        </w:tc>
        <w:tc>
          <w:tcPr>
            <w:tcW w:type="dxa" w:w="415"/>
          </w:tcPr>
          <w:p>
            <w:r>
              <w:rPr/>
              <w:t>15</w:t>
            </w:r>
          </w:p>
        </w:tc>
        <w:tc>
          <w:tcPr>
            <w:tcW w:type="dxa" w:w="5814"/>
          </w:tcPr>
          <w:p>
            <w:r>
              <w:rPr/>
              <w:t>API：≥20个API的二次开发函数库；</w:t>
            </w:r>
          </w:p>
        </w:tc>
      </w:tr>
      <w:tr>
        <w:tc>
          <w:tcPr>
            <w:tcW w:type="dxa" w:w="2076"/>
          </w:tcPr>
          <w:p/>
        </w:tc>
        <w:tc>
          <w:tcPr>
            <w:tcW w:type="dxa" w:w="415"/>
          </w:tcPr>
          <w:p>
            <w:r>
              <w:rPr/>
              <w:t>16</w:t>
            </w:r>
          </w:p>
        </w:tc>
        <w:tc>
          <w:tcPr>
            <w:tcW w:type="dxa" w:w="5814"/>
          </w:tcPr>
          <w:p>
            <w:r>
              <w:rPr/>
              <w:t>支持开发平台：ROS/windows；</w:t>
            </w:r>
          </w:p>
        </w:tc>
      </w:tr>
      <w:tr>
        <w:tc>
          <w:tcPr>
            <w:tcW w:type="dxa" w:w="2076"/>
          </w:tcPr>
          <w:p/>
        </w:tc>
        <w:tc>
          <w:tcPr>
            <w:tcW w:type="dxa" w:w="415"/>
          </w:tcPr>
          <w:p>
            <w:r>
              <w:rPr/>
              <w:t>17</w:t>
            </w:r>
          </w:p>
        </w:tc>
        <w:tc>
          <w:tcPr>
            <w:tcW w:type="dxa" w:w="5814"/>
          </w:tcPr>
          <w:p>
            <w:r>
              <w:rPr/>
              <w:t>传感器：配备≥30种传感器与配套应用Demo，包括视觉、语音以及手势识别等传感器；</w:t>
            </w:r>
          </w:p>
        </w:tc>
      </w:tr>
      <w:tr>
        <w:tc>
          <w:tcPr>
            <w:tcW w:type="dxa" w:w="2076"/>
          </w:tcPr>
          <w:p/>
        </w:tc>
        <w:tc>
          <w:tcPr>
            <w:tcW w:type="dxa" w:w="415"/>
          </w:tcPr>
          <w:p>
            <w:r>
              <w:rPr/>
              <w:t>18</w:t>
            </w:r>
          </w:p>
        </w:tc>
        <w:tc>
          <w:tcPr>
            <w:tcW w:type="dxa" w:w="5814"/>
          </w:tcPr>
          <w:p>
            <w:r>
              <w:rPr/>
              <w:t>通讯协议：支持串口通讯、WIFI通讯协议；</w:t>
            </w:r>
          </w:p>
        </w:tc>
      </w:tr>
      <w:tr>
        <w:tc>
          <w:tcPr>
            <w:tcW w:type="dxa" w:w="2076"/>
          </w:tcPr>
          <w:p/>
        </w:tc>
        <w:tc>
          <w:tcPr>
            <w:tcW w:type="dxa" w:w="415"/>
          </w:tcPr>
          <w:p>
            <w:r>
              <w:rPr/>
              <w:t>19</w:t>
            </w:r>
          </w:p>
        </w:tc>
        <w:tc>
          <w:tcPr>
            <w:tcW w:type="dxa" w:w="5814"/>
          </w:tcPr>
          <w:p>
            <w:r>
              <w:rPr/>
              <w:t>电池：不少于3种控制模块，包括：1#控制模块：≥8.4v/1500mAH；2#控制模块：≥8.4v/2.5AH；3#控制模块：≥8.4v/7.5AH。</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双机器人生产线实训平台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配备机器人：SCARA和Delta机器人；</w:t>
            </w:r>
          </w:p>
        </w:tc>
      </w:tr>
      <w:tr>
        <w:tc>
          <w:tcPr>
            <w:tcW w:type="dxa" w:w="2076"/>
          </w:tcPr>
          <w:p/>
        </w:tc>
        <w:tc>
          <w:tcPr>
            <w:tcW w:type="dxa" w:w="415"/>
          </w:tcPr>
          <w:p>
            <w:r>
              <w:rPr/>
              <w:t>2</w:t>
            </w:r>
          </w:p>
        </w:tc>
        <w:tc>
          <w:tcPr>
            <w:tcW w:type="dxa" w:w="5814"/>
          </w:tcPr>
          <w:p>
            <w:r>
              <w:rPr/>
              <w:t>机器人数量：SCARA机器人1台，Delta机器人1台；</w:t>
            </w:r>
          </w:p>
        </w:tc>
      </w:tr>
      <w:tr>
        <w:tc>
          <w:tcPr>
            <w:tcW w:type="dxa" w:w="2076"/>
          </w:tcPr>
          <w:p/>
        </w:tc>
        <w:tc>
          <w:tcPr>
            <w:tcW w:type="dxa" w:w="415"/>
          </w:tcPr>
          <w:p>
            <w:r>
              <w:rPr/>
              <w:t>3</w:t>
            </w:r>
          </w:p>
        </w:tc>
        <w:tc>
          <w:tcPr>
            <w:tcW w:type="dxa" w:w="5814"/>
          </w:tcPr>
          <w:p>
            <w:r>
              <w:rPr/>
              <w:t>送料方式：振动料盘，传送带；</w:t>
            </w:r>
          </w:p>
        </w:tc>
      </w:tr>
      <w:tr>
        <w:tc>
          <w:tcPr>
            <w:tcW w:type="dxa" w:w="2076"/>
          </w:tcPr>
          <w:p/>
        </w:tc>
        <w:tc>
          <w:tcPr>
            <w:tcW w:type="dxa" w:w="415"/>
          </w:tcPr>
          <w:p>
            <w:r>
              <w:rPr/>
              <w:t>4</w:t>
            </w:r>
          </w:p>
        </w:tc>
        <w:tc>
          <w:tcPr>
            <w:tcW w:type="dxa" w:w="5814"/>
          </w:tcPr>
          <w:p>
            <w:r>
              <w:rPr/>
              <w:t>SCARA平面四轴机器人： 1) SCARA机器人配备专用控制器，带工业示教器；</w:t>
            </w:r>
          </w:p>
        </w:tc>
      </w:tr>
      <w:tr>
        <w:tc>
          <w:tcPr>
            <w:tcW w:type="dxa" w:w="2076"/>
          </w:tcPr>
          <w:p>
            <w:r>
              <w:rPr/>
              <w:t>▲</w:t>
            </w:r>
          </w:p>
        </w:tc>
        <w:tc>
          <w:tcPr>
            <w:tcW w:type="dxa" w:w="415"/>
          </w:tcPr>
          <w:p>
            <w:r>
              <w:rPr/>
              <w:t>5</w:t>
            </w:r>
          </w:p>
        </w:tc>
        <w:tc>
          <w:tcPr>
            <w:tcW w:type="dxa" w:w="5814"/>
          </w:tcPr>
          <w:p>
            <w:r>
              <w:rPr/>
              <w:t>2) SCARA机器人臂长：≥360mm；</w:t>
            </w:r>
          </w:p>
        </w:tc>
      </w:tr>
      <w:tr>
        <w:tc>
          <w:tcPr>
            <w:tcW w:type="dxa" w:w="2076"/>
          </w:tcPr>
          <w:p/>
        </w:tc>
        <w:tc>
          <w:tcPr>
            <w:tcW w:type="dxa" w:w="415"/>
          </w:tcPr>
          <w:p>
            <w:r>
              <w:rPr/>
              <w:t>6</w:t>
            </w:r>
          </w:p>
        </w:tc>
        <w:tc>
          <w:tcPr>
            <w:tcW w:type="dxa" w:w="5814"/>
          </w:tcPr>
          <w:p>
            <w:r>
              <w:rPr/>
              <w:t>3)额定负载：≥1kg，最大负载：≥3kg；</w:t>
            </w:r>
          </w:p>
        </w:tc>
      </w:tr>
      <w:tr>
        <w:tc>
          <w:tcPr>
            <w:tcW w:type="dxa" w:w="2076"/>
          </w:tcPr>
          <w:p/>
        </w:tc>
        <w:tc>
          <w:tcPr>
            <w:tcW w:type="dxa" w:w="415"/>
          </w:tcPr>
          <w:p>
            <w:r>
              <w:rPr/>
              <w:t>7</w:t>
            </w:r>
          </w:p>
        </w:tc>
        <w:tc>
          <w:tcPr>
            <w:tcW w:type="dxa" w:w="5814"/>
          </w:tcPr>
          <w:p>
            <w:r>
              <w:rPr/>
              <w:t>4) 整机重量：≤18kg；</w:t>
            </w:r>
          </w:p>
        </w:tc>
      </w:tr>
      <w:tr>
        <w:tc>
          <w:tcPr>
            <w:tcW w:type="dxa" w:w="2076"/>
          </w:tcPr>
          <w:p/>
        </w:tc>
        <w:tc>
          <w:tcPr>
            <w:tcW w:type="dxa" w:w="415"/>
          </w:tcPr>
          <w:p>
            <w:r>
              <w:rPr/>
              <w:t>8</w:t>
            </w:r>
          </w:p>
        </w:tc>
        <w:tc>
          <w:tcPr>
            <w:tcW w:type="dxa" w:w="5814"/>
          </w:tcPr>
          <w:p>
            <w:r>
              <w:rPr/>
              <w:t>5) 重复定位精度：≤±0.05mm；</w:t>
            </w:r>
          </w:p>
        </w:tc>
      </w:tr>
      <w:tr>
        <w:tc>
          <w:tcPr>
            <w:tcW w:type="dxa" w:w="2076"/>
          </w:tcPr>
          <w:p/>
        </w:tc>
        <w:tc>
          <w:tcPr>
            <w:tcW w:type="dxa" w:w="415"/>
          </w:tcPr>
          <w:p>
            <w:r>
              <w:rPr/>
              <w:t>9</w:t>
            </w:r>
          </w:p>
        </w:tc>
        <w:tc>
          <w:tcPr>
            <w:tcW w:type="dxa" w:w="5814"/>
          </w:tcPr>
          <w:p>
            <w:r>
              <w:rPr/>
              <w:t>6) 外壳材质：铝合金，阳极氧化处理；</w:t>
            </w:r>
          </w:p>
        </w:tc>
      </w:tr>
      <w:tr>
        <w:tc>
          <w:tcPr>
            <w:tcW w:type="dxa" w:w="2076"/>
          </w:tcPr>
          <w:p>
            <w:r>
              <w:rPr/>
              <w:t>▲</w:t>
            </w:r>
          </w:p>
        </w:tc>
        <w:tc>
          <w:tcPr>
            <w:tcW w:type="dxa" w:w="415"/>
          </w:tcPr>
          <w:p>
            <w:r>
              <w:rPr/>
              <w:t>10</w:t>
            </w:r>
          </w:p>
        </w:tc>
        <w:tc>
          <w:tcPr>
            <w:tcW w:type="dxa" w:w="5814"/>
          </w:tcPr>
          <w:p>
            <w:r>
              <w:rPr/>
              <w:t>Delta机器人： 1) 机器人工作空间：≥200（直径）×30（高）mm；</w:t>
            </w:r>
          </w:p>
        </w:tc>
      </w:tr>
      <w:tr>
        <w:tc>
          <w:tcPr>
            <w:tcW w:type="dxa" w:w="2076"/>
          </w:tcPr>
          <w:p/>
        </w:tc>
        <w:tc>
          <w:tcPr>
            <w:tcW w:type="dxa" w:w="415"/>
          </w:tcPr>
          <w:p>
            <w:r>
              <w:rPr/>
              <w:t>11</w:t>
            </w:r>
          </w:p>
        </w:tc>
        <w:tc>
          <w:tcPr>
            <w:tcW w:type="dxa" w:w="5814"/>
          </w:tcPr>
          <w:p>
            <w:r>
              <w:rPr/>
              <w:t>2)</w:t>
            </w:r>
            <w:r>
              <w:rPr/>
              <w:t xml:space="preserve"> </w:t>
            </w:r>
            <w:r>
              <w:rPr/>
              <w:t>机器人提供二次开发，开发环境包括：C/C++、C#、JAVA、MATLAB、LABVIEW、ROS、PYTHON；</w:t>
            </w:r>
          </w:p>
        </w:tc>
      </w:tr>
      <w:tr>
        <w:tc>
          <w:tcPr>
            <w:tcW w:type="dxa" w:w="2076"/>
          </w:tcPr>
          <w:p/>
        </w:tc>
        <w:tc>
          <w:tcPr>
            <w:tcW w:type="dxa" w:w="415"/>
          </w:tcPr>
          <w:p>
            <w:r>
              <w:rPr/>
              <w:t>12</w:t>
            </w:r>
          </w:p>
        </w:tc>
        <w:tc>
          <w:tcPr>
            <w:tcW w:type="dxa" w:w="5814"/>
          </w:tcPr>
          <w:p>
            <w:r>
              <w:rPr/>
              <w:t>3) 额定负载：≥1kg；</w:t>
            </w:r>
          </w:p>
        </w:tc>
      </w:tr>
      <w:tr>
        <w:tc>
          <w:tcPr>
            <w:tcW w:type="dxa" w:w="2076"/>
          </w:tcPr>
          <w:p/>
        </w:tc>
        <w:tc>
          <w:tcPr>
            <w:tcW w:type="dxa" w:w="415"/>
          </w:tcPr>
          <w:p>
            <w:r>
              <w:rPr/>
              <w:t>13</w:t>
            </w:r>
          </w:p>
        </w:tc>
        <w:tc>
          <w:tcPr>
            <w:tcW w:type="dxa" w:w="5814"/>
          </w:tcPr>
          <w:p>
            <w:r>
              <w:rPr/>
              <w:t>4) 整机重量：≤5kg；</w:t>
            </w:r>
          </w:p>
        </w:tc>
      </w:tr>
      <w:tr>
        <w:tc>
          <w:tcPr>
            <w:tcW w:type="dxa" w:w="2076"/>
          </w:tcPr>
          <w:p>
            <w:r>
              <w:rPr/>
              <w:t>▲</w:t>
            </w:r>
          </w:p>
        </w:tc>
        <w:tc>
          <w:tcPr>
            <w:tcW w:type="dxa" w:w="415"/>
          </w:tcPr>
          <w:p>
            <w:r>
              <w:rPr/>
              <w:t>14</w:t>
            </w:r>
          </w:p>
        </w:tc>
        <w:tc>
          <w:tcPr>
            <w:tcW w:type="dxa" w:w="5814"/>
          </w:tcPr>
          <w:p>
            <w:r>
              <w:rPr/>
              <w:t>工业视觉系统： 1)感光芯片类型：≥1/3英寸彩色CMOS；支持使用镜头焦距：3.6mm，6mm，12mm，16mm，25mm；</w:t>
            </w:r>
          </w:p>
        </w:tc>
      </w:tr>
      <w:tr>
        <w:tc>
          <w:tcPr>
            <w:tcW w:type="dxa" w:w="2076"/>
          </w:tcPr>
          <w:p/>
        </w:tc>
        <w:tc>
          <w:tcPr>
            <w:tcW w:type="dxa" w:w="415"/>
          </w:tcPr>
          <w:p>
            <w:r>
              <w:rPr/>
              <w:t>15</w:t>
            </w:r>
          </w:p>
        </w:tc>
        <w:tc>
          <w:tcPr>
            <w:tcW w:type="dxa" w:w="5814"/>
          </w:tcPr>
          <w:p>
            <w:r>
              <w:rPr/>
              <w:t>2) 防护等级：≥IP65；</w:t>
            </w:r>
          </w:p>
        </w:tc>
      </w:tr>
      <w:tr>
        <w:tc>
          <w:tcPr>
            <w:tcW w:type="dxa" w:w="2076"/>
          </w:tcPr>
          <w:p/>
        </w:tc>
        <w:tc>
          <w:tcPr>
            <w:tcW w:type="dxa" w:w="415"/>
          </w:tcPr>
          <w:p>
            <w:r>
              <w:rPr/>
              <w:t>16</w:t>
            </w:r>
          </w:p>
        </w:tc>
        <w:tc>
          <w:tcPr>
            <w:tcW w:type="dxa" w:w="5814"/>
          </w:tcPr>
          <w:p>
            <w:r>
              <w:rPr/>
              <w:t>3) 最大分辨率：≥800×600像素；</w:t>
            </w:r>
          </w:p>
        </w:tc>
      </w:tr>
      <w:tr>
        <w:tc>
          <w:tcPr>
            <w:tcW w:type="dxa" w:w="2076"/>
          </w:tcPr>
          <w:p/>
        </w:tc>
        <w:tc>
          <w:tcPr>
            <w:tcW w:type="dxa" w:w="415"/>
          </w:tcPr>
          <w:p>
            <w:r>
              <w:rPr/>
              <w:t>17</w:t>
            </w:r>
          </w:p>
        </w:tc>
        <w:tc>
          <w:tcPr>
            <w:tcW w:type="dxa" w:w="5814"/>
          </w:tcPr>
          <w:p>
            <w:r>
              <w:rPr/>
              <w:t>4) 帧率：≥40fps；</w:t>
            </w:r>
          </w:p>
        </w:tc>
      </w:tr>
      <w:tr>
        <w:tc>
          <w:tcPr>
            <w:tcW w:type="dxa" w:w="2076"/>
          </w:tcPr>
          <w:p/>
        </w:tc>
        <w:tc>
          <w:tcPr>
            <w:tcW w:type="dxa" w:w="415"/>
          </w:tcPr>
          <w:p>
            <w:r>
              <w:rPr/>
              <w:t>18</w:t>
            </w:r>
          </w:p>
        </w:tc>
        <w:tc>
          <w:tcPr>
            <w:tcW w:type="dxa" w:w="5814"/>
          </w:tcPr>
          <w:p>
            <w:r>
              <w:rPr/>
              <w:t>5) 触发电压限值：24VDC；</w:t>
            </w:r>
          </w:p>
        </w:tc>
      </w:tr>
      <w:tr>
        <w:tc>
          <w:tcPr>
            <w:tcW w:type="dxa" w:w="2076"/>
          </w:tcPr>
          <w:p/>
        </w:tc>
        <w:tc>
          <w:tcPr>
            <w:tcW w:type="dxa" w:w="415"/>
          </w:tcPr>
          <w:p>
            <w:r>
              <w:rPr/>
              <w:t>19</w:t>
            </w:r>
          </w:p>
        </w:tc>
        <w:tc>
          <w:tcPr>
            <w:tcW w:type="dxa" w:w="5814"/>
          </w:tcPr>
          <w:p>
            <w:r>
              <w:rPr/>
              <w:t>6) 标准镜头焦距：≥8mm；</w:t>
            </w:r>
          </w:p>
        </w:tc>
      </w:tr>
      <w:tr>
        <w:tc>
          <w:tcPr>
            <w:tcW w:type="dxa" w:w="2076"/>
          </w:tcPr>
          <w:p/>
        </w:tc>
        <w:tc>
          <w:tcPr>
            <w:tcW w:type="dxa" w:w="415"/>
          </w:tcPr>
          <w:p>
            <w:r>
              <w:rPr/>
              <w:t>20</w:t>
            </w:r>
          </w:p>
        </w:tc>
        <w:tc>
          <w:tcPr>
            <w:tcW w:type="dxa" w:w="5814"/>
          </w:tcPr>
          <w:p>
            <w:r>
              <w:rPr/>
              <w:t>7) 集成光源：8-LED散射环形白色；</w:t>
            </w:r>
          </w:p>
        </w:tc>
      </w:tr>
      <w:tr>
        <w:tc>
          <w:tcPr>
            <w:tcW w:type="dxa" w:w="2076"/>
          </w:tcPr>
          <w:p/>
        </w:tc>
        <w:tc>
          <w:tcPr>
            <w:tcW w:type="dxa" w:w="415"/>
          </w:tcPr>
          <w:p>
            <w:r>
              <w:rPr/>
              <w:t>21</w:t>
            </w:r>
          </w:p>
        </w:tc>
        <w:tc>
          <w:tcPr>
            <w:tcW w:type="dxa" w:w="5814"/>
          </w:tcPr>
          <w:p>
            <w:r>
              <w:rPr/>
              <w:t>8) 视觉定位工具包含：图案匹配，边线，圆形；</w:t>
            </w:r>
          </w:p>
        </w:tc>
      </w:tr>
      <w:tr>
        <w:tc>
          <w:tcPr>
            <w:tcW w:type="dxa" w:w="2076"/>
          </w:tcPr>
          <w:p/>
        </w:tc>
        <w:tc>
          <w:tcPr>
            <w:tcW w:type="dxa" w:w="415"/>
          </w:tcPr>
          <w:p>
            <w:r>
              <w:rPr/>
              <w:t>22</w:t>
            </w:r>
          </w:p>
        </w:tc>
        <w:tc>
          <w:tcPr>
            <w:tcW w:type="dxa" w:w="5814"/>
          </w:tcPr>
          <w:p>
            <w:r>
              <w:rPr/>
              <w:t>9) 支持协议：以太网、EtherNet/IP、Profinet、SLMP、TCP/IP、UDP、FTP、RS232；</w:t>
            </w:r>
          </w:p>
        </w:tc>
      </w:tr>
      <w:tr>
        <w:tc>
          <w:tcPr>
            <w:tcW w:type="dxa" w:w="2076"/>
          </w:tcPr>
          <w:p>
            <w:r>
              <w:rPr/>
              <w:t>▲</w:t>
            </w:r>
          </w:p>
        </w:tc>
        <w:tc>
          <w:tcPr>
            <w:tcW w:type="dxa" w:w="415"/>
          </w:tcPr>
          <w:p>
            <w:r>
              <w:rPr/>
              <w:t>23</w:t>
            </w:r>
          </w:p>
        </w:tc>
        <w:tc>
          <w:tcPr>
            <w:tcW w:type="dxa" w:w="5814"/>
          </w:tcPr>
          <w:p>
            <w:r>
              <w:rPr/>
              <w:t>10) 硬件接口：M12以太网、M12电源、IO和串行；</w:t>
            </w:r>
          </w:p>
        </w:tc>
      </w:tr>
      <w:tr>
        <w:tc>
          <w:tcPr>
            <w:tcW w:type="dxa" w:w="2076"/>
          </w:tcPr>
          <w:p/>
        </w:tc>
        <w:tc>
          <w:tcPr>
            <w:tcW w:type="dxa" w:w="415"/>
          </w:tcPr>
          <w:p>
            <w:r>
              <w:rPr/>
              <w:t>24</w:t>
            </w:r>
          </w:p>
        </w:tc>
        <w:tc>
          <w:tcPr>
            <w:tcW w:type="dxa" w:w="5814"/>
          </w:tcPr>
          <w:p>
            <w:r>
              <w:rPr/>
              <w:t>11) 输入：≥2个；</w:t>
            </w:r>
          </w:p>
        </w:tc>
      </w:tr>
      <w:tr>
        <w:tc>
          <w:tcPr>
            <w:tcW w:type="dxa" w:w="2076"/>
          </w:tcPr>
          <w:p/>
        </w:tc>
        <w:tc>
          <w:tcPr>
            <w:tcW w:type="dxa" w:w="415"/>
          </w:tcPr>
          <w:p>
            <w:r>
              <w:rPr/>
              <w:t>25</w:t>
            </w:r>
          </w:p>
        </w:tc>
        <w:tc>
          <w:tcPr>
            <w:tcW w:type="dxa" w:w="5814"/>
          </w:tcPr>
          <w:p>
            <w:r>
              <w:rPr/>
              <w:t>12) 输出：≥4个；</w:t>
            </w:r>
          </w:p>
        </w:tc>
      </w:tr>
      <w:tr>
        <w:tc>
          <w:tcPr>
            <w:tcW w:type="dxa" w:w="2076"/>
          </w:tcPr>
          <w:p/>
        </w:tc>
        <w:tc>
          <w:tcPr>
            <w:tcW w:type="dxa" w:w="415"/>
          </w:tcPr>
          <w:p>
            <w:r>
              <w:rPr/>
              <w:t>26</w:t>
            </w:r>
          </w:p>
        </w:tc>
        <w:tc>
          <w:tcPr>
            <w:tcW w:type="dxa" w:w="5814"/>
          </w:tcPr>
          <w:p>
            <w:r>
              <w:rPr/>
              <w:t>平台结构： 1) 尺寸：≤1200×800×1500mm3；</w:t>
            </w:r>
          </w:p>
        </w:tc>
      </w:tr>
      <w:tr>
        <w:tc>
          <w:tcPr>
            <w:tcW w:type="dxa" w:w="2076"/>
          </w:tcPr>
          <w:p/>
        </w:tc>
        <w:tc>
          <w:tcPr>
            <w:tcW w:type="dxa" w:w="415"/>
          </w:tcPr>
          <w:p>
            <w:r>
              <w:rPr/>
              <w:t>27</w:t>
            </w:r>
          </w:p>
        </w:tc>
        <w:tc>
          <w:tcPr>
            <w:tcW w:type="dxa" w:w="5814"/>
          </w:tcPr>
          <w:p>
            <w:r>
              <w:rPr/>
              <w:t>2) 电路实现强电弱电分离；</w:t>
            </w:r>
          </w:p>
        </w:tc>
      </w:tr>
      <w:tr>
        <w:tc>
          <w:tcPr>
            <w:tcW w:type="dxa" w:w="2076"/>
          </w:tcPr>
          <w:p/>
        </w:tc>
        <w:tc>
          <w:tcPr>
            <w:tcW w:type="dxa" w:w="415"/>
          </w:tcPr>
          <w:p>
            <w:r>
              <w:rPr/>
              <w:t>28</w:t>
            </w:r>
          </w:p>
        </w:tc>
        <w:tc>
          <w:tcPr>
            <w:tcW w:type="dxa" w:w="5814"/>
          </w:tcPr>
          <w:p>
            <w:r>
              <w:rPr/>
              <w:t>3) 结构件材料：铝型材，台面具有T型槽方便安装；</w:t>
            </w:r>
          </w:p>
        </w:tc>
      </w:tr>
      <w:tr>
        <w:tc>
          <w:tcPr>
            <w:tcW w:type="dxa" w:w="2076"/>
          </w:tcPr>
          <w:p/>
        </w:tc>
        <w:tc>
          <w:tcPr>
            <w:tcW w:type="dxa" w:w="415"/>
          </w:tcPr>
          <w:p>
            <w:r>
              <w:rPr/>
              <w:t>29</w:t>
            </w:r>
          </w:p>
        </w:tc>
        <w:tc>
          <w:tcPr>
            <w:tcW w:type="dxa" w:w="5814"/>
          </w:tcPr>
          <w:p>
            <w:r>
              <w:rPr/>
              <w:t>教学配备：≥15个课程实验。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多机器人协调控制平台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PLC模块： 1) 程序存储器：≥64K步；</w:t>
            </w:r>
          </w:p>
        </w:tc>
      </w:tr>
      <w:tr>
        <w:tc>
          <w:tcPr>
            <w:tcW w:type="dxa" w:w="2076"/>
          </w:tcPr>
          <w:p/>
        </w:tc>
        <w:tc>
          <w:tcPr>
            <w:tcW w:type="dxa" w:w="415"/>
          </w:tcPr>
          <w:p>
            <w:r>
              <w:rPr/>
              <w:t>2</w:t>
            </w:r>
          </w:p>
        </w:tc>
        <w:tc>
          <w:tcPr>
            <w:tcW w:type="dxa" w:w="5814"/>
          </w:tcPr>
          <w:p>
            <w:r>
              <w:rPr/>
              <w:t>2) 数据存储器：≥5兆字节；</w:t>
            </w:r>
          </w:p>
        </w:tc>
      </w:tr>
      <w:tr>
        <w:tc>
          <w:tcPr>
            <w:tcW w:type="dxa" w:w="2076"/>
          </w:tcPr>
          <w:p/>
        </w:tc>
        <w:tc>
          <w:tcPr>
            <w:tcW w:type="dxa" w:w="415"/>
          </w:tcPr>
          <w:p>
            <w:r>
              <w:rPr/>
              <w:t>3</w:t>
            </w:r>
          </w:p>
        </w:tc>
        <w:tc>
          <w:tcPr>
            <w:tcW w:type="dxa" w:w="5814"/>
          </w:tcPr>
          <w:p>
            <w:r>
              <w:rPr/>
              <w:t>3) 停电保留能力：≥12K字；</w:t>
            </w:r>
          </w:p>
        </w:tc>
      </w:tr>
      <w:tr>
        <w:tc>
          <w:tcPr>
            <w:tcW w:type="dxa" w:w="2076"/>
          </w:tcPr>
          <w:p/>
        </w:tc>
        <w:tc>
          <w:tcPr>
            <w:tcW w:type="dxa" w:w="415"/>
          </w:tcPr>
          <w:p>
            <w:r>
              <w:rPr/>
              <w:t>4</w:t>
            </w:r>
          </w:p>
        </w:tc>
        <w:tc>
          <w:tcPr>
            <w:tcW w:type="dxa" w:w="5814"/>
          </w:tcPr>
          <w:p>
            <w:r>
              <w:rPr/>
              <w:t>4) IO：≥40点输入/40点输出；</w:t>
            </w:r>
          </w:p>
        </w:tc>
      </w:tr>
      <w:tr>
        <w:tc>
          <w:tcPr>
            <w:tcW w:type="dxa" w:w="2076"/>
          </w:tcPr>
          <w:p/>
        </w:tc>
        <w:tc>
          <w:tcPr>
            <w:tcW w:type="dxa" w:w="415"/>
          </w:tcPr>
          <w:p>
            <w:r>
              <w:rPr/>
              <w:t>5</w:t>
            </w:r>
          </w:p>
        </w:tc>
        <w:tc>
          <w:tcPr>
            <w:tcW w:type="dxa" w:w="5814"/>
          </w:tcPr>
          <w:p>
            <w:r>
              <w:rPr/>
              <w:t>5) 高速计数器：≥6个；</w:t>
            </w:r>
          </w:p>
        </w:tc>
      </w:tr>
      <w:tr>
        <w:tc>
          <w:tcPr>
            <w:tcW w:type="dxa" w:w="2076"/>
          </w:tcPr>
          <w:p/>
        </w:tc>
        <w:tc>
          <w:tcPr>
            <w:tcW w:type="dxa" w:w="415"/>
          </w:tcPr>
          <w:p>
            <w:r>
              <w:rPr/>
              <w:t>6</w:t>
            </w:r>
          </w:p>
        </w:tc>
        <w:tc>
          <w:tcPr>
            <w:tcW w:type="dxa" w:w="5814"/>
          </w:tcPr>
          <w:p>
            <w:r>
              <w:rPr/>
              <w:t>6) 脉冲输出：≥4路200kHz；</w:t>
            </w:r>
          </w:p>
        </w:tc>
      </w:tr>
      <w:tr>
        <w:tc>
          <w:tcPr>
            <w:tcW w:type="dxa" w:w="2076"/>
          </w:tcPr>
          <w:p>
            <w:r>
              <w:rPr/>
              <w:t>▲</w:t>
            </w:r>
          </w:p>
        </w:tc>
        <w:tc>
          <w:tcPr>
            <w:tcW w:type="dxa" w:w="415"/>
          </w:tcPr>
          <w:p>
            <w:r>
              <w:rPr/>
              <w:t>7</w:t>
            </w:r>
          </w:p>
        </w:tc>
        <w:tc>
          <w:tcPr>
            <w:tcW w:type="dxa" w:w="5814"/>
          </w:tcPr>
          <w:p>
            <w:r>
              <w:rPr/>
              <w:t>7) 布尔运算速度：≥0.034μs/指令；</w:t>
            </w:r>
          </w:p>
        </w:tc>
      </w:tr>
      <w:tr>
        <w:tc>
          <w:tcPr>
            <w:tcW w:type="dxa" w:w="2076"/>
          </w:tcPr>
          <w:p/>
        </w:tc>
        <w:tc>
          <w:tcPr>
            <w:tcW w:type="dxa" w:w="415"/>
          </w:tcPr>
          <w:p>
            <w:r>
              <w:rPr/>
              <w:t>8</w:t>
            </w:r>
          </w:p>
        </w:tc>
        <w:tc>
          <w:tcPr>
            <w:tcW w:type="dxa" w:w="5814"/>
          </w:tcPr>
          <w:p>
            <w:r>
              <w:rPr/>
              <w:t>8) 模拟量输入：≥2ch；</w:t>
            </w:r>
          </w:p>
        </w:tc>
      </w:tr>
      <w:tr>
        <w:tc>
          <w:tcPr>
            <w:tcW w:type="dxa" w:w="2076"/>
          </w:tcPr>
          <w:p/>
        </w:tc>
        <w:tc>
          <w:tcPr>
            <w:tcW w:type="dxa" w:w="415"/>
          </w:tcPr>
          <w:p>
            <w:r>
              <w:rPr/>
              <w:t>9</w:t>
            </w:r>
          </w:p>
        </w:tc>
        <w:tc>
          <w:tcPr>
            <w:tcW w:type="dxa" w:w="5814"/>
          </w:tcPr>
          <w:p>
            <w:r>
              <w:rPr/>
              <w:t>9) 模拟量输出：≥1ch；</w:t>
            </w:r>
          </w:p>
        </w:tc>
      </w:tr>
      <w:tr>
        <w:tc>
          <w:tcPr>
            <w:tcW w:type="dxa" w:w="2076"/>
          </w:tcPr>
          <w:p/>
        </w:tc>
        <w:tc>
          <w:tcPr>
            <w:tcW w:type="dxa" w:w="415"/>
          </w:tcPr>
          <w:p>
            <w:r>
              <w:rPr/>
              <w:t>10</w:t>
            </w:r>
          </w:p>
        </w:tc>
        <w:tc>
          <w:tcPr>
            <w:tcW w:type="dxa" w:w="5814"/>
          </w:tcPr>
          <w:p>
            <w:r>
              <w:rPr/>
              <w:t>10) 以太网接口：≥1个；</w:t>
            </w:r>
          </w:p>
        </w:tc>
      </w:tr>
      <w:tr>
        <w:tc>
          <w:tcPr>
            <w:tcW w:type="dxa" w:w="2076"/>
          </w:tcPr>
          <w:p/>
        </w:tc>
        <w:tc>
          <w:tcPr>
            <w:tcW w:type="dxa" w:w="415"/>
          </w:tcPr>
          <w:p>
            <w:r>
              <w:rPr/>
              <w:t>11</w:t>
            </w:r>
          </w:p>
        </w:tc>
        <w:tc>
          <w:tcPr>
            <w:tcW w:type="dxa" w:w="5814"/>
          </w:tcPr>
          <w:p>
            <w:r>
              <w:rPr/>
              <w:t>11) RS485接口：≥1个；</w:t>
            </w:r>
          </w:p>
        </w:tc>
      </w:tr>
      <w:tr>
        <w:tc>
          <w:tcPr>
            <w:tcW w:type="dxa" w:w="2076"/>
          </w:tcPr>
          <w:p/>
        </w:tc>
        <w:tc>
          <w:tcPr>
            <w:tcW w:type="dxa" w:w="415"/>
          </w:tcPr>
          <w:p>
            <w:r>
              <w:rPr/>
              <w:t>12</w:t>
            </w:r>
          </w:p>
        </w:tc>
        <w:tc>
          <w:tcPr>
            <w:tcW w:type="dxa" w:w="5814"/>
          </w:tcPr>
          <w:p>
            <w:r>
              <w:rPr/>
              <w:t>12) 总线转换模块：≥1个；</w:t>
            </w:r>
          </w:p>
        </w:tc>
      </w:tr>
      <w:tr>
        <w:tc>
          <w:tcPr>
            <w:tcW w:type="dxa" w:w="2076"/>
          </w:tcPr>
          <w:p/>
        </w:tc>
        <w:tc>
          <w:tcPr>
            <w:tcW w:type="dxa" w:w="415"/>
          </w:tcPr>
          <w:p>
            <w:r>
              <w:rPr/>
              <w:t>13</w:t>
            </w:r>
          </w:p>
        </w:tc>
        <w:tc>
          <w:tcPr>
            <w:tcW w:type="dxa" w:w="5814"/>
          </w:tcPr>
          <w:p>
            <w:r>
              <w:rPr/>
              <w:t>13) 高速计数器模块：≥1个；</w:t>
            </w:r>
          </w:p>
        </w:tc>
      </w:tr>
      <w:tr>
        <w:tc>
          <w:tcPr>
            <w:tcW w:type="dxa" w:w="2076"/>
          </w:tcPr>
          <w:p/>
        </w:tc>
        <w:tc>
          <w:tcPr>
            <w:tcW w:type="dxa" w:w="415"/>
          </w:tcPr>
          <w:p>
            <w:r>
              <w:rPr/>
              <w:t>14</w:t>
            </w:r>
          </w:p>
        </w:tc>
        <w:tc>
          <w:tcPr>
            <w:tcW w:type="dxa" w:w="5814"/>
          </w:tcPr>
          <w:p>
            <w:r>
              <w:rPr/>
              <w:t>人机交互模块： 1)触摸屏尺寸：≥10.2英寸；</w:t>
            </w:r>
          </w:p>
        </w:tc>
      </w:tr>
      <w:tr>
        <w:tc>
          <w:tcPr>
            <w:tcW w:type="dxa" w:w="2076"/>
          </w:tcPr>
          <w:p/>
        </w:tc>
        <w:tc>
          <w:tcPr>
            <w:tcW w:type="dxa" w:w="415"/>
          </w:tcPr>
          <w:p>
            <w:r>
              <w:rPr/>
              <w:t>15</w:t>
            </w:r>
          </w:p>
        </w:tc>
        <w:tc>
          <w:tcPr>
            <w:tcW w:type="dxa" w:w="5814"/>
          </w:tcPr>
          <w:p>
            <w:r>
              <w:rPr/>
              <w:t>2) 语言：中文；</w:t>
            </w:r>
          </w:p>
        </w:tc>
      </w:tr>
      <w:tr>
        <w:tc>
          <w:tcPr>
            <w:tcW w:type="dxa" w:w="2076"/>
          </w:tcPr>
          <w:p>
            <w:r>
              <w:rPr/>
              <w:t>▲</w:t>
            </w:r>
          </w:p>
        </w:tc>
        <w:tc>
          <w:tcPr>
            <w:tcW w:type="dxa" w:w="415"/>
          </w:tcPr>
          <w:p>
            <w:r>
              <w:rPr/>
              <w:t>16</w:t>
            </w:r>
          </w:p>
        </w:tc>
        <w:tc>
          <w:tcPr>
            <w:tcW w:type="dxa" w:w="5814"/>
          </w:tcPr>
          <w:p>
            <w:r>
              <w:rPr/>
              <w:t>安全保护： 1) 光栅：1对；</w:t>
            </w:r>
          </w:p>
        </w:tc>
      </w:tr>
      <w:tr>
        <w:tc>
          <w:tcPr>
            <w:tcW w:type="dxa" w:w="2076"/>
          </w:tcPr>
          <w:p/>
        </w:tc>
        <w:tc>
          <w:tcPr>
            <w:tcW w:type="dxa" w:w="415"/>
          </w:tcPr>
          <w:p>
            <w:r>
              <w:rPr/>
              <w:t>17</w:t>
            </w:r>
          </w:p>
        </w:tc>
        <w:tc>
          <w:tcPr>
            <w:tcW w:type="dxa" w:w="5814"/>
          </w:tcPr>
          <w:p>
            <w:r>
              <w:rPr/>
              <w:t>2)安全门锁：1个；</w:t>
            </w:r>
          </w:p>
        </w:tc>
      </w:tr>
      <w:tr>
        <w:tc>
          <w:tcPr>
            <w:tcW w:type="dxa" w:w="2076"/>
          </w:tcPr>
          <w:p/>
        </w:tc>
        <w:tc>
          <w:tcPr>
            <w:tcW w:type="dxa" w:w="415"/>
          </w:tcPr>
          <w:p>
            <w:r>
              <w:rPr/>
              <w:t>18</w:t>
            </w:r>
          </w:p>
        </w:tc>
        <w:tc>
          <w:tcPr>
            <w:tcW w:type="dxa" w:w="5814"/>
          </w:tcPr>
          <w:p>
            <w:r>
              <w:rPr/>
              <w:t>3) 安全继电器：有。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工业机器人多功能实训工作站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机器人系统： 1） 结构形式：串联关节式；</w:t>
            </w:r>
          </w:p>
        </w:tc>
      </w:tr>
      <w:tr>
        <w:tc>
          <w:tcPr>
            <w:tcW w:type="dxa" w:w="2076"/>
          </w:tcPr>
          <w:p/>
        </w:tc>
        <w:tc>
          <w:tcPr>
            <w:tcW w:type="dxa" w:w="415"/>
          </w:tcPr>
          <w:p>
            <w:r>
              <w:rPr/>
              <w:t>2</w:t>
            </w:r>
          </w:p>
        </w:tc>
        <w:tc>
          <w:tcPr>
            <w:tcW w:type="dxa" w:w="5814"/>
          </w:tcPr>
          <w:p>
            <w:r>
              <w:rPr/>
              <w:t>2） 防护等级：≥IP30；</w:t>
            </w:r>
          </w:p>
        </w:tc>
      </w:tr>
      <w:tr>
        <w:tc>
          <w:tcPr>
            <w:tcW w:type="dxa" w:w="2076"/>
          </w:tcPr>
          <w:p/>
        </w:tc>
        <w:tc>
          <w:tcPr>
            <w:tcW w:type="dxa" w:w="415"/>
          </w:tcPr>
          <w:p>
            <w:r>
              <w:rPr/>
              <w:t>3</w:t>
            </w:r>
          </w:p>
        </w:tc>
        <w:tc>
          <w:tcPr>
            <w:tcW w:type="dxa" w:w="5814"/>
          </w:tcPr>
          <w:p>
            <w:r>
              <w:rPr/>
              <w:t>3） 臂展：≥1.44m，负载能力：≥5kg；</w:t>
            </w:r>
          </w:p>
        </w:tc>
      </w:tr>
      <w:tr>
        <w:tc>
          <w:tcPr>
            <w:tcW w:type="dxa" w:w="2076"/>
          </w:tcPr>
          <w:p>
            <w:r>
              <w:rPr/>
              <w:t>▲</w:t>
            </w:r>
          </w:p>
        </w:tc>
        <w:tc>
          <w:tcPr>
            <w:tcW w:type="dxa" w:w="415"/>
          </w:tcPr>
          <w:p>
            <w:r>
              <w:rPr/>
              <w:t>4</w:t>
            </w:r>
          </w:p>
        </w:tc>
        <w:tc>
          <w:tcPr>
            <w:tcW w:type="dxa" w:w="5814"/>
          </w:tcPr>
          <w:p>
            <w:r>
              <w:rPr/>
              <w:t>4） 重复定位精度：≤0.05mm；</w:t>
            </w:r>
          </w:p>
        </w:tc>
      </w:tr>
      <w:tr>
        <w:tc>
          <w:tcPr>
            <w:tcW w:type="dxa" w:w="2076"/>
          </w:tcPr>
          <w:p/>
        </w:tc>
        <w:tc>
          <w:tcPr>
            <w:tcW w:type="dxa" w:w="415"/>
          </w:tcPr>
          <w:p>
            <w:r>
              <w:rPr/>
              <w:t>5</w:t>
            </w:r>
          </w:p>
        </w:tc>
        <w:tc>
          <w:tcPr>
            <w:tcW w:type="dxa" w:w="5814"/>
          </w:tcPr>
          <w:p>
            <w:r>
              <w:rPr/>
              <w:t>5） 安装：落地式；</w:t>
            </w:r>
          </w:p>
        </w:tc>
      </w:tr>
      <w:tr>
        <w:tc>
          <w:tcPr>
            <w:tcW w:type="dxa" w:w="2076"/>
          </w:tcPr>
          <w:p/>
        </w:tc>
        <w:tc>
          <w:tcPr>
            <w:tcW w:type="dxa" w:w="415"/>
          </w:tcPr>
          <w:p>
            <w:r>
              <w:rPr/>
              <w:t>6</w:t>
            </w:r>
          </w:p>
        </w:tc>
        <w:tc>
          <w:tcPr>
            <w:tcW w:type="dxa" w:w="5814"/>
          </w:tcPr>
          <w:p>
            <w:r>
              <w:rPr/>
              <w:t>6） 最大动作范围： 轴1旋转：-170°～170°； 轴2手臂：-70°～70°； 轴3手臂：-65°～70°； 轴4手腕：-150°～150°； 轴5弯曲：-115°～115°； 轴6翻转：-300°～300°；</w:t>
            </w:r>
          </w:p>
        </w:tc>
      </w:tr>
      <w:tr>
        <w:tc>
          <w:tcPr>
            <w:tcW w:type="dxa" w:w="2076"/>
          </w:tcPr>
          <w:p/>
        </w:tc>
        <w:tc>
          <w:tcPr>
            <w:tcW w:type="dxa" w:w="415"/>
          </w:tcPr>
          <w:p>
            <w:r>
              <w:rPr/>
              <w:t>7</w:t>
            </w:r>
          </w:p>
        </w:tc>
        <w:tc>
          <w:tcPr>
            <w:tcW w:type="dxa" w:w="5814"/>
          </w:tcPr>
          <w:p>
            <w:r>
              <w:rPr/>
              <w:t>7） 最大动作速度： J1轴臂旋转：105°/s； J2轴臂前后：105°/s； J3轴臂上下：105°/s； J4轴腕旋转：280°/s； J5轴腕弯曲：280°/s； J6轴腕扭转：280°/s；</w:t>
            </w:r>
          </w:p>
        </w:tc>
      </w:tr>
      <w:tr>
        <w:tc>
          <w:tcPr>
            <w:tcW w:type="dxa" w:w="2076"/>
          </w:tcPr>
          <w:p>
            <w:r>
              <w:rPr/>
              <w:t>▲</w:t>
            </w:r>
          </w:p>
        </w:tc>
        <w:tc>
          <w:tcPr>
            <w:tcW w:type="dxa" w:w="415"/>
          </w:tcPr>
          <w:p>
            <w:r>
              <w:rPr/>
              <w:t>8</w:t>
            </w:r>
          </w:p>
        </w:tc>
        <w:tc>
          <w:tcPr>
            <w:tcW w:type="dxa" w:w="5814"/>
          </w:tcPr>
          <w:p>
            <w:r>
              <w:rPr/>
              <w:t>8） 最大TCP速度：≥2.1m/s；</w:t>
            </w:r>
          </w:p>
        </w:tc>
      </w:tr>
      <w:tr>
        <w:tc>
          <w:tcPr>
            <w:tcW w:type="dxa" w:w="2076"/>
          </w:tcPr>
          <w:p/>
        </w:tc>
        <w:tc>
          <w:tcPr>
            <w:tcW w:type="dxa" w:w="415"/>
          </w:tcPr>
          <w:p>
            <w:r>
              <w:rPr/>
              <w:t>9</w:t>
            </w:r>
          </w:p>
        </w:tc>
        <w:tc>
          <w:tcPr>
            <w:tcW w:type="dxa" w:w="5814"/>
          </w:tcPr>
          <w:p>
            <w:r>
              <w:rPr/>
              <w:t>9） 供电电源：200-600V，50/60Hz；</w:t>
            </w:r>
          </w:p>
        </w:tc>
      </w:tr>
      <w:tr>
        <w:tc>
          <w:tcPr>
            <w:tcW w:type="dxa" w:w="2076"/>
          </w:tcPr>
          <w:p/>
        </w:tc>
        <w:tc>
          <w:tcPr>
            <w:tcW w:type="dxa" w:w="415"/>
          </w:tcPr>
          <w:p>
            <w:r>
              <w:rPr/>
              <w:t>10</w:t>
            </w:r>
          </w:p>
        </w:tc>
        <w:tc>
          <w:tcPr>
            <w:tcW w:type="dxa" w:w="5814"/>
          </w:tcPr>
          <w:p>
            <w:r>
              <w:rPr/>
              <w:t>10） 本体重量：≥225kg；</w:t>
            </w:r>
          </w:p>
        </w:tc>
      </w:tr>
      <w:tr>
        <w:tc>
          <w:tcPr>
            <w:tcW w:type="dxa" w:w="2076"/>
          </w:tcPr>
          <w:p/>
        </w:tc>
        <w:tc>
          <w:tcPr>
            <w:tcW w:type="dxa" w:w="415"/>
          </w:tcPr>
          <w:p>
            <w:r>
              <w:rPr/>
              <w:t>11</w:t>
            </w:r>
          </w:p>
        </w:tc>
        <w:tc>
          <w:tcPr>
            <w:tcW w:type="dxa" w:w="5814"/>
          </w:tcPr>
          <w:p>
            <w:r>
              <w:rPr/>
              <w:t>11） 环境温度（机器人本体）：5-45℃。</w:t>
            </w:r>
          </w:p>
        </w:tc>
      </w:tr>
      <w:tr>
        <w:tc>
          <w:tcPr>
            <w:tcW w:type="dxa" w:w="2076"/>
          </w:tcPr>
          <w:p/>
        </w:tc>
        <w:tc>
          <w:tcPr>
            <w:tcW w:type="dxa" w:w="415"/>
          </w:tcPr>
          <w:p>
            <w:r>
              <w:rPr/>
              <w:t>12</w:t>
            </w:r>
          </w:p>
        </w:tc>
        <w:tc>
          <w:tcPr>
            <w:tcW w:type="dxa" w:w="5814"/>
          </w:tcPr>
          <w:p>
            <w:r>
              <w:rPr/>
              <w:t>12） 末端手爪工具：采用滑轨气缸驱动；</w:t>
            </w:r>
          </w:p>
        </w:tc>
      </w:tr>
      <w:tr>
        <w:tc>
          <w:tcPr>
            <w:tcW w:type="dxa" w:w="2076"/>
          </w:tcPr>
          <w:p/>
        </w:tc>
        <w:tc>
          <w:tcPr>
            <w:tcW w:type="dxa" w:w="415"/>
          </w:tcPr>
          <w:p>
            <w:r>
              <w:rPr/>
              <w:t>13</w:t>
            </w:r>
          </w:p>
        </w:tc>
        <w:tc>
          <w:tcPr>
            <w:tcW w:type="dxa" w:w="5814"/>
          </w:tcPr>
          <w:p>
            <w:r>
              <w:rPr/>
              <w:t>13） 工具架外形尺寸：≥510×70×190mm；</w:t>
            </w:r>
          </w:p>
        </w:tc>
      </w:tr>
      <w:tr>
        <w:tc>
          <w:tcPr>
            <w:tcW w:type="dxa" w:w="2076"/>
          </w:tcPr>
          <w:p>
            <w:r>
              <w:rPr/>
              <w:t>▲</w:t>
            </w:r>
          </w:p>
        </w:tc>
        <w:tc>
          <w:tcPr>
            <w:tcW w:type="dxa" w:w="415"/>
          </w:tcPr>
          <w:p>
            <w:r>
              <w:rPr/>
              <w:t>14</w:t>
            </w:r>
          </w:p>
        </w:tc>
        <w:tc>
          <w:tcPr>
            <w:tcW w:type="dxa" w:w="5814"/>
          </w:tcPr>
          <w:p>
            <w:r>
              <w:rPr/>
              <w:t>14） 工具模块：可与机器人自动联通电路与气路；</w:t>
            </w:r>
          </w:p>
        </w:tc>
      </w:tr>
      <w:tr>
        <w:tc>
          <w:tcPr>
            <w:tcW w:type="dxa" w:w="2076"/>
          </w:tcPr>
          <w:p/>
        </w:tc>
        <w:tc>
          <w:tcPr>
            <w:tcW w:type="dxa" w:w="415"/>
          </w:tcPr>
          <w:p>
            <w:r>
              <w:rPr/>
              <w:t>15</w:t>
            </w:r>
          </w:p>
        </w:tc>
        <w:tc>
          <w:tcPr>
            <w:tcW w:type="dxa" w:w="5814"/>
          </w:tcPr>
          <w:p>
            <w:r>
              <w:rPr/>
              <w:t>15） 放射标准：符合EMC/EMI-shielded；</w:t>
            </w:r>
          </w:p>
        </w:tc>
      </w:tr>
      <w:tr>
        <w:tc>
          <w:tcPr>
            <w:tcW w:type="dxa" w:w="2076"/>
          </w:tcPr>
          <w:p/>
        </w:tc>
        <w:tc>
          <w:tcPr>
            <w:tcW w:type="dxa" w:w="415"/>
          </w:tcPr>
          <w:p>
            <w:r>
              <w:rPr/>
              <w:t>16</w:t>
            </w:r>
          </w:p>
        </w:tc>
        <w:tc>
          <w:tcPr>
            <w:tcW w:type="dxa" w:w="5814"/>
          </w:tcPr>
          <w:p>
            <w:r>
              <w:rPr/>
              <w:t>16） 配备工具种类：喷枪、抛光、真空吸盘、激光笔，可快速切换；</w:t>
            </w:r>
          </w:p>
        </w:tc>
      </w:tr>
      <w:tr>
        <w:tc>
          <w:tcPr>
            <w:tcW w:type="dxa" w:w="2076"/>
          </w:tcPr>
          <w:p>
            <w:r>
              <w:rPr/>
              <w:t>▲</w:t>
            </w:r>
          </w:p>
        </w:tc>
        <w:tc>
          <w:tcPr>
            <w:tcW w:type="dxa" w:w="415"/>
          </w:tcPr>
          <w:p>
            <w:r>
              <w:rPr/>
              <w:t>17</w:t>
            </w:r>
          </w:p>
        </w:tc>
        <w:tc>
          <w:tcPr>
            <w:tcW w:type="dxa" w:w="5814"/>
          </w:tcPr>
          <w:p>
            <w:r>
              <w:rPr/>
              <w:t>视觉检测系统： 1） 感光芯片类型：≥1/3英寸彩色CMOS；支持使用镜头焦距：3.6mm，6mm，12mm，16mm，25mm；</w:t>
            </w:r>
          </w:p>
        </w:tc>
      </w:tr>
      <w:tr>
        <w:tc>
          <w:tcPr>
            <w:tcW w:type="dxa" w:w="2076"/>
          </w:tcPr>
          <w:p/>
        </w:tc>
        <w:tc>
          <w:tcPr>
            <w:tcW w:type="dxa" w:w="415"/>
          </w:tcPr>
          <w:p>
            <w:r>
              <w:rPr/>
              <w:t>18</w:t>
            </w:r>
          </w:p>
        </w:tc>
        <w:tc>
          <w:tcPr>
            <w:tcW w:type="dxa" w:w="5814"/>
          </w:tcPr>
          <w:p>
            <w:r>
              <w:rPr/>
              <w:t>2） 防护等级：≥IP65；</w:t>
            </w:r>
          </w:p>
        </w:tc>
      </w:tr>
      <w:tr>
        <w:tc>
          <w:tcPr>
            <w:tcW w:type="dxa" w:w="2076"/>
          </w:tcPr>
          <w:p/>
        </w:tc>
        <w:tc>
          <w:tcPr>
            <w:tcW w:type="dxa" w:w="415"/>
          </w:tcPr>
          <w:p>
            <w:r>
              <w:rPr/>
              <w:t>19</w:t>
            </w:r>
          </w:p>
        </w:tc>
        <w:tc>
          <w:tcPr>
            <w:tcW w:type="dxa" w:w="5814"/>
          </w:tcPr>
          <w:p>
            <w:r>
              <w:rPr/>
              <w:t>3） 最大分辨率：≥800×600像素；</w:t>
            </w:r>
          </w:p>
        </w:tc>
      </w:tr>
      <w:tr>
        <w:tc>
          <w:tcPr>
            <w:tcW w:type="dxa" w:w="2076"/>
          </w:tcPr>
          <w:p/>
        </w:tc>
        <w:tc>
          <w:tcPr>
            <w:tcW w:type="dxa" w:w="415"/>
          </w:tcPr>
          <w:p>
            <w:r>
              <w:rPr/>
              <w:t>20</w:t>
            </w:r>
          </w:p>
        </w:tc>
        <w:tc>
          <w:tcPr>
            <w:tcW w:type="dxa" w:w="5814"/>
          </w:tcPr>
          <w:p>
            <w:r>
              <w:rPr/>
              <w:t>4） 帧率：≥40fps；</w:t>
            </w:r>
          </w:p>
        </w:tc>
      </w:tr>
      <w:tr>
        <w:tc>
          <w:tcPr>
            <w:tcW w:type="dxa" w:w="2076"/>
          </w:tcPr>
          <w:p/>
        </w:tc>
        <w:tc>
          <w:tcPr>
            <w:tcW w:type="dxa" w:w="415"/>
          </w:tcPr>
          <w:p>
            <w:r>
              <w:rPr/>
              <w:t>21</w:t>
            </w:r>
          </w:p>
        </w:tc>
        <w:tc>
          <w:tcPr>
            <w:tcW w:type="dxa" w:w="5814"/>
          </w:tcPr>
          <w:p>
            <w:r>
              <w:rPr/>
              <w:t>5） 触发电压限值：24VDC；</w:t>
            </w:r>
          </w:p>
        </w:tc>
      </w:tr>
      <w:tr>
        <w:tc>
          <w:tcPr>
            <w:tcW w:type="dxa" w:w="2076"/>
          </w:tcPr>
          <w:p/>
        </w:tc>
        <w:tc>
          <w:tcPr>
            <w:tcW w:type="dxa" w:w="415"/>
          </w:tcPr>
          <w:p>
            <w:r>
              <w:rPr/>
              <w:t>22</w:t>
            </w:r>
          </w:p>
        </w:tc>
        <w:tc>
          <w:tcPr>
            <w:tcW w:type="dxa" w:w="5814"/>
          </w:tcPr>
          <w:p>
            <w:r>
              <w:rPr/>
              <w:t>6） 标准镜头焦距：≥8mm；</w:t>
            </w:r>
          </w:p>
        </w:tc>
      </w:tr>
      <w:tr>
        <w:tc>
          <w:tcPr>
            <w:tcW w:type="dxa" w:w="2076"/>
          </w:tcPr>
          <w:p/>
        </w:tc>
        <w:tc>
          <w:tcPr>
            <w:tcW w:type="dxa" w:w="415"/>
          </w:tcPr>
          <w:p>
            <w:r>
              <w:rPr/>
              <w:t>23</w:t>
            </w:r>
          </w:p>
        </w:tc>
        <w:tc>
          <w:tcPr>
            <w:tcW w:type="dxa" w:w="5814"/>
          </w:tcPr>
          <w:p>
            <w:r>
              <w:rPr/>
              <w:t>7） 集成光源：8-LED散射环形白色；</w:t>
            </w:r>
          </w:p>
        </w:tc>
      </w:tr>
      <w:tr>
        <w:tc>
          <w:tcPr>
            <w:tcW w:type="dxa" w:w="2076"/>
          </w:tcPr>
          <w:p/>
        </w:tc>
        <w:tc>
          <w:tcPr>
            <w:tcW w:type="dxa" w:w="415"/>
          </w:tcPr>
          <w:p>
            <w:r>
              <w:rPr/>
              <w:t>24</w:t>
            </w:r>
          </w:p>
        </w:tc>
        <w:tc>
          <w:tcPr>
            <w:tcW w:type="dxa" w:w="5814"/>
          </w:tcPr>
          <w:p>
            <w:r>
              <w:rPr/>
              <w:t>8） 视觉定位工具包含：图案匹配，边线，圆形；</w:t>
            </w:r>
          </w:p>
        </w:tc>
      </w:tr>
      <w:tr>
        <w:tc>
          <w:tcPr>
            <w:tcW w:type="dxa" w:w="2076"/>
          </w:tcPr>
          <w:p/>
        </w:tc>
        <w:tc>
          <w:tcPr>
            <w:tcW w:type="dxa" w:w="415"/>
          </w:tcPr>
          <w:p>
            <w:r>
              <w:rPr/>
              <w:t>25</w:t>
            </w:r>
          </w:p>
        </w:tc>
        <w:tc>
          <w:tcPr>
            <w:tcW w:type="dxa" w:w="5814"/>
          </w:tcPr>
          <w:p>
            <w:r>
              <w:rPr/>
              <w:t>9） 支持协议：以太网、EtherNet/IP、Profinet、SLMP、TCP/IP、UDP、FTP、RS232；</w:t>
            </w:r>
          </w:p>
        </w:tc>
      </w:tr>
      <w:tr>
        <w:tc>
          <w:tcPr>
            <w:tcW w:type="dxa" w:w="2076"/>
          </w:tcPr>
          <w:p/>
        </w:tc>
        <w:tc>
          <w:tcPr>
            <w:tcW w:type="dxa" w:w="415"/>
          </w:tcPr>
          <w:p>
            <w:r>
              <w:rPr/>
              <w:t>26</w:t>
            </w:r>
          </w:p>
        </w:tc>
        <w:tc>
          <w:tcPr>
            <w:tcW w:type="dxa" w:w="5814"/>
          </w:tcPr>
          <w:p>
            <w:r>
              <w:rPr/>
              <w:t>10） 硬件接口：M12以太网、M12电源、IO和串行；</w:t>
            </w:r>
          </w:p>
        </w:tc>
      </w:tr>
      <w:tr>
        <w:tc>
          <w:tcPr>
            <w:tcW w:type="dxa" w:w="2076"/>
          </w:tcPr>
          <w:p/>
        </w:tc>
        <w:tc>
          <w:tcPr>
            <w:tcW w:type="dxa" w:w="415"/>
          </w:tcPr>
          <w:p>
            <w:r>
              <w:rPr/>
              <w:t>27</w:t>
            </w:r>
          </w:p>
        </w:tc>
        <w:tc>
          <w:tcPr>
            <w:tcW w:type="dxa" w:w="5814"/>
          </w:tcPr>
          <w:p>
            <w:r>
              <w:rPr/>
              <w:t>11） 输入：≥2个；</w:t>
            </w:r>
          </w:p>
        </w:tc>
      </w:tr>
      <w:tr>
        <w:tc>
          <w:tcPr>
            <w:tcW w:type="dxa" w:w="2076"/>
          </w:tcPr>
          <w:p/>
        </w:tc>
        <w:tc>
          <w:tcPr>
            <w:tcW w:type="dxa" w:w="415"/>
          </w:tcPr>
          <w:p>
            <w:r>
              <w:rPr/>
              <w:t>28</w:t>
            </w:r>
          </w:p>
        </w:tc>
        <w:tc>
          <w:tcPr>
            <w:tcW w:type="dxa" w:w="5814"/>
          </w:tcPr>
          <w:p>
            <w:r>
              <w:rPr/>
              <w:t>12） 输出：≥4个；</w:t>
            </w:r>
          </w:p>
        </w:tc>
      </w:tr>
      <w:tr>
        <w:tc>
          <w:tcPr>
            <w:tcW w:type="dxa" w:w="2076"/>
          </w:tcPr>
          <w:p/>
        </w:tc>
        <w:tc>
          <w:tcPr>
            <w:tcW w:type="dxa" w:w="415"/>
          </w:tcPr>
          <w:p>
            <w:r>
              <w:rPr/>
              <w:t>29</w:t>
            </w:r>
          </w:p>
        </w:tc>
        <w:tc>
          <w:tcPr>
            <w:tcW w:type="dxa" w:w="5814"/>
          </w:tcPr>
          <w:p>
            <w:r>
              <w:rPr/>
              <w:t>工装系统： 1） 行程：≥±45°；</w:t>
            </w:r>
          </w:p>
        </w:tc>
      </w:tr>
      <w:tr>
        <w:tc>
          <w:tcPr>
            <w:tcW w:type="dxa" w:w="2076"/>
          </w:tcPr>
          <w:p/>
        </w:tc>
        <w:tc>
          <w:tcPr>
            <w:tcW w:type="dxa" w:w="415"/>
          </w:tcPr>
          <w:p>
            <w:r>
              <w:rPr/>
              <w:t>30</w:t>
            </w:r>
          </w:p>
        </w:tc>
        <w:tc>
          <w:tcPr>
            <w:tcW w:type="dxa" w:w="5814"/>
          </w:tcPr>
          <w:p>
            <w:r>
              <w:rPr/>
              <w:t>2） 最高速度：≥100m/s；</w:t>
            </w:r>
          </w:p>
        </w:tc>
      </w:tr>
      <w:tr>
        <w:tc>
          <w:tcPr>
            <w:tcW w:type="dxa" w:w="2076"/>
          </w:tcPr>
          <w:p/>
        </w:tc>
        <w:tc>
          <w:tcPr>
            <w:tcW w:type="dxa" w:w="415"/>
          </w:tcPr>
          <w:p>
            <w:r>
              <w:rPr/>
              <w:t>31</w:t>
            </w:r>
          </w:p>
        </w:tc>
        <w:tc>
          <w:tcPr>
            <w:tcW w:type="dxa" w:w="5814"/>
          </w:tcPr>
          <w:p>
            <w:r>
              <w:rPr/>
              <w:t>3） 驱动方式：交流伺服+蜗轮蜗杆减速器；</w:t>
            </w:r>
          </w:p>
        </w:tc>
      </w:tr>
      <w:tr>
        <w:tc>
          <w:tcPr>
            <w:tcW w:type="dxa" w:w="2076"/>
          </w:tcPr>
          <w:p/>
        </w:tc>
        <w:tc>
          <w:tcPr>
            <w:tcW w:type="dxa" w:w="415"/>
          </w:tcPr>
          <w:p>
            <w:r>
              <w:rPr/>
              <w:t>32</w:t>
            </w:r>
          </w:p>
        </w:tc>
        <w:tc>
          <w:tcPr>
            <w:tcW w:type="dxa" w:w="5814"/>
          </w:tcPr>
          <w:p>
            <w:r>
              <w:rPr/>
              <w:t>4） 高度：与机器人配套；</w:t>
            </w:r>
          </w:p>
        </w:tc>
      </w:tr>
      <w:tr>
        <w:tc>
          <w:tcPr>
            <w:tcW w:type="dxa" w:w="2076"/>
          </w:tcPr>
          <w:p>
            <w:r>
              <w:rPr/>
              <w:t>▲</w:t>
            </w:r>
          </w:p>
        </w:tc>
        <w:tc>
          <w:tcPr>
            <w:tcW w:type="dxa" w:w="415"/>
          </w:tcPr>
          <w:p>
            <w:r>
              <w:rPr/>
              <w:t>33</w:t>
            </w:r>
          </w:p>
        </w:tc>
        <w:tc>
          <w:tcPr>
            <w:tcW w:type="dxa" w:w="5814"/>
          </w:tcPr>
          <w:p>
            <w:r>
              <w:rPr/>
              <w:t>5） 配备模块：平面码垛模块、搬运模块、绘图模块、作业工件仓储模块。</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工业机器人多功能控制系统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PLC控制系统： 1） 工作存储器：≥125KB；</w:t>
            </w:r>
          </w:p>
        </w:tc>
      </w:tr>
      <w:tr>
        <w:tc>
          <w:tcPr>
            <w:tcW w:type="dxa" w:w="2076"/>
          </w:tcPr>
          <w:p/>
        </w:tc>
        <w:tc>
          <w:tcPr>
            <w:tcW w:type="dxa" w:w="415"/>
          </w:tcPr>
          <w:p>
            <w:r>
              <w:rPr/>
              <w:t>2</w:t>
            </w:r>
          </w:p>
        </w:tc>
        <w:tc>
          <w:tcPr>
            <w:tcW w:type="dxa" w:w="5814"/>
          </w:tcPr>
          <w:p>
            <w:r>
              <w:rPr/>
              <w:t>2） 装载存储器：≥4MB；</w:t>
            </w:r>
          </w:p>
        </w:tc>
      </w:tr>
      <w:tr>
        <w:tc>
          <w:tcPr>
            <w:tcW w:type="dxa" w:w="2076"/>
          </w:tcPr>
          <w:p/>
        </w:tc>
        <w:tc>
          <w:tcPr>
            <w:tcW w:type="dxa" w:w="415"/>
          </w:tcPr>
          <w:p>
            <w:r>
              <w:rPr/>
              <w:t>3</w:t>
            </w:r>
          </w:p>
        </w:tc>
        <w:tc>
          <w:tcPr>
            <w:tcW w:type="dxa" w:w="5814"/>
          </w:tcPr>
          <w:p>
            <w:r>
              <w:rPr/>
              <w:t>3） 保持性存储器：≥10KB；</w:t>
            </w:r>
          </w:p>
        </w:tc>
      </w:tr>
      <w:tr>
        <w:tc>
          <w:tcPr>
            <w:tcW w:type="dxa" w:w="2076"/>
          </w:tcPr>
          <w:p/>
        </w:tc>
        <w:tc>
          <w:tcPr>
            <w:tcW w:type="dxa" w:w="415"/>
          </w:tcPr>
          <w:p>
            <w:r>
              <w:rPr/>
              <w:t>4</w:t>
            </w:r>
          </w:p>
        </w:tc>
        <w:tc>
          <w:tcPr>
            <w:tcW w:type="dxa" w:w="5814"/>
          </w:tcPr>
          <w:p>
            <w:r>
              <w:rPr/>
              <w:t>4） 数字量：≥14DI/10DO；</w:t>
            </w:r>
          </w:p>
        </w:tc>
      </w:tr>
      <w:tr>
        <w:tc>
          <w:tcPr>
            <w:tcW w:type="dxa" w:w="2076"/>
          </w:tcPr>
          <w:p/>
        </w:tc>
        <w:tc>
          <w:tcPr>
            <w:tcW w:type="dxa" w:w="415"/>
          </w:tcPr>
          <w:p>
            <w:r>
              <w:rPr/>
              <w:t>5</w:t>
            </w:r>
          </w:p>
        </w:tc>
        <w:tc>
          <w:tcPr>
            <w:tcW w:type="dxa" w:w="5814"/>
          </w:tcPr>
          <w:p>
            <w:r>
              <w:rPr/>
              <w:t>5） 模拟量：≥2AI/2AO；</w:t>
            </w:r>
          </w:p>
        </w:tc>
      </w:tr>
      <w:tr>
        <w:tc>
          <w:tcPr>
            <w:tcW w:type="dxa" w:w="2076"/>
          </w:tcPr>
          <w:p/>
        </w:tc>
        <w:tc>
          <w:tcPr>
            <w:tcW w:type="dxa" w:w="415"/>
          </w:tcPr>
          <w:p>
            <w:r>
              <w:rPr/>
              <w:t>6</w:t>
            </w:r>
          </w:p>
        </w:tc>
        <w:tc>
          <w:tcPr>
            <w:tcW w:type="dxa" w:w="5814"/>
          </w:tcPr>
          <w:p>
            <w:r>
              <w:rPr/>
              <w:t>6） 以太网端口数：≥2个；</w:t>
            </w:r>
          </w:p>
        </w:tc>
      </w:tr>
      <w:tr>
        <w:tc>
          <w:tcPr>
            <w:tcW w:type="dxa" w:w="2076"/>
          </w:tcPr>
          <w:p/>
        </w:tc>
        <w:tc>
          <w:tcPr>
            <w:tcW w:type="dxa" w:w="415"/>
          </w:tcPr>
          <w:p>
            <w:r>
              <w:rPr/>
              <w:t>7</w:t>
            </w:r>
          </w:p>
        </w:tc>
        <w:tc>
          <w:tcPr>
            <w:tcW w:type="dxa" w:w="5814"/>
          </w:tcPr>
          <w:p>
            <w:r>
              <w:rPr/>
              <w:t>7） 通信协议支持：PROFINET、TCP/IP、SNMP、DCP、LLDP、ISO-on-TCP、UDP、Modbus、S7等通信协议，PROFIBUS、AS接口通信扩展可支持；</w:t>
            </w:r>
          </w:p>
        </w:tc>
      </w:tr>
      <w:tr>
        <w:tc>
          <w:tcPr>
            <w:tcW w:type="dxa" w:w="2076"/>
          </w:tcPr>
          <w:p/>
        </w:tc>
        <w:tc>
          <w:tcPr>
            <w:tcW w:type="dxa" w:w="415"/>
          </w:tcPr>
          <w:p>
            <w:r>
              <w:rPr/>
              <w:t>8</w:t>
            </w:r>
          </w:p>
        </w:tc>
        <w:tc>
          <w:tcPr>
            <w:tcW w:type="dxa" w:w="5814"/>
          </w:tcPr>
          <w:p>
            <w:r>
              <w:rPr/>
              <w:t>8） 实数数学运算执行速度：≤2.3μs/指令；</w:t>
            </w:r>
          </w:p>
        </w:tc>
      </w:tr>
      <w:tr>
        <w:tc>
          <w:tcPr>
            <w:tcW w:type="dxa" w:w="2076"/>
          </w:tcPr>
          <w:p/>
        </w:tc>
        <w:tc>
          <w:tcPr>
            <w:tcW w:type="dxa" w:w="415"/>
          </w:tcPr>
          <w:p>
            <w:r>
              <w:rPr/>
              <w:t>9</w:t>
            </w:r>
          </w:p>
        </w:tc>
        <w:tc>
          <w:tcPr>
            <w:tcW w:type="dxa" w:w="5814"/>
          </w:tcPr>
          <w:p>
            <w:r>
              <w:rPr/>
              <w:t>人机交互模块： 1) 触摸屏尺寸：≥10.2英寸；</w:t>
            </w:r>
          </w:p>
        </w:tc>
      </w:tr>
      <w:tr>
        <w:tc>
          <w:tcPr>
            <w:tcW w:type="dxa" w:w="2076"/>
          </w:tcPr>
          <w:p/>
        </w:tc>
        <w:tc>
          <w:tcPr>
            <w:tcW w:type="dxa" w:w="415"/>
          </w:tcPr>
          <w:p>
            <w:r>
              <w:rPr/>
              <w:t>10</w:t>
            </w:r>
          </w:p>
        </w:tc>
        <w:tc>
          <w:tcPr>
            <w:tcW w:type="dxa" w:w="5814"/>
          </w:tcPr>
          <w:p>
            <w:r>
              <w:rPr/>
              <w:t>2) 语言：中文；</w:t>
            </w:r>
          </w:p>
        </w:tc>
      </w:tr>
      <w:tr>
        <w:tc>
          <w:tcPr>
            <w:tcW w:type="dxa" w:w="2076"/>
          </w:tcPr>
          <w:p>
            <w:r>
              <w:rPr/>
              <w:t>▲</w:t>
            </w:r>
          </w:p>
        </w:tc>
        <w:tc>
          <w:tcPr>
            <w:tcW w:type="dxa" w:w="415"/>
          </w:tcPr>
          <w:p>
            <w:r>
              <w:rPr/>
              <w:t>11</w:t>
            </w:r>
          </w:p>
        </w:tc>
        <w:tc>
          <w:tcPr>
            <w:tcW w:type="dxa" w:w="5814"/>
          </w:tcPr>
          <w:p>
            <w:r>
              <w:rPr/>
              <w:t>安全保护： 1) 光栅：1对；</w:t>
            </w:r>
          </w:p>
        </w:tc>
      </w:tr>
      <w:tr>
        <w:tc>
          <w:tcPr>
            <w:tcW w:type="dxa" w:w="2076"/>
          </w:tcPr>
          <w:p/>
        </w:tc>
        <w:tc>
          <w:tcPr>
            <w:tcW w:type="dxa" w:w="415"/>
          </w:tcPr>
          <w:p>
            <w:r>
              <w:rPr/>
              <w:t>12</w:t>
            </w:r>
          </w:p>
        </w:tc>
        <w:tc>
          <w:tcPr>
            <w:tcW w:type="dxa" w:w="5814"/>
          </w:tcPr>
          <w:p>
            <w:r>
              <w:rPr/>
              <w:t>2)安全门锁：1个；</w:t>
            </w:r>
          </w:p>
        </w:tc>
      </w:tr>
      <w:tr>
        <w:tc>
          <w:tcPr>
            <w:tcW w:type="dxa" w:w="2076"/>
          </w:tcPr>
          <w:p/>
        </w:tc>
        <w:tc>
          <w:tcPr>
            <w:tcW w:type="dxa" w:w="415"/>
          </w:tcPr>
          <w:p>
            <w:r>
              <w:rPr/>
              <w:t>13</w:t>
            </w:r>
          </w:p>
        </w:tc>
        <w:tc>
          <w:tcPr>
            <w:tcW w:type="dxa" w:w="5814"/>
          </w:tcPr>
          <w:p>
            <w:r>
              <w:rPr/>
              <w:t>3) 安全继电器：有。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固晶机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设备组成： 晶元工作台模组、图形识别系统、固晶摆臂系统、固晶工作台模组、点胶摆臂系统、进收料系统等。</w:t>
            </w:r>
          </w:p>
        </w:tc>
      </w:tr>
      <w:tr>
        <w:tc>
          <w:tcPr>
            <w:tcW w:type="dxa" w:w="2076"/>
          </w:tcPr>
          <w:p>
            <w:r>
              <w:rPr/>
              <w:t>★</w:t>
            </w:r>
          </w:p>
        </w:tc>
        <w:tc>
          <w:tcPr>
            <w:tcW w:type="dxa" w:w="415"/>
          </w:tcPr>
          <w:p>
            <w:r>
              <w:rPr/>
              <w:t>2</w:t>
            </w:r>
          </w:p>
        </w:tc>
        <w:tc>
          <w:tcPr>
            <w:tcW w:type="dxa" w:w="5814"/>
          </w:tcPr>
          <w:p>
            <w:r>
              <w:rPr/>
              <w:t>系统功能：固晶周期：≥35ms（实际产能取决于晶片与支架尺寸及制程工艺要求）</w:t>
            </w:r>
          </w:p>
          <w:p>
            <w:r>
              <w:rPr/>
              <w:t>如：2835：单晶 UPHmax：100K；</w:t>
            </w:r>
          </w:p>
          <w:p>
            <w:r>
              <w:rPr/>
              <w:t>1515：R UPHmax：80K；</w:t>
            </w:r>
          </w:p>
          <w:p>
            <w:r>
              <w:rPr/>
              <w:t>GB UPHmax：100K</w:t>
            </w:r>
          </w:p>
        </w:tc>
      </w:tr>
      <w:tr>
        <w:tc>
          <w:tcPr>
            <w:tcW w:type="dxa" w:w="2076"/>
          </w:tcPr>
          <w:p>
            <w:r>
              <w:rPr/>
              <w:t>★</w:t>
            </w:r>
          </w:p>
        </w:tc>
        <w:tc>
          <w:tcPr>
            <w:tcW w:type="dxa" w:w="415"/>
          </w:tcPr>
          <w:p>
            <w:r>
              <w:rPr/>
              <w:t>3</w:t>
            </w:r>
          </w:p>
        </w:tc>
        <w:tc>
          <w:tcPr>
            <w:tcW w:type="dxa" w:w="5814"/>
          </w:tcPr>
          <w:p>
            <w:r>
              <w:rPr/>
              <w:t>固晶位置精度：≤±1mil（±25.4um）</w:t>
            </w:r>
          </w:p>
        </w:tc>
      </w:tr>
      <w:tr>
        <w:tc>
          <w:tcPr>
            <w:tcW w:type="dxa" w:w="2076"/>
          </w:tcPr>
          <w:p>
            <w:r>
              <w:rPr/>
              <w:t>★</w:t>
            </w:r>
          </w:p>
        </w:tc>
        <w:tc>
          <w:tcPr>
            <w:tcW w:type="dxa" w:w="415"/>
          </w:tcPr>
          <w:p>
            <w:r>
              <w:rPr/>
              <w:t>4</w:t>
            </w:r>
          </w:p>
        </w:tc>
        <w:tc>
          <w:tcPr>
            <w:tcW w:type="dxa" w:w="5814"/>
          </w:tcPr>
          <w:p>
            <w:r>
              <w:rPr/>
              <w:t>晶片角度精度：≤±1°（配置自动校正功能）</w:t>
            </w:r>
          </w:p>
        </w:tc>
      </w:tr>
      <w:tr>
        <w:tc>
          <w:tcPr>
            <w:tcW w:type="dxa" w:w="2076"/>
          </w:tcPr>
          <w:p/>
        </w:tc>
        <w:tc>
          <w:tcPr>
            <w:tcW w:type="dxa" w:w="415"/>
          </w:tcPr>
          <w:p>
            <w:r>
              <w:rPr/>
              <w:t>5</w:t>
            </w:r>
          </w:p>
        </w:tc>
        <w:tc>
          <w:tcPr>
            <w:tcW w:type="dxa" w:w="5814"/>
          </w:tcPr>
          <w:p>
            <w:r>
              <w:rPr/>
              <w:t>多角度固晶功能：具备四个任意角度固晶（配置自动校正功能）</w:t>
            </w:r>
          </w:p>
        </w:tc>
      </w:tr>
      <w:tr>
        <w:tc>
          <w:tcPr>
            <w:tcW w:type="dxa" w:w="2076"/>
          </w:tcPr>
          <w:p/>
        </w:tc>
        <w:tc>
          <w:tcPr>
            <w:tcW w:type="dxa" w:w="415"/>
          </w:tcPr>
          <w:p>
            <w:r>
              <w:rPr/>
              <w:t>6</w:t>
            </w:r>
          </w:p>
        </w:tc>
        <w:tc>
          <w:tcPr>
            <w:tcW w:type="dxa" w:w="5814"/>
          </w:tcPr>
          <w:p>
            <w:r>
              <w:rPr/>
              <w:t>丢晶检测功能：具备（真空检测方式）</w:t>
            </w:r>
          </w:p>
        </w:tc>
      </w:tr>
      <w:tr>
        <w:tc>
          <w:tcPr>
            <w:tcW w:type="dxa" w:w="2076"/>
          </w:tcPr>
          <w:p/>
        </w:tc>
        <w:tc>
          <w:tcPr>
            <w:tcW w:type="dxa" w:w="415"/>
          </w:tcPr>
          <w:p>
            <w:r>
              <w:rPr/>
              <w:t>7</w:t>
            </w:r>
          </w:p>
        </w:tc>
        <w:tc>
          <w:tcPr>
            <w:tcW w:type="dxa" w:w="5814"/>
          </w:tcPr>
          <w:p>
            <w:r>
              <w:rPr/>
              <w:t>漏固检测功能：具备（真空检测方式）</w:t>
            </w:r>
          </w:p>
        </w:tc>
      </w:tr>
      <w:tr>
        <w:tc>
          <w:tcPr>
            <w:tcW w:type="dxa" w:w="2076"/>
          </w:tcPr>
          <w:p/>
        </w:tc>
        <w:tc>
          <w:tcPr>
            <w:tcW w:type="dxa" w:w="415"/>
          </w:tcPr>
          <w:p>
            <w:r>
              <w:rPr/>
              <w:t>8</w:t>
            </w:r>
          </w:p>
        </w:tc>
        <w:tc>
          <w:tcPr>
            <w:tcW w:type="dxa" w:w="5814"/>
          </w:tcPr>
          <w:p>
            <w:r>
              <w:rPr/>
              <w:t>产能统计功能：具备</w:t>
            </w:r>
          </w:p>
        </w:tc>
      </w:tr>
      <w:tr>
        <w:tc>
          <w:tcPr>
            <w:tcW w:type="dxa" w:w="2076"/>
          </w:tcPr>
          <w:p/>
        </w:tc>
        <w:tc>
          <w:tcPr>
            <w:tcW w:type="dxa" w:w="415"/>
          </w:tcPr>
          <w:p>
            <w:r>
              <w:rPr/>
              <w:t>9</w:t>
            </w:r>
          </w:p>
        </w:tc>
        <w:tc>
          <w:tcPr>
            <w:tcW w:type="dxa" w:w="5814"/>
          </w:tcPr>
          <w:p>
            <w:r>
              <w:rPr/>
              <w:t>耗材使用统计功能：具备</w:t>
            </w:r>
          </w:p>
        </w:tc>
      </w:tr>
      <w:tr>
        <w:tc>
          <w:tcPr>
            <w:tcW w:type="dxa" w:w="2076"/>
          </w:tcPr>
          <w:p/>
        </w:tc>
        <w:tc>
          <w:tcPr>
            <w:tcW w:type="dxa" w:w="415"/>
          </w:tcPr>
          <w:p>
            <w:r>
              <w:rPr/>
              <w:t>10</w:t>
            </w:r>
          </w:p>
        </w:tc>
        <w:tc>
          <w:tcPr>
            <w:tcW w:type="dxa" w:w="5814"/>
          </w:tcPr>
          <w:p>
            <w:r>
              <w:rPr/>
              <w:t>参数修改记录功能：具备</w:t>
            </w:r>
          </w:p>
        </w:tc>
      </w:tr>
      <w:tr>
        <w:tc>
          <w:tcPr>
            <w:tcW w:type="dxa" w:w="2076"/>
          </w:tcPr>
          <w:p/>
        </w:tc>
        <w:tc>
          <w:tcPr>
            <w:tcW w:type="dxa" w:w="415"/>
          </w:tcPr>
          <w:p>
            <w:r>
              <w:rPr/>
              <w:t>11</w:t>
            </w:r>
          </w:p>
        </w:tc>
        <w:tc>
          <w:tcPr>
            <w:tcW w:type="dxa" w:w="5814"/>
          </w:tcPr>
          <w:p>
            <w:r>
              <w:rPr/>
              <w:t>用户权限管理功能：具备</w:t>
            </w:r>
          </w:p>
        </w:tc>
      </w:tr>
      <w:tr>
        <w:tc>
          <w:tcPr>
            <w:tcW w:type="dxa" w:w="2076"/>
          </w:tcPr>
          <w:p/>
        </w:tc>
        <w:tc>
          <w:tcPr>
            <w:tcW w:type="dxa" w:w="415"/>
          </w:tcPr>
          <w:p>
            <w:r>
              <w:rPr/>
              <w:t>12</w:t>
            </w:r>
          </w:p>
        </w:tc>
        <w:tc>
          <w:tcPr>
            <w:tcW w:type="dxa" w:w="5814"/>
          </w:tcPr>
          <w:p>
            <w:r>
              <w:rPr/>
              <w:t>晶元工作台模组： 晶片尺寸：3mil×3mil-60mil×60mil</w:t>
            </w:r>
          </w:p>
        </w:tc>
      </w:tr>
      <w:tr>
        <w:tc>
          <w:tcPr>
            <w:tcW w:type="dxa" w:w="2076"/>
          </w:tcPr>
          <w:p/>
        </w:tc>
        <w:tc>
          <w:tcPr>
            <w:tcW w:type="dxa" w:w="415"/>
          </w:tcPr>
          <w:p>
            <w:r>
              <w:rPr/>
              <w:t>13</w:t>
            </w:r>
          </w:p>
        </w:tc>
        <w:tc>
          <w:tcPr>
            <w:tcW w:type="dxa" w:w="5814"/>
          </w:tcPr>
          <w:p>
            <w:r>
              <w:rPr/>
              <w:t>晶片厚度：0.1-0.7mm</w:t>
            </w:r>
          </w:p>
        </w:tc>
      </w:tr>
      <w:tr>
        <w:tc>
          <w:tcPr>
            <w:tcW w:type="dxa" w:w="2076"/>
          </w:tcPr>
          <w:p/>
        </w:tc>
        <w:tc>
          <w:tcPr>
            <w:tcW w:type="dxa" w:w="415"/>
          </w:tcPr>
          <w:p>
            <w:r>
              <w:rPr/>
              <w:t>14</w:t>
            </w:r>
          </w:p>
        </w:tc>
        <w:tc>
          <w:tcPr>
            <w:tcW w:type="dxa" w:w="5814"/>
          </w:tcPr>
          <w:p>
            <w:r>
              <w:rPr/>
              <w:t>晶片最大校正角度：±15°（配置自动校正功能）</w:t>
            </w:r>
          </w:p>
        </w:tc>
      </w:tr>
      <w:tr>
        <w:tc>
          <w:tcPr>
            <w:tcW w:type="dxa" w:w="2076"/>
          </w:tcPr>
          <w:p/>
        </w:tc>
        <w:tc>
          <w:tcPr>
            <w:tcW w:type="dxa" w:w="415"/>
          </w:tcPr>
          <w:p>
            <w:r>
              <w:rPr/>
              <w:t>15</w:t>
            </w:r>
          </w:p>
        </w:tc>
        <w:tc>
          <w:tcPr>
            <w:tcW w:type="dxa" w:w="5814"/>
          </w:tcPr>
          <w:p>
            <w:r>
              <w:rPr/>
              <w:t>最大晶环尺寸：6"晶环（152mm外径）</w:t>
            </w:r>
          </w:p>
        </w:tc>
      </w:tr>
      <w:tr>
        <w:tc>
          <w:tcPr>
            <w:tcW w:type="dxa" w:w="2076"/>
          </w:tcPr>
          <w:p/>
        </w:tc>
        <w:tc>
          <w:tcPr>
            <w:tcW w:type="dxa" w:w="415"/>
          </w:tcPr>
          <w:p>
            <w:r>
              <w:rPr/>
              <w:t>16</w:t>
            </w:r>
          </w:p>
        </w:tc>
        <w:tc>
          <w:tcPr>
            <w:tcW w:type="dxa" w:w="5814"/>
          </w:tcPr>
          <w:p>
            <w:r>
              <w:rPr/>
              <w:t>最大晶片面积尺寸：4.7"（119mm）</w:t>
            </w:r>
          </w:p>
        </w:tc>
      </w:tr>
      <w:tr>
        <w:tc>
          <w:tcPr>
            <w:tcW w:type="dxa" w:w="2076"/>
          </w:tcPr>
          <w:p/>
        </w:tc>
        <w:tc>
          <w:tcPr>
            <w:tcW w:type="dxa" w:w="415"/>
          </w:tcPr>
          <w:p>
            <w:r>
              <w:rPr/>
              <w:t>17</w:t>
            </w:r>
          </w:p>
        </w:tc>
        <w:tc>
          <w:tcPr>
            <w:tcW w:type="dxa" w:w="5814"/>
          </w:tcPr>
          <w:p>
            <w:r>
              <w:rPr/>
              <w:t>工作台最大行程：152mm×152mm</w:t>
            </w:r>
          </w:p>
        </w:tc>
      </w:tr>
      <w:tr>
        <w:tc>
          <w:tcPr>
            <w:tcW w:type="dxa" w:w="2076"/>
          </w:tcPr>
          <w:p/>
        </w:tc>
        <w:tc>
          <w:tcPr>
            <w:tcW w:type="dxa" w:w="415"/>
          </w:tcPr>
          <w:p>
            <w:r>
              <w:rPr/>
              <w:t>18</w:t>
            </w:r>
          </w:p>
        </w:tc>
        <w:tc>
          <w:tcPr>
            <w:tcW w:type="dxa" w:w="5814"/>
          </w:tcPr>
          <w:p>
            <w:r>
              <w:rPr/>
              <w:t>XY分辨率：≥0.5um</w:t>
            </w:r>
          </w:p>
        </w:tc>
      </w:tr>
      <w:tr>
        <w:tc>
          <w:tcPr>
            <w:tcW w:type="dxa" w:w="2076"/>
          </w:tcPr>
          <w:p/>
        </w:tc>
        <w:tc>
          <w:tcPr>
            <w:tcW w:type="dxa" w:w="415"/>
          </w:tcPr>
          <w:p>
            <w:r>
              <w:rPr/>
              <w:t>19</w:t>
            </w:r>
          </w:p>
        </w:tc>
        <w:tc>
          <w:tcPr>
            <w:tcW w:type="dxa" w:w="5814"/>
          </w:tcPr>
          <w:p>
            <w:r>
              <w:rPr/>
              <w:t>顶针Z向高度行程：≥3mm</w:t>
            </w:r>
          </w:p>
        </w:tc>
      </w:tr>
      <w:tr>
        <w:tc>
          <w:tcPr>
            <w:tcW w:type="dxa" w:w="2076"/>
          </w:tcPr>
          <w:p/>
        </w:tc>
        <w:tc>
          <w:tcPr>
            <w:tcW w:type="dxa" w:w="415"/>
          </w:tcPr>
          <w:p>
            <w:r>
              <w:rPr/>
              <w:t>20</w:t>
            </w:r>
          </w:p>
        </w:tc>
        <w:tc>
          <w:tcPr>
            <w:tcW w:type="dxa" w:w="5814"/>
          </w:tcPr>
          <w:p>
            <w:r>
              <w:rPr/>
              <w:t>顶针帽：单针（具备）</w:t>
            </w:r>
          </w:p>
        </w:tc>
      </w:tr>
      <w:tr>
        <w:tc>
          <w:tcPr>
            <w:tcW w:type="dxa" w:w="2076"/>
          </w:tcPr>
          <w:p/>
        </w:tc>
        <w:tc>
          <w:tcPr>
            <w:tcW w:type="dxa" w:w="415"/>
          </w:tcPr>
          <w:p>
            <w:r>
              <w:rPr/>
              <w:t>21</w:t>
            </w:r>
          </w:p>
        </w:tc>
        <w:tc>
          <w:tcPr>
            <w:tcW w:type="dxa" w:w="5814"/>
          </w:tcPr>
          <w:p>
            <w:r>
              <w:rPr/>
              <w:t>自动校正功能：具备</w:t>
            </w:r>
          </w:p>
        </w:tc>
      </w:tr>
      <w:tr>
        <w:tc>
          <w:tcPr>
            <w:tcW w:type="dxa" w:w="2076"/>
          </w:tcPr>
          <w:p/>
        </w:tc>
        <w:tc>
          <w:tcPr>
            <w:tcW w:type="dxa" w:w="415"/>
          </w:tcPr>
          <w:p>
            <w:r>
              <w:rPr/>
              <w:t>22</w:t>
            </w:r>
          </w:p>
        </w:tc>
        <w:tc>
          <w:tcPr>
            <w:tcW w:type="dxa" w:w="5814"/>
          </w:tcPr>
          <w:p>
            <w:r>
              <w:rPr/>
              <w:t>自动换晶环功能：具备</w:t>
            </w:r>
          </w:p>
        </w:tc>
      </w:tr>
      <w:tr>
        <w:tc>
          <w:tcPr>
            <w:tcW w:type="dxa" w:w="2076"/>
          </w:tcPr>
          <w:p/>
        </w:tc>
        <w:tc>
          <w:tcPr>
            <w:tcW w:type="dxa" w:w="415"/>
          </w:tcPr>
          <w:p>
            <w:r>
              <w:rPr/>
              <w:t>23</w:t>
            </w:r>
          </w:p>
        </w:tc>
        <w:tc>
          <w:tcPr>
            <w:tcW w:type="dxa" w:w="5814"/>
          </w:tcPr>
          <w:p>
            <w:r>
              <w:rPr/>
              <w:t>图像识别系统：图像识别方式：256灰度</w:t>
            </w:r>
          </w:p>
        </w:tc>
      </w:tr>
      <w:tr>
        <w:tc>
          <w:tcPr>
            <w:tcW w:type="dxa" w:w="2076"/>
          </w:tcPr>
          <w:p/>
        </w:tc>
        <w:tc>
          <w:tcPr>
            <w:tcW w:type="dxa" w:w="415"/>
          </w:tcPr>
          <w:p>
            <w:r>
              <w:rPr/>
              <w:t>24</w:t>
            </w:r>
          </w:p>
        </w:tc>
        <w:tc>
          <w:tcPr>
            <w:tcW w:type="dxa" w:w="5814"/>
          </w:tcPr>
          <w:p>
            <w:r>
              <w:rPr/>
              <w:t>图像分辨率：≥720×540</w:t>
            </w:r>
          </w:p>
        </w:tc>
      </w:tr>
      <w:tr>
        <w:tc>
          <w:tcPr>
            <w:tcW w:type="dxa" w:w="2076"/>
          </w:tcPr>
          <w:p/>
        </w:tc>
        <w:tc>
          <w:tcPr>
            <w:tcW w:type="dxa" w:w="415"/>
          </w:tcPr>
          <w:p>
            <w:r>
              <w:rPr/>
              <w:t>25</w:t>
            </w:r>
          </w:p>
        </w:tc>
        <w:tc>
          <w:tcPr>
            <w:tcW w:type="dxa" w:w="5814"/>
          </w:tcPr>
          <w:p>
            <w:r>
              <w:rPr/>
              <w:t>图像识别精准度：≤±0.025mil@50mil观察范围</w:t>
            </w:r>
          </w:p>
        </w:tc>
      </w:tr>
      <w:tr>
        <w:tc>
          <w:tcPr>
            <w:tcW w:type="dxa" w:w="2076"/>
          </w:tcPr>
          <w:p/>
        </w:tc>
        <w:tc>
          <w:tcPr>
            <w:tcW w:type="dxa" w:w="415"/>
          </w:tcPr>
          <w:p>
            <w:r>
              <w:rPr/>
              <w:t>26</w:t>
            </w:r>
          </w:p>
        </w:tc>
        <w:tc>
          <w:tcPr>
            <w:tcW w:type="dxa" w:w="5814"/>
          </w:tcPr>
          <w:p>
            <w:r>
              <w:rPr/>
              <w:t>晶片防呆功能：具备</w:t>
            </w:r>
          </w:p>
        </w:tc>
      </w:tr>
      <w:tr>
        <w:tc>
          <w:tcPr>
            <w:tcW w:type="dxa" w:w="2076"/>
          </w:tcPr>
          <w:p/>
        </w:tc>
        <w:tc>
          <w:tcPr>
            <w:tcW w:type="dxa" w:w="415"/>
          </w:tcPr>
          <w:p>
            <w:r>
              <w:rPr/>
              <w:t>27</w:t>
            </w:r>
          </w:p>
        </w:tc>
        <w:tc>
          <w:tcPr>
            <w:tcW w:type="dxa" w:w="5814"/>
          </w:tcPr>
          <w:p>
            <w:r>
              <w:rPr/>
              <w:t>支架防呆功能：具备</w:t>
            </w:r>
          </w:p>
        </w:tc>
      </w:tr>
      <w:tr>
        <w:tc>
          <w:tcPr>
            <w:tcW w:type="dxa" w:w="2076"/>
          </w:tcPr>
          <w:p/>
        </w:tc>
        <w:tc>
          <w:tcPr>
            <w:tcW w:type="dxa" w:w="415"/>
          </w:tcPr>
          <w:p>
            <w:r>
              <w:rPr/>
              <w:t>28</w:t>
            </w:r>
          </w:p>
        </w:tc>
        <w:tc>
          <w:tcPr>
            <w:tcW w:type="dxa" w:w="5814"/>
          </w:tcPr>
          <w:p>
            <w:r>
              <w:rPr/>
              <w:t>防固重功能：具备</w:t>
            </w:r>
          </w:p>
        </w:tc>
      </w:tr>
      <w:tr>
        <w:tc>
          <w:tcPr>
            <w:tcW w:type="dxa" w:w="2076"/>
          </w:tcPr>
          <w:p/>
        </w:tc>
        <w:tc>
          <w:tcPr>
            <w:tcW w:type="dxa" w:w="415"/>
          </w:tcPr>
          <w:p>
            <w:r>
              <w:rPr/>
              <w:t>29</w:t>
            </w:r>
          </w:p>
        </w:tc>
        <w:tc>
          <w:tcPr>
            <w:tcW w:type="dxa" w:w="5814"/>
          </w:tcPr>
          <w:p>
            <w:r>
              <w:rPr/>
              <w:t>固后图像检测功能：具备</w:t>
            </w:r>
          </w:p>
        </w:tc>
      </w:tr>
      <w:tr>
        <w:tc>
          <w:tcPr>
            <w:tcW w:type="dxa" w:w="2076"/>
          </w:tcPr>
          <w:p/>
        </w:tc>
        <w:tc>
          <w:tcPr>
            <w:tcW w:type="dxa" w:w="415"/>
          </w:tcPr>
          <w:p>
            <w:r>
              <w:rPr/>
              <w:t>30</w:t>
            </w:r>
          </w:p>
        </w:tc>
        <w:tc>
          <w:tcPr>
            <w:tcW w:type="dxa" w:w="5814"/>
          </w:tcPr>
          <w:p>
            <w:r>
              <w:rPr/>
              <w:t>固晶摆臂系统： 固晶方式：双摆臂90°旋转固晶</w:t>
            </w:r>
          </w:p>
        </w:tc>
      </w:tr>
      <w:tr>
        <w:tc>
          <w:tcPr>
            <w:tcW w:type="dxa" w:w="2076"/>
          </w:tcPr>
          <w:p/>
        </w:tc>
        <w:tc>
          <w:tcPr>
            <w:tcW w:type="dxa" w:w="415"/>
          </w:tcPr>
          <w:p>
            <w:r>
              <w:rPr/>
              <w:t>31</w:t>
            </w:r>
          </w:p>
        </w:tc>
        <w:tc>
          <w:tcPr>
            <w:tcW w:type="dxa" w:w="5814"/>
          </w:tcPr>
          <w:p>
            <w:r>
              <w:rPr/>
              <w:t>吸晶压力：30g-250g可调</w:t>
            </w:r>
          </w:p>
        </w:tc>
      </w:tr>
      <w:tr>
        <w:tc>
          <w:tcPr>
            <w:tcW w:type="dxa" w:w="2076"/>
          </w:tcPr>
          <w:p/>
        </w:tc>
        <w:tc>
          <w:tcPr>
            <w:tcW w:type="dxa" w:w="415"/>
          </w:tcPr>
          <w:p>
            <w:r>
              <w:rPr/>
              <w:t>32</w:t>
            </w:r>
          </w:p>
        </w:tc>
        <w:tc>
          <w:tcPr>
            <w:tcW w:type="dxa" w:w="5814"/>
          </w:tcPr>
          <w:p>
            <w:r>
              <w:rPr/>
              <w:t>手动调节吸嘴真空灵敏度：具备</w:t>
            </w:r>
          </w:p>
        </w:tc>
      </w:tr>
      <w:tr>
        <w:tc>
          <w:tcPr>
            <w:tcW w:type="dxa" w:w="2076"/>
          </w:tcPr>
          <w:p/>
        </w:tc>
        <w:tc>
          <w:tcPr>
            <w:tcW w:type="dxa" w:w="415"/>
          </w:tcPr>
          <w:p>
            <w:r>
              <w:rPr/>
              <w:t>33</w:t>
            </w:r>
          </w:p>
        </w:tc>
        <w:tc>
          <w:tcPr>
            <w:tcW w:type="dxa" w:w="5814"/>
          </w:tcPr>
          <w:p>
            <w:r>
              <w:rPr/>
              <w:t>固晶工作台模组： 工作台行程范围：≥180mm×90mm</w:t>
            </w:r>
          </w:p>
        </w:tc>
      </w:tr>
      <w:tr>
        <w:tc>
          <w:tcPr>
            <w:tcW w:type="dxa" w:w="2076"/>
          </w:tcPr>
          <w:p/>
        </w:tc>
        <w:tc>
          <w:tcPr>
            <w:tcW w:type="dxa" w:w="415"/>
          </w:tcPr>
          <w:p>
            <w:r>
              <w:rPr/>
              <w:t>34</w:t>
            </w:r>
          </w:p>
        </w:tc>
        <w:tc>
          <w:tcPr>
            <w:tcW w:type="dxa" w:w="5814"/>
          </w:tcPr>
          <w:p>
            <w:r>
              <w:rPr/>
              <w:t>适应支架宽度：30-75mm</w:t>
            </w:r>
          </w:p>
        </w:tc>
      </w:tr>
      <w:tr>
        <w:tc>
          <w:tcPr>
            <w:tcW w:type="dxa" w:w="2076"/>
          </w:tcPr>
          <w:p/>
        </w:tc>
        <w:tc>
          <w:tcPr>
            <w:tcW w:type="dxa" w:w="415"/>
          </w:tcPr>
          <w:p>
            <w:r>
              <w:rPr/>
              <w:t>35</w:t>
            </w:r>
          </w:p>
        </w:tc>
        <w:tc>
          <w:tcPr>
            <w:tcW w:type="dxa" w:w="5814"/>
          </w:tcPr>
          <w:p>
            <w:r>
              <w:rPr/>
              <w:t>适应支架长度：100-170mm</w:t>
            </w:r>
          </w:p>
        </w:tc>
      </w:tr>
      <w:tr>
        <w:tc>
          <w:tcPr>
            <w:tcW w:type="dxa" w:w="2076"/>
          </w:tcPr>
          <w:p/>
        </w:tc>
        <w:tc>
          <w:tcPr>
            <w:tcW w:type="dxa" w:w="415"/>
          </w:tcPr>
          <w:p>
            <w:r>
              <w:rPr/>
              <w:t>36</w:t>
            </w:r>
          </w:p>
        </w:tc>
        <w:tc>
          <w:tcPr>
            <w:tcW w:type="dxa" w:w="5814"/>
          </w:tcPr>
          <w:p>
            <w:r>
              <w:rPr/>
              <w:t>支架厚度：0.1-2mm</w:t>
            </w:r>
          </w:p>
        </w:tc>
      </w:tr>
      <w:tr>
        <w:tc>
          <w:tcPr>
            <w:tcW w:type="dxa" w:w="2076"/>
          </w:tcPr>
          <w:p/>
        </w:tc>
        <w:tc>
          <w:tcPr>
            <w:tcW w:type="dxa" w:w="415"/>
          </w:tcPr>
          <w:p>
            <w:r>
              <w:rPr/>
              <w:t>37</w:t>
            </w:r>
          </w:p>
        </w:tc>
        <w:tc>
          <w:tcPr>
            <w:tcW w:type="dxa" w:w="5814"/>
          </w:tcPr>
          <w:p>
            <w:r>
              <w:rPr/>
              <w:t>XY分辨率：≥0.5um</w:t>
            </w:r>
          </w:p>
        </w:tc>
      </w:tr>
      <w:tr>
        <w:tc>
          <w:tcPr>
            <w:tcW w:type="dxa" w:w="2076"/>
          </w:tcPr>
          <w:p/>
        </w:tc>
        <w:tc>
          <w:tcPr>
            <w:tcW w:type="dxa" w:w="415"/>
          </w:tcPr>
          <w:p>
            <w:r>
              <w:rPr/>
              <w:t>38</w:t>
            </w:r>
          </w:p>
        </w:tc>
        <w:tc>
          <w:tcPr>
            <w:tcW w:type="dxa" w:w="5814"/>
          </w:tcPr>
          <w:p>
            <w:r>
              <w:rPr/>
              <w:t>支架固定方式：夹具顶升/夹具顶升加真空吸附</w:t>
            </w:r>
          </w:p>
        </w:tc>
      </w:tr>
      <w:tr>
        <w:tc>
          <w:tcPr>
            <w:tcW w:type="dxa" w:w="2076"/>
          </w:tcPr>
          <w:p/>
        </w:tc>
        <w:tc>
          <w:tcPr>
            <w:tcW w:type="dxa" w:w="415"/>
          </w:tcPr>
          <w:p>
            <w:r>
              <w:rPr/>
              <w:t>39</w:t>
            </w:r>
          </w:p>
        </w:tc>
        <w:tc>
          <w:tcPr>
            <w:tcW w:type="dxa" w:w="5814"/>
          </w:tcPr>
          <w:p>
            <w:r>
              <w:rPr/>
              <w:t>点胶摆臂系统：点胶方式：点胶针沾取</w:t>
            </w:r>
          </w:p>
        </w:tc>
      </w:tr>
      <w:tr>
        <w:tc>
          <w:tcPr>
            <w:tcW w:type="dxa" w:w="2076"/>
          </w:tcPr>
          <w:p/>
        </w:tc>
        <w:tc>
          <w:tcPr>
            <w:tcW w:type="dxa" w:w="415"/>
          </w:tcPr>
          <w:p>
            <w:r>
              <w:rPr/>
              <w:t>40</w:t>
            </w:r>
          </w:p>
        </w:tc>
        <w:tc>
          <w:tcPr>
            <w:tcW w:type="dxa" w:w="5814"/>
          </w:tcPr>
          <w:p>
            <w:r>
              <w:rPr/>
              <w:t>点胶加热：30-90C°可调</w:t>
            </w:r>
          </w:p>
        </w:tc>
      </w:tr>
      <w:tr>
        <w:tc>
          <w:tcPr>
            <w:tcW w:type="dxa" w:w="2076"/>
          </w:tcPr>
          <w:p/>
        </w:tc>
        <w:tc>
          <w:tcPr>
            <w:tcW w:type="dxa" w:w="415"/>
          </w:tcPr>
          <w:p>
            <w:r>
              <w:rPr/>
              <w:t>41</w:t>
            </w:r>
          </w:p>
        </w:tc>
        <w:tc>
          <w:tcPr>
            <w:tcW w:type="dxa" w:w="5814"/>
          </w:tcPr>
          <w:p>
            <w:r>
              <w:rPr/>
              <w:t>点胶清洗系统： 具备海绵擦拭式点胶针自动清洁功能</w:t>
            </w:r>
          </w:p>
        </w:tc>
      </w:tr>
      <w:tr>
        <w:tc>
          <w:tcPr>
            <w:tcW w:type="dxa" w:w="2076"/>
          </w:tcPr>
          <w:p/>
        </w:tc>
        <w:tc>
          <w:tcPr>
            <w:tcW w:type="dxa" w:w="415"/>
          </w:tcPr>
          <w:p>
            <w:r>
              <w:rPr/>
              <w:t>42</w:t>
            </w:r>
          </w:p>
        </w:tc>
        <w:tc>
          <w:tcPr>
            <w:tcW w:type="dxa" w:w="5814"/>
          </w:tcPr>
          <w:p>
            <w:r>
              <w:rPr/>
              <w:t>电机及驱动系统：伺服电机及驱动</w:t>
            </w:r>
          </w:p>
        </w:tc>
      </w:tr>
      <w:tr>
        <w:tc>
          <w:tcPr>
            <w:tcW w:type="dxa" w:w="2076"/>
          </w:tcPr>
          <w:p/>
        </w:tc>
        <w:tc>
          <w:tcPr>
            <w:tcW w:type="dxa" w:w="415"/>
          </w:tcPr>
          <w:p>
            <w:r>
              <w:rPr/>
              <w:t>43</w:t>
            </w:r>
          </w:p>
        </w:tc>
        <w:tc>
          <w:tcPr>
            <w:tcW w:type="dxa" w:w="5814"/>
          </w:tcPr>
          <w:p>
            <w:r>
              <w:rPr/>
              <w:t>进收料系统： 进料方式：料盒推料</w:t>
            </w:r>
          </w:p>
        </w:tc>
      </w:tr>
      <w:tr>
        <w:tc>
          <w:tcPr>
            <w:tcW w:type="dxa" w:w="2076"/>
          </w:tcPr>
          <w:p/>
        </w:tc>
        <w:tc>
          <w:tcPr>
            <w:tcW w:type="dxa" w:w="415"/>
          </w:tcPr>
          <w:p>
            <w:r>
              <w:rPr/>
              <w:t>44</w:t>
            </w:r>
          </w:p>
        </w:tc>
        <w:tc>
          <w:tcPr>
            <w:tcW w:type="dxa" w:w="5814"/>
          </w:tcPr>
          <w:p>
            <w:r>
              <w:rPr/>
              <w:t>适用料盒宽度：37-82mm</w:t>
            </w:r>
          </w:p>
        </w:tc>
      </w:tr>
      <w:tr>
        <w:tc>
          <w:tcPr>
            <w:tcW w:type="dxa" w:w="2076"/>
          </w:tcPr>
          <w:p/>
        </w:tc>
        <w:tc>
          <w:tcPr>
            <w:tcW w:type="dxa" w:w="415"/>
          </w:tcPr>
          <w:p>
            <w:r>
              <w:rPr/>
              <w:t>45</w:t>
            </w:r>
          </w:p>
        </w:tc>
        <w:tc>
          <w:tcPr>
            <w:tcW w:type="dxa" w:w="5814"/>
          </w:tcPr>
          <w:p>
            <w:r>
              <w:rPr/>
              <w:t>适用料盒长度：120-170mm</w:t>
            </w:r>
          </w:p>
        </w:tc>
      </w:tr>
      <w:tr>
        <w:tc>
          <w:tcPr>
            <w:tcW w:type="dxa" w:w="2076"/>
          </w:tcPr>
          <w:p/>
        </w:tc>
        <w:tc>
          <w:tcPr>
            <w:tcW w:type="dxa" w:w="415"/>
          </w:tcPr>
          <w:p>
            <w:r>
              <w:rPr/>
              <w:t>46</w:t>
            </w:r>
          </w:p>
        </w:tc>
        <w:tc>
          <w:tcPr>
            <w:tcW w:type="dxa" w:w="5814"/>
          </w:tcPr>
          <w:p>
            <w:r>
              <w:rPr/>
              <w:t>适用料盒高度：50-155mm</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焊线机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1、设备基本要求：</w:t>
            </w:r>
          </w:p>
          <w:p>
            <w:r>
              <w:rPr/>
              <w:t>1.1 电源要求：</w:t>
            </w:r>
          </w:p>
          <w:p>
            <w:r>
              <w:rPr/>
              <w:t>两相交流电：220V/50HZ，漏电及过载保护总功率：≥1350W</w:t>
            </w:r>
          </w:p>
        </w:tc>
      </w:tr>
      <w:tr>
        <w:tc>
          <w:tcPr>
            <w:tcW w:type="dxa" w:w="2076"/>
          </w:tcPr>
          <w:p/>
        </w:tc>
        <w:tc>
          <w:tcPr>
            <w:tcW w:type="dxa" w:w="415"/>
          </w:tcPr>
          <w:p>
            <w:r>
              <w:rPr/>
              <w:t>2</w:t>
            </w:r>
          </w:p>
        </w:tc>
        <w:tc>
          <w:tcPr>
            <w:tcW w:type="dxa" w:w="5814"/>
          </w:tcPr>
          <w:p>
            <w:r>
              <w:rPr/>
              <w:t>1.2 压缩空气供应： 压力：≥4.5kg/cm2，快速接头直径：≥Ф10mm 带有压力开关SMC（调压阀）及过滤器（油水分离）低压报警</w:t>
            </w:r>
          </w:p>
        </w:tc>
      </w:tr>
      <w:tr>
        <w:tc>
          <w:tcPr>
            <w:tcW w:type="dxa" w:w="2076"/>
          </w:tcPr>
          <w:p/>
        </w:tc>
        <w:tc>
          <w:tcPr>
            <w:tcW w:type="dxa" w:w="415"/>
          </w:tcPr>
          <w:p>
            <w:r>
              <w:rPr/>
              <w:t>3</w:t>
            </w:r>
          </w:p>
        </w:tc>
        <w:tc>
          <w:tcPr>
            <w:tcW w:type="dxa" w:w="5814"/>
          </w:tcPr>
          <w:p>
            <w:r>
              <w:rPr/>
              <w:t>1.3 设备外观：≥长（785mm）×宽（895mm）×高（1720mm） 重量（估计值）：设备净重：≥750Kg，设备加外包装箱：≥820Kg</w:t>
            </w:r>
          </w:p>
        </w:tc>
      </w:tr>
      <w:tr>
        <w:tc>
          <w:tcPr>
            <w:tcW w:type="dxa" w:w="2076"/>
          </w:tcPr>
          <w:p/>
        </w:tc>
        <w:tc>
          <w:tcPr>
            <w:tcW w:type="dxa" w:w="415"/>
          </w:tcPr>
          <w:p>
            <w:r>
              <w:rPr/>
              <w:t>4</w:t>
            </w:r>
          </w:p>
        </w:tc>
        <w:tc>
          <w:tcPr>
            <w:tcW w:type="dxa" w:w="5814"/>
          </w:tcPr>
          <w:p>
            <w:r>
              <w:rPr/>
              <w:t>2、设备配置要求 2.1 标准配置： 2.1.1 自动上、下料机构 -能放置2个料盒 -含料盒自动出料机构和料盒FULL报警装置</w:t>
            </w:r>
          </w:p>
        </w:tc>
      </w:tr>
      <w:tr>
        <w:tc>
          <w:tcPr>
            <w:tcW w:type="dxa" w:w="2076"/>
          </w:tcPr>
          <w:p/>
        </w:tc>
        <w:tc>
          <w:tcPr>
            <w:tcW w:type="dxa" w:w="415"/>
          </w:tcPr>
          <w:p>
            <w:r>
              <w:rPr/>
              <w:t>5</w:t>
            </w:r>
          </w:p>
        </w:tc>
        <w:tc>
          <w:tcPr>
            <w:tcW w:type="dxa" w:w="5814"/>
          </w:tcPr>
          <w:p>
            <w:r>
              <w:rPr/>
              <w:t>2.1.2 设备操作系统 -具有按不同等级设定打开不同的界面权限功能 -各设定值可以自由定义上下限并锁定 -使用彩色影像显示器</w:t>
            </w:r>
          </w:p>
        </w:tc>
      </w:tr>
      <w:tr>
        <w:tc>
          <w:tcPr>
            <w:tcW w:type="dxa" w:w="2076"/>
          </w:tcPr>
          <w:p/>
        </w:tc>
        <w:tc>
          <w:tcPr>
            <w:tcW w:type="dxa" w:w="415"/>
          </w:tcPr>
          <w:p>
            <w:r>
              <w:rPr/>
              <w:t>6</w:t>
            </w:r>
          </w:p>
        </w:tc>
        <w:tc>
          <w:tcPr>
            <w:tcW w:type="dxa" w:w="5814"/>
          </w:tcPr>
          <w:p>
            <w:r>
              <w:rPr/>
              <w:t>2.1.3 XYZ机构 -运动平台XY–直线电机平台（XY直线马达） -BOND HEAD Z–音圈电机装置（Z音圈马达）</w:t>
            </w:r>
          </w:p>
        </w:tc>
      </w:tr>
      <w:tr>
        <w:tc>
          <w:tcPr>
            <w:tcW w:type="dxa" w:w="2076"/>
          </w:tcPr>
          <w:p/>
        </w:tc>
        <w:tc>
          <w:tcPr>
            <w:tcW w:type="dxa" w:w="415"/>
          </w:tcPr>
          <w:p>
            <w:r>
              <w:rPr/>
              <w:t>7</w:t>
            </w:r>
          </w:p>
        </w:tc>
        <w:tc>
          <w:tcPr>
            <w:tcW w:type="dxa" w:w="5814"/>
          </w:tcPr>
          <w:p>
            <w:r>
              <w:rPr/>
              <w:t>2.1.4 传送机构 -前后导轨必须有防撞传感器 -引线框防卡装置 -引线框传送防反检测传感器</w:t>
            </w:r>
          </w:p>
        </w:tc>
      </w:tr>
      <w:tr>
        <w:tc>
          <w:tcPr>
            <w:tcW w:type="dxa" w:w="2076"/>
          </w:tcPr>
          <w:p/>
        </w:tc>
        <w:tc>
          <w:tcPr>
            <w:tcW w:type="dxa" w:w="415"/>
          </w:tcPr>
          <w:p>
            <w:r>
              <w:rPr/>
              <w:t>8</w:t>
            </w:r>
          </w:p>
        </w:tc>
        <w:tc>
          <w:tcPr>
            <w:tcW w:type="dxa" w:w="5814"/>
          </w:tcPr>
          <w:p>
            <w:r>
              <w:rPr/>
              <w:t>2.1.5 图像识别系统 -图像识别系统单镜头设计</w:t>
            </w:r>
          </w:p>
        </w:tc>
      </w:tr>
      <w:tr>
        <w:tc>
          <w:tcPr>
            <w:tcW w:type="dxa" w:w="2076"/>
          </w:tcPr>
          <w:p/>
        </w:tc>
        <w:tc>
          <w:tcPr>
            <w:tcW w:type="dxa" w:w="415"/>
          </w:tcPr>
          <w:p>
            <w:r>
              <w:rPr/>
              <w:t>9</w:t>
            </w:r>
          </w:p>
        </w:tc>
        <w:tc>
          <w:tcPr>
            <w:tcW w:type="dxa" w:w="5814"/>
          </w:tcPr>
          <w:p>
            <w:r>
              <w:rPr/>
              <w:t>2.1.6 安全机构 -漏电及过载保护装置 -紧急停止开关</w:t>
            </w:r>
          </w:p>
        </w:tc>
      </w:tr>
      <w:tr>
        <w:tc>
          <w:tcPr>
            <w:tcW w:type="dxa" w:w="2076"/>
          </w:tcPr>
          <w:p>
            <w:r>
              <w:rPr/>
              <w:t>★</w:t>
            </w:r>
          </w:p>
        </w:tc>
        <w:tc>
          <w:tcPr>
            <w:tcW w:type="dxa" w:w="415"/>
          </w:tcPr>
          <w:p>
            <w:r>
              <w:rPr/>
              <w:t>10</w:t>
            </w:r>
          </w:p>
        </w:tc>
        <w:tc>
          <w:tcPr>
            <w:tcW w:type="dxa" w:w="5814"/>
          </w:tcPr>
          <w:p>
            <w:r>
              <w:rPr/>
              <w:t>3、设备技术性能要求: 3.1 焊线速度：≥46ms/线（实际产能根据不同的线材与焊线工艺要求会有所不同）</w:t>
            </w:r>
          </w:p>
        </w:tc>
      </w:tr>
      <w:tr>
        <w:tc>
          <w:tcPr>
            <w:tcW w:type="dxa" w:w="2076"/>
          </w:tcPr>
          <w:p>
            <w:r>
              <w:rPr/>
              <w:t>★</w:t>
            </w:r>
          </w:p>
        </w:tc>
        <w:tc>
          <w:tcPr>
            <w:tcW w:type="dxa" w:w="415"/>
          </w:tcPr>
          <w:p>
            <w:r>
              <w:rPr/>
              <w:t>11</w:t>
            </w:r>
          </w:p>
        </w:tc>
        <w:tc>
          <w:tcPr>
            <w:tcW w:type="dxa" w:w="5814"/>
          </w:tcPr>
          <w:p>
            <w:r>
              <w:rPr/>
              <w:t>3.2 焊接精度：≤±3μm</w:t>
            </w:r>
          </w:p>
        </w:tc>
      </w:tr>
      <w:tr>
        <w:tc>
          <w:tcPr>
            <w:tcW w:type="dxa" w:w="2076"/>
          </w:tcPr>
          <w:p/>
        </w:tc>
        <w:tc>
          <w:tcPr>
            <w:tcW w:type="dxa" w:w="415"/>
          </w:tcPr>
          <w:p>
            <w:r>
              <w:rPr/>
              <w:t>12</w:t>
            </w:r>
          </w:p>
        </w:tc>
        <w:tc>
          <w:tcPr>
            <w:tcW w:type="dxa" w:w="5814"/>
          </w:tcPr>
          <w:p>
            <w:r>
              <w:rPr/>
              <w:t>3.3 焊线长度：≤7.6mm(线径：1.0mil)</w:t>
            </w:r>
          </w:p>
        </w:tc>
      </w:tr>
      <w:tr>
        <w:tc>
          <w:tcPr>
            <w:tcW w:type="dxa" w:w="2076"/>
          </w:tcPr>
          <w:p/>
        </w:tc>
        <w:tc>
          <w:tcPr>
            <w:tcW w:type="dxa" w:w="415"/>
          </w:tcPr>
          <w:p>
            <w:r>
              <w:rPr/>
              <w:t>13</w:t>
            </w:r>
          </w:p>
        </w:tc>
        <w:tc>
          <w:tcPr>
            <w:tcW w:type="dxa" w:w="5814"/>
          </w:tcPr>
          <w:p>
            <w:r>
              <w:rPr/>
              <w:t>3.4 焊线的摆幅要求： 3.4.1 焊线长度≤2.54mm：25um@3sigma.(测量22根金线)</w:t>
            </w:r>
          </w:p>
        </w:tc>
      </w:tr>
      <w:tr>
        <w:tc>
          <w:tcPr>
            <w:tcW w:type="dxa" w:w="2076"/>
          </w:tcPr>
          <w:p/>
        </w:tc>
        <w:tc>
          <w:tcPr>
            <w:tcW w:type="dxa" w:w="415"/>
          </w:tcPr>
          <w:p>
            <w:r>
              <w:rPr/>
              <w:t>14</w:t>
            </w:r>
          </w:p>
        </w:tc>
        <w:tc>
          <w:tcPr>
            <w:tcW w:type="dxa" w:w="5814"/>
          </w:tcPr>
          <w:p>
            <w:r>
              <w:rPr/>
              <w:t>3.4.2 焊线长度＞2.54mm：≤±1%线长@3sigma.(测量22根金线)</w:t>
            </w:r>
          </w:p>
        </w:tc>
      </w:tr>
      <w:tr>
        <w:tc>
          <w:tcPr>
            <w:tcW w:type="dxa" w:w="2076"/>
          </w:tcPr>
          <w:p/>
        </w:tc>
        <w:tc>
          <w:tcPr>
            <w:tcW w:type="dxa" w:w="415"/>
          </w:tcPr>
          <w:p>
            <w:r>
              <w:rPr/>
              <w:t>15</w:t>
            </w:r>
          </w:p>
        </w:tc>
        <w:tc>
          <w:tcPr>
            <w:tcW w:type="dxa" w:w="5814"/>
          </w:tcPr>
          <w:p>
            <w:r>
              <w:rPr/>
              <w:t>3.5 最大键合区域：X 56mm，Y 75mm</w:t>
            </w:r>
          </w:p>
        </w:tc>
      </w:tr>
      <w:tr>
        <w:tc>
          <w:tcPr>
            <w:tcW w:type="dxa" w:w="2076"/>
          </w:tcPr>
          <w:p/>
        </w:tc>
        <w:tc>
          <w:tcPr>
            <w:tcW w:type="dxa" w:w="415"/>
          </w:tcPr>
          <w:p>
            <w:r>
              <w:rPr/>
              <w:t>16</w:t>
            </w:r>
          </w:p>
        </w:tc>
        <w:tc>
          <w:tcPr>
            <w:tcW w:type="dxa" w:w="5814"/>
          </w:tcPr>
          <w:p>
            <w:r>
              <w:rPr/>
              <w:t>3.6 焊接引线数：≤3000引线</w:t>
            </w:r>
          </w:p>
        </w:tc>
      </w:tr>
      <w:tr>
        <w:tc>
          <w:tcPr>
            <w:tcW w:type="dxa" w:w="2076"/>
          </w:tcPr>
          <w:p/>
        </w:tc>
        <w:tc>
          <w:tcPr>
            <w:tcW w:type="dxa" w:w="415"/>
          </w:tcPr>
          <w:p>
            <w:r>
              <w:rPr/>
              <w:t>17</w:t>
            </w:r>
          </w:p>
        </w:tc>
        <w:tc>
          <w:tcPr>
            <w:tcW w:type="dxa" w:w="5814"/>
          </w:tcPr>
          <w:p>
            <w:r>
              <w:rPr/>
              <w:t>3.7 引线框尺寸：长（63-295）×宽（22-80）×厚（0.1-0.9）mm</w:t>
            </w:r>
          </w:p>
        </w:tc>
      </w:tr>
      <w:tr>
        <w:tc>
          <w:tcPr>
            <w:tcW w:type="dxa" w:w="2076"/>
          </w:tcPr>
          <w:p/>
        </w:tc>
        <w:tc>
          <w:tcPr>
            <w:tcW w:type="dxa" w:w="415"/>
          </w:tcPr>
          <w:p>
            <w:r>
              <w:rPr/>
              <w:t>18</w:t>
            </w:r>
          </w:p>
        </w:tc>
        <w:tc>
          <w:tcPr>
            <w:tcW w:type="dxa" w:w="5814"/>
          </w:tcPr>
          <w:p>
            <w:r>
              <w:rPr/>
              <w:t>3.8 料盒尺寸：长（105-300）×宽（29-98）×高（50-178）mm</w:t>
            </w:r>
          </w:p>
        </w:tc>
      </w:tr>
      <w:tr>
        <w:tc>
          <w:tcPr>
            <w:tcW w:type="dxa" w:w="2076"/>
          </w:tcPr>
          <w:p>
            <w:r>
              <w:rPr/>
              <w:t>★</w:t>
            </w:r>
          </w:p>
        </w:tc>
        <w:tc>
          <w:tcPr>
            <w:tcW w:type="dxa" w:w="415"/>
          </w:tcPr>
          <w:p>
            <w:r>
              <w:rPr/>
              <w:t>19</w:t>
            </w:r>
          </w:p>
        </w:tc>
        <w:tc>
          <w:tcPr>
            <w:tcW w:type="dxa" w:w="5814"/>
          </w:tcPr>
          <w:p>
            <w:r>
              <w:rPr/>
              <w:t>3.9 键合能力BPP：≥50μm</w:t>
            </w:r>
          </w:p>
        </w:tc>
      </w:tr>
      <w:tr>
        <w:tc>
          <w:tcPr>
            <w:tcW w:type="dxa" w:w="2076"/>
          </w:tcPr>
          <w:p/>
        </w:tc>
        <w:tc>
          <w:tcPr>
            <w:tcW w:type="dxa" w:w="415"/>
          </w:tcPr>
          <w:p>
            <w:r>
              <w:rPr/>
              <w:t>20</w:t>
            </w:r>
          </w:p>
        </w:tc>
        <w:tc>
          <w:tcPr>
            <w:tcW w:type="dxa" w:w="5814"/>
          </w:tcPr>
          <w:p>
            <w:r>
              <w:rPr/>
              <w:t>3.10 键合丝直径：0.6~2.0mil</w:t>
            </w:r>
          </w:p>
        </w:tc>
      </w:tr>
      <w:tr>
        <w:tc>
          <w:tcPr>
            <w:tcW w:type="dxa" w:w="2076"/>
          </w:tcPr>
          <w:p/>
        </w:tc>
        <w:tc>
          <w:tcPr>
            <w:tcW w:type="dxa" w:w="415"/>
          </w:tcPr>
          <w:p>
            <w:r>
              <w:rPr/>
              <w:t>21</w:t>
            </w:r>
          </w:p>
        </w:tc>
        <w:tc>
          <w:tcPr>
            <w:tcW w:type="dxa" w:w="5814"/>
          </w:tcPr>
          <w:p>
            <w:r>
              <w:rPr/>
              <w:t>3.11 键合丝材质：金线（配置氮气装置，也适用于银线、合金线、铜线等）。</w:t>
            </w:r>
          </w:p>
        </w:tc>
      </w:tr>
      <w:tr>
        <w:tc>
          <w:tcPr>
            <w:tcW w:type="dxa" w:w="2076"/>
          </w:tcPr>
          <w:p/>
        </w:tc>
        <w:tc>
          <w:tcPr>
            <w:tcW w:type="dxa" w:w="415"/>
          </w:tcPr>
          <w:p>
            <w:r>
              <w:rPr/>
              <w:t>22</w:t>
            </w:r>
          </w:p>
        </w:tc>
        <w:tc>
          <w:tcPr>
            <w:tcW w:type="dxa" w:w="5814"/>
          </w:tcPr>
          <w:p>
            <w:r>
              <w:rPr/>
              <w:t>4、设备功能要求： 4.1 上料部/下料部分：全自动料盒升降方式，进料与出料部分同料盒配合默契，运行顺畅；</w:t>
            </w:r>
          </w:p>
        </w:tc>
      </w:tr>
      <w:tr>
        <w:tc>
          <w:tcPr>
            <w:tcW w:type="dxa" w:w="2076"/>
          </w:tcPr>
          <w:p/>
        </w:tc>
        <w:tc>
          <w:tcPr>
            <w:tcW w:type="dxa" w:w="415"/>
          </w:tcPr>
          <w:p>
            <w:r>
              <w:rPr/>
              <w:t>23</w:t>
            </w:r>
          </w:p>
        </w:tc>
        <w:tc>
          <w:tcPr>
            <w:tcW w:type="dxa" w:w="5814"/>
          </w:tcPr>
          <w:p>
            <w:r>
              <w:rPr/>
              <w:t>4.2 引线框架在导轨中，步进输送平稳、可靠，不发生错位、卡死等现象；</w:t>
            </w:r>
          </w:p>
        </w:tc>
      </w:tr>
      <w:tr>
        <w:tc>
          <w:tcPr>
            <w:tcW w:type="dxa" w:w="2076"/>
          </w:tcPr>
          <w:p/>
        </w:tc>
        <w:tc>
          <w:tcPr>
            <w:tcW w:type="dxa" w:w="415"/>
          </w:tcPr>
          <w:p>
            <w:r>
              <w:rPr/>
              <w:t>24</w:t>
            </w:r>
          </w:p>
        </w:tc>
        <w:tc>
          <w:tcPr>
            <w:tcW w:type="dxa" w:w="5814"/>
          </w:tcPr>
          <w:p>
            <w:r>
              <w:rPr/>
              <w:t>4.3 传送爪部分：传送爪闭合时速度稳定，冲击力小，调整方便；</w:t>
            </w:r>
          </w:p>
        </w:tc>
      </w:tr>
      <w:tr>
        <w:tc>
          <w:tcPr>
            <w:tcW w:type="dxa" w:w="2076"/>
          </w:tcPr>
          <w:p/>
        </w:tc>
        <w:tc>
          <w:tcPr>
            <w:tcW w:type="dxa" w:w="415"/>
          </w:tcPr>
          <w:p>
            <w:r>
              <w:rPr/>
              <w:t>25</w:t>
            </w:r>
          </w:p>
        </w:tc>
        <w:tc>
          <w:tcPr>
            <w:tcW w:type="dxa" w:w="5814"/>
          </w:tcPr>
          <w:p>
            <w:r>
              <w:rPr/>
              <w:t>4.4 PR系统： 4.4.1 CCD摄像机，图象清晰；</w:t>
            </w:r>
          </w:p>
        </w:tc>
      </w:tr>
      <w:tr>
        <w:tc>
          <w:tcPr>
            <w:tcW w:type="dxa" w:w="2076"/>
          </w:tcPr>
          <w:p/>
        </w:tc>
        <w:tc>
          <w:tcPr>
            <w:tcW w:type="dxa" w:w="415"/>
          </w:tcPr>
          <w:p>
            <w:r>
              <w:rPr/>
              <w:t>26</w:t>
            </w:r>
          </w:p>
        </w:tc>
        <w:tc>
          <w:tcPr>
            <w:tcW w:type="dxa" w:w="5814"/>
          </w:tcPr>
          <w:p>
            <w:r>
              <w:rPr/>
              <w:t>4.4.2 PRS校准X、Y方向误差在0.002mm以内；</w:t>
            </w:r>
          </w:p>
        </w:tc>
      </w:tr>
      <w:tr>
        <w:tc>
          <w:tcPr>
            <w:tcW w:type="dxa" w:w="2076"/>
          </w:tcPr>
          <w:p/>
        </w:tc>
        <w:tc>
          <w:tcPr>
            <w:tcW w:type="dxa" w:w="415"/>
          </w:tcPr>
          <w:p>
            <w:r>
              <w:rPr/>
              <w:t>27</w:t>
            </w:r>
          </w:p>
        </w:tc>
        <w:tc>
          <w:tcPr>
            <w:tcW w:type="dxa" w:w="5814"/>
          </w:tcPr>
          <w:p>
            <w:r>
              <w:rPr/>
              <w:t>4.4.3 芯片位置偏差在5度内，设备仍能正常进行，不需手工校对位置识别；</w:t>
            </w:r>
          </w:p>
        </w:tc>
      </w:tr>
      <w:tr>
        <w:tc>
          <w:tcPr>
            <w:tcW w:type="dxa" w:w="2076"/>
          </w:tcPr>
          <w:p/>
        </w:tc>
        <w:tc>
          <w:tcPr>
            <w:tcW w:type="dxa" w:w="415"/>
          </w:tcPr>
          <w:p>
            <w:r>
              <w:rPr/>
              <w:t>28</w:t>
            </w:r>
          </w:p>
        </w:tc>
        <w:tc>
          <w:tcPr>
            <w:tcW w:type="dxa" w:w="5814"/>
          </w:tcPr>
          <w:p>
            <w:r>
              <w:rPr/>
              <w:t>4.4.4 具备可编程的红蓝灯光；</w:t>
            </w:r>
          </w:p>
        </w:tc>
      </w:tr>
      <w:tr>
        <w:tc>
          <w:tcPr>
            <w:tcW w:type="dxa" w:w="2076"/>
          </w:tcPr>
          <w:p/>
        </w:tc>
        <w:tc>
          <w:tcPr>
            <w:tcW w:type="dxa" w:w="415"/>
          </w:tcPr>
          <w:p>
            <w:r>
              <w:rPr/>
              <w:t>29</w:t>
            </w:r>
          </w:p>
        </w:tc>
        <w:tc>
          <w:tcPr>
            <w:tcW w:type="dxa" w:w="5814"/>
          </w:tcPr>
          <w:p>
            <w:r>
              <w:rPr/>
              <w:t>4.5 设备线夹和打火箱能适用金线Ф15um-Ф50um，铜线Ф15um-Ф50um的焊线；</w:t>
            </w:r>
          </w:p>
        </w:tc>
      </w:tr>
      <w:tr>
        <w:tc>
          <w:tcPr>
            <w:tcW w:type="dxa" w:w="2076"/>
          </w:tcPr>
          <w:p/>
        </w:tc>
        <w:tc>
          <w:tcPr>
            <w:tcW w:type="dxa" w:w="415"/>
          </w:tcPr>
          <w:p>
            <w:r>
              <w:rPr/>
              <w:t>30</w:t>
            </w:r>
          </w:p>
        </w:tc>
        <w:tc>
          <w:tcPr>
            <w:tcW w:type="dxa" w:w="5814"/>
          </w:tcPr>
          <w:p>
            <w:r>
              <w:rPr/>
              <w:t>4.6 设备软件需稳定可靠，系统无死机现象，使用软件版本相同型号设备必须统一；</w:t>
            </w:r>
          </w:p>
        </w:tc>
      </w:tr>
      <w:tr>
        <w:tc>
          <w:tcPr>
            <w:tcW w:type="dxa" w:w="2076"/>
          </w:tcPr>
          <w:p/>
        </w:tc>
        <w:tc>
          <w:tcPr>
            <w:tcW w:type="dxa" w:w="415"/>
          </w:tcPr>
          <w:p>
            <w:r>
              <w:rPr/>
              <w:t>31</w:t>
            </w:r>
          </w:p>
        </w:tc>
        <w:tc>
          <w:tcPr>
            <w:tcW w:type="dxa" w:w="5814"/>
          </w:tcPr>
          <w:p>
            <w:r>
              <w:rPr/>
              <w:t>4.7 设备有防静电插座；</w:t>
            </w:r>
          </w:p>
        </w:tc>
      </w:tr>
      <w:tr>
        <w:tc>
          <w:tcPr>
            <w:tcW w:type="dxa" w:w="2076"/>
          </w:tcPr>
          <w:p/>
        </w:tc>
        <w:tc>
          <w:tcPr>
            <w:tcW w:type="dxa" w:w="415"/>
          </w:tcPr>
          <w:p>
            <w:r>
              <w:rPr/>
              <w:t>32</w:t>
            </w:r>
          </w:p>
        </w:tc>
        <w:tc>
          <w:tcPr>
            <w:tcW w:type="dxa" w:w="5814"/>
          </w:tcPr>
          <w:p>
            <w:r>
              <w:rPr/>
              <w:t>4.8 设备需要具有良好的品种更换功能，保证硬件一致，相同机台之间不同产品程序可以互相拷贝作业；</w:t>
            </w:r>
          </w:p>
        </w:tc>
      </w:tr>
      <w:tr>
        <w:tc>
          <w:tcPr>
            <w:tcW w:type="dxa" w:w="2076"/>
          </w:tcPr>
          <w:p/>
        </w:tc>
        <w:tc>
          <w:tcPr>
            <w:tcW w:type="dxa" w:w="415"/>
          </w:tcPr>
          <w:p>
            <w:r>
              <w:rPr/>
              <w:t>33</w:t>
            </w:r>
          </w:p>
        </w:tc>
        <w:tc>
          <w:tcPr>
            <w:tcW w:type="dxa" w:w="5814"/>
          </w:tcPr>
          <w:p>
            <w:r>
              <w:rPr/>
              <w:t>4.9 设备具备数据类菜单的上下限设定功能，可以自由设定数据的上下限数值范围并在层级菜单中锁定。</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多媒体教学管理系统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1.1 系统结构与组成 （1）云主机管理系统1套 （2）桌面管理系统33套 （3）云教学系统1套</w:t>
            </w:r>
          </w:p>
        </w:tc>
      </w:tr>
      <w:tr>
        <w:tc>
          <w:tcPr>
            <w:tcW w:type="dxa" w:w="2076"/>
          </w:tcPr>
          <w:p/>
        </w:tc>
        <w:tc>
          <w:tcPr>
            <w:tcW w:type="dxa" w:w="415"/>
          </w:tcPr>
          <w:p>
            <w:r>
              <w:rPr/>
              <w:t>2</w:t>
            </w:r>
          </w:p>
        </w:tc>
        <w:tc>
          <w:tcPr>
            <w:tcW w:type="dxa" w:w="5814"/>
          </w:tcPr>
          <w:p>
            <w:r>
              <w:rPr/>
              <w:t>1.2 功能要求 该多媒体教学管理系统利用IT终端虚拟化管理，取代传统的IT终端管理，实现终端的集中管理、终端软件资料可重复使用、终端软件环境搭建灵活多变、终端使用效率大幅提高、终端使用年限变长、终端维护人员减少等优点。 利用虚拟技术和PAAS（平台即服务）、SAAS（软件即服务）交付技术，针对大规模计算机的系统自动部署、集中统一管理等而量身定制的一款平台软件；通过一台服务器实现对几千台电脑终端的管理集中化、系统部署智能化、更新维护自动化；构建一个高效、 安全、统一的计算机教学实验管控平台。通过校园网，将分布在不同地点的计算机进行整合统一自动化管理，提高计算机的现代化管理水平。</w:t>
            </w:r>
          </w:p>
          <w:p>
            <w:r>
              <w:rPr/>
              <w:t>1.3 技术参数</w:t>
            </w:r>
          </w:p>
          <w:p>
            <w:r>
              <w:rPr/>
              <w:t>（1）云主机管理系统</w:t>
            </w:r>
          </w:p>
          <w:p>
            <w:r>
              <w:rPr/>
              <w:t>1) 自带硬件防毒卡：基于PCI-E接口的硬件防毒卡，卡连接硬盘，保证底层系统不受病毒破坏。（提供实物连接数码拍摄图片加盖投标人公章）。</w:t>
            </w:r>
          </w:p>
        </w:tc>
      </w:tr>
      <w:tr>
        <w:tc>
          <w:tcPr>
            <w:tcW w:type="dxa" w:w="2076"/>
          </w:tcPr>
          <w:p/>
        </w:tc>
        <w:tc>
          <w:tcPr>
            <w:tcW w:type="dxa" w:w="415"/>
          </w:tcPr>
          <w:p>
            <w:r>
              <w:rPr/>
              <w:t>3</w:t>
            </w:r>
          </w:p>
        </w:tc>
        <w:tc>
          <w:tcPr>
            <w:tcW w:type="dxa" w:w="5814"/>
          </w:tcPr>
          <w:p>
            <w:r>
              <w:rPr/>
              <w:t>2)</w:t>
              <w:tab/>
              <w:t>为保证项目的易管理性、易维护性，服务端必须直接在WINDOWS SERVER下安装使用。</w:t>
            </w:r>
          </w:p>
        </w:tc>
      </w:tr>
      <w:tr>
        <w:tc>
          <w:tcPr>
            <w:tcW w:type="dxa" w:w="2076"/>
          </w:tcPr>
          <w:p/>
        </w:tc>
        <w:tc>
          <w:tcPr>
            <w:tcW w:type="dxa" w:w="415"/>
          </w:tcPr>
          <w:p>
            <w:r>
              <w:rPr/>
              <w:t>4</w:t>
            </w:r>
          </w:p>
        </w:tc>
        <w:tc>
          <w:tcPr>
            <w:tcW w:type="dxa" w:w="5814"/>
          </w:tcPr>
          <w:p>
            <w:r>
              <w:rPr/>
              <w:t>3)</w:t>
              <w:tab/>
              <w:t>支持服务器运行参数配置，可以设置实时数据缓存区大小，部署数据缓存区大小，自动选择组部署。</w:t>
            </w:r>
          </w:p>
        </w:tc>
      </w:tr>
      <w:tr>
        <w:tc>
          <w:tcPr>
            <w:tcW w:type="dxa" w:w="2076"/>
          </w:tcPr>
          <w:p/>
        </w:tc>
        <w:tc>
          <w:tcPr>
            <w:tcW w:type="dxa" w:w="415"/>
          </w:tcPr>
          <w:p>
            <w:r>
              <w:rPr/>
              <w:t>5</w:t>
            </w:r>
          </w:p>
        </w:tc>
        <w:tc>
          <w:tcPr>
            <w:tcW w:type="dxa" w:w="5814"/>
          </w:tcPr>
          <w:p>
            <w:r>
              <w:rPr/>
              <w:t>4)</w:t>
              <w:tab/>
              <w:t>终端加载模式：为了更好地适应不同的网络环境，服务器能以覆盖PXE数据段、可用内存高端、临近PXE数据段三种启动加载模式连接终端。</w:t>
            </w:r>
          </w:p>
        </w:tc>
      </w:tr>
      <w:tr>
        <w:tc>
          <w:tcPr>
            <w:tcW w:type="dxa" w:w="2076"/>
          </w:tcPr>
          <w:p/>
        </w:tc>
        <w:tc>
          <w:tcPr>
            <w:tcW w:type="dxa" w:w="415"/>
          </w:tcPr>
          <w:p>
            <w:r>
              <w:rPr/>
              <w:t>6</w:t>
            </w:r>
          </w:p>
        </w:tc>
        <w:tc>
          <w:tcPr>
            <w:tcW w:type="dxa" w:w="5814"/>
          </w:tcPr>
          <w:p>
            <w:r>
              <w:rPr/>
              <w:t>5)</w:t>
              <w:tab/>
              <w:t>服务端数据支持扩展镜像存储目录配置，添加镜像存储目录及显示目录名称。</w:t>
            </w:r>
          </w:p>
        </w:tc>
      </w:tr>
      <w:tr>
        <w:tc>
          <w:tcPr>
            <w:tcW w:type="dxa" w:w="2076"/>
          </w:tcPr>
          <w:p/>
        </w:tc>
        <w:tc>
          <w:tcPr>
            <w:tcW w:type="dxa" w:w="415"/>
          </w:tcPr>
          <w:p>
            <w:r>
              <w:rPr/>
              <w:t>7</w:t>
            </w:r>
          </w:p>
        </w:tc>
        <w:tc>
          <w:tcPr>
            <w:tcW w:type="dxa" w:w="5814"/>
          </w:tcPr>
          <w:p>
            <w:r>
              <w:rPr/>
              <w:t>6)</w:t>
              <w:tab/>
              <w:t>支持跨路由管理终端，通过校园网对所有终端进行缓存数据和统一管理。基于校园网，通过组管理策略，实现同类型不同用途的终端集中统一管理；</w:t>
            </w:r>
          </w:p>
        </w:tc>
      </w:tr>
      <w:tr>
        <w:tc>
          <w:tcPr>
            <w:tcW w:type="dxa" w:w="2076"/>
          </w:tcPr>
          <w:p/>
        </w:tc>
        <w:tc>
          <w:tcPr>
            <w:tcW w:type="dxa" w:w="415"/>
          </w:tcPr>
          <w:p>
            <w:r>
              <w:rPr/>
              <w:t>8</w:t>
            </w:r>
          </w:p>
        </w:tc>
        <w:tc>
          <w:tcPr>
            <w:tcW w:type="dxa" w:w="5814"/>
          </w:tcPr>
          <w:p>
            <w:r>
              <w:rPr/>
              <w:t>7) 硬件配置： a) Cpu：优于或等于四核心四线程主频3GHz</w:t>
            </w:r>
          </w:p>
        </w:tc>
      </w:tr>
      <w:tr>
        <w:tc>
          <w:tcPr>
            <w:tcW w:type="dxa" w:w="2076"/>
          </w:tcPr>
          <w:p/>
        </w:tc>
        <w:tc>
          <w:tcPr>
            <w:tcW w:type="dxa" w:w="415"/>
          </w:tcPr>
          <w:p>
            <w:r>
              <w:rPr/>
              <w:t>9</w:t>
            </w:r>
          </w:p>
        </w:tc>
        <w:tc>
          <w:tcPr>
            <w:tcW w:type="dxa" w:w="5814"/>
          </w:tcPr>
          <w:p>
            <w:r>
              <w:rPr/>
              <w:t>b)</w:t>
              <w:tab/>
              <w:t>内存：不低于16GB</w:t>
            </w:r>
          </w:p>
        </w:tc>
      </w:tr>
      <w:tr>
        <w:tc>
          <w:tcPr>
            <w:tcW w:type="dxa" w:w="2076"/>
          </w:tcPr>
          <w:p/>
        </w:tc>
        <w:tc>
          <w:tcPr>
            <w:tcW w:type="dxa" w:w="415"/>
          </w:tcPr>
          <w:p>
            <w:r>
              <w:rPr/>
              <w:t>10</w:t>
            </w:r>
          </w:p>
        </w:tc>
        <w:tc>
          <w:tcPr>
            <w:tcW w:type="dxa" w:w="5814"/>
          </w:tcPr>
          <w:p>
            <w:r>
              <w:rPr/>
              <w:t>c)</w:t>
              <w:tab/>
              <w:t>存储：不低于480GB ssd×2</w:t>
            </w:r>
          </w:p>
        </w:tc>
      </w:tr>
      <w:tr>
        <w:tc>
          <w:tcPr>
            <w:tcW w:type="dxa" w:w="2076"/>
          </w:tcPr>
          <w:p/>
        </w:tc>
        <w:tc>
          <w:tcPr>
            <w:tcW w:type="dxa" w:w="415"/>
          </w:tcPr>
          <w:p>
            <w:r>
              <w:rPr/>
              <w:t>11</w:t>
            </w:r>
          </w:p>
        </w:tc>
        <w:tc>
          <w:tcPr>
            <w:tcW w:type="dxa" w:w="5814"/>
          </w:tcPr>
          <w:p>
            <w:r>
              <w:rPr/>
              <w:t>d) 服务：原厂商三年保修及上门服务，原厂三年7×24小时电话支持服务。投标时提供原厂家售后服务承诺函。</w:t>
            </w:r>
          </w:p>
        </w:tc>
      </w:tr>
      <w:tr>
        <w:tc>
          <w:tcPr>
            <w:tcW w:type="dxa" w:w="2076"/>
          </w:tcPr>
          <w:p/>
        </w:tc>
        <w:tc>
          <w:tcPr>
            <w:tcW w:type="dxa" w:w="415"/>
          </w:tcPr>
          <w:p>
            <w:r>
              <w:rPr/>
              <w:t>12</w:t>
            </w:r>
          </w:p>
        </w:tc>
        <w:tc>
          <w:tcPr>
            <w:tcW w:type="dxa" w:w="5814"/>
          </w:tcPr>
          <w:p>
            <w:r>
              <w:rPr/>
              <w:t>（2）云桌面管理系统 1) 终端镜像管理：支持新建目录，设置目录属性，新建分区镜像，分区镜像属性，支持把终端镜像分享给其他管理平台，输入其他管理平台IP可以实现分区镜像分享。（投标时提供镜像分享功能截图加盖投标人公章）</w:t>
            </w:r>
          </w:p>
        </w:tc>
      </w:tr>
      <w:tr>
        <w:tc>
          <w:tcPr>
            <w:tcW w:type="dxa" w:w="2076"/>
          </w:tcPr>
          <w:p/>
        </w:tc>
        <w:tc>
          <w:tcPr>
            <w:tcW w:type="dxa" w:w="415"/>
          </w:tcPr>
          <w:p>
            <w:r>
              <w:rPr/>
              <w:t>13</w:t>
            </w:r>
          </w:p>
        </w:tc>
        <w:tc>
          <w:tcPr>
            <w:tcW w:type="dxa" w:w="5814"/>
          </w:tcPr>
          <w:p>
            <w:r>
              <w:rPr/>
              <w:t>2) 新建磁盘管理：支持输入磁盘名称，磁盘大小，磁盘是否显示帮助，是否显示操作系统选单，是否延迟关机，并且可以设置延迟关机等待时间。设置需要验证密码的管理操作： F1查看系统信息  F2删除系统索引  F3还原系统   F4保存系统    F5删除系统   F6卸载   F10显示隐藏系统（投标时提供新建磁盘功能截图加盖投标人公章）</w:t>
            </w:r>
          </w:p>
        </w:tc>
      </w:tr>
      <w:tr>
        <w:tc>
          <w:tcPr>
            <w:tcW w:type="dxa" w:w="2076"/>
          </w:tcPr>
          <w:p/>
        </w:tc>
        <w:tc>
          <w:tcPr>
            <w:tcW w:type="dxa" w:w="415"/>
          </w:tcPr>
          <w:p>
            <w:r>
              <w:rPr/>
              <w:t>14</w:t>
            </w:r>
          </w:p>
        </w:tc>
        <w:tc>
          <w:tcPr>
            <w:tcW w:type="dxa" w:w="5814"/>
          </w:tcPr>
          <w:p>
            <w:r>
              <w:rPr/>
              <w:t>3) 支持设置分区属性：每次还原，每天第一次启动还原，每月第一次启动还原，每周第一次启动还原，手动还原。（投标时提供设置分区属性功能截图加盖投标人公章）</w:t>
            </w:r>
          </w:p>
        </w:tc>
      </w:tr>
      <w:tr>
        <w:tc>
          <w:tcPr>
            <w:tcW w:type="dxa" w:w="2076"/>
          </w:tcPr>
          <w:p/>
        </w:tc>
        <w:tc>
          <w:tcPr>
            <w:tcW w:type="dxa" w:w="415"/>
          </w:tcPr>
          <w:p>
            <w:r>
              <w:rPr/>
              <w:t>15</w:t>
            </w:r>
          </w:p>
        </w:tc>
        <w:tc>
          <w:tcPr>
            <w:tcW w:type="dxa" w:w="5814"/>
          </w:tcPr>
          <w:p>
            <w:r>
              <w:rPr/>
              <w:t>4)</w:t>
              <w:tab/>
              <w:t>支持操作系统快照：针对操作系统，每更新一次就可以建立一个新的快照，支持不少于十个快照，随时可以恢复到设定的快照。支持复制操作系统快照，合并操作系统快照，删除操作系统快照，设置操作系统快照属性，分享操作系统快照，并支持把操作系统快照分享给其他管理平台，输入其他管理平台IP可以实现操作系统快照分享。</w:t>
            </w:r>
          </w:p>
        </w:tc>
      </w:tr>
      <w:tr>
        <w:tc>
          <w:tcPr>
            <w:tcW w:type="dxa" w:w="2076"/>
          </w:tcPr>
          <w:p/>
        </w:tc>
        <w:tc>
          <w:tcPr>
            <w:tcW w:type="dxa" w:w="415"/>
          </w:tcPr>
          <w:p>
            <w:r>
              <w:rPr/>
              <w:t>16</w:t>
            </w:r>
          </w:p>
        </w:tc>
        <w:tc>
          <w:tcPr>
            <w:tcW w:type="dxa" w:w="5814"/>
          </w:tcPr>
          <w:p>
            <w:r>
              <w:rPr/>
              <w:t>5) 新建分组管理：支持输入分组名称，选择磁盘，起始IP地址，子网掩码，分组网关，首选DNS服务器，备.选DNS服务器，机器名前缀，机器名起始标号，是否默认组，开机自动后台自动部署，执行软件预注册。</w:t>
            </w:r>
          </w:p>
        </w:tc>
      </w:tr>
      <w:tr>
        <w:tc>
          <w:tcPr>
            <w:tcW w:type="dxa" w:w="2076"/>
          </w:tcPr>
          <w:p/>
        </w:tc>
        <w:tc>
          <w:tcPr>
            <w:tcW w:type="dxa" w:w="415"/>
          </w:tcPr>
          <w:p>
            <w:r>
              <w:rPr/>
              <w:t>17</w:t>
            </w:r>
          </w:p>
        </w:tc>
        <w:tc>
          <w:tcPr>
            <w:tcW w:type="dxa" w:w="5814"/>
          </w:tcPr>
          <w:p>
            <w:r>
              <w:rPr/>
              <w:t>6)</w:t>
              <w:tab/>
              <w:t>支持根据终端配置和使用情况，灵活部署不同的系统，支持部署显示系统、默认系统、隐藏系统、所有系统等。（投标提供功能截图加盖投标人公章，）</w:t>
            </w:r>
          </w:p>
        </w:tc>
      </w:tr>
      <w:tr>
        <w:tc>
          <w:tcPr>
            <w:tcW w:type="dxa" w:w="2076"/>
          </w:tcPr>
          <w:p/>
        </w:tc>
        <w:tc>
          <w:tcPr>
            <w:tcW w:type="dxa" w:w="415"/>
          </w:tcPr>
          <w:p>
            <w:r>
              <w:rPr/>
              <w:t>18</w:t>
            </w:r>
          </w:p>
        </w:tc>
        <w:tc>
          <w:tcPr>
            <w:tcW w:type="dxa" w:w="5814"/>
          </w:tcPr>
          <w:p>
            <w:r>
              <w:rPr/>
              <w:t>7)</w:t>
              <w:tab/>
              <w:t>终端信息：通过控制台可以查看终端主机编号，终端名称，终端IP地址，终端硬件地址，在线状态，终端状态，部署方式，未部署数据，瞬时速度/平静速度（MB/S），剩余时间，预设命令，子组编号，中控IP。（投标提供功能截图加盖投标人公章）</w:t>
            </w:r>
          </w:p>
        </w:tc>
      </w:tr>
      <w:tr>
        <w:tc>
          <w:tcPr>
            <w:tcW w:type="dxa" w:w="2076"/>
          </w:tcPr>
          <w:p/>
        </w:tc>
        <w:tc>
          <w:tcPr>
            <w:tcW w:type="dxa" w:w="415"/>
          </w:tcPr>
          <w:p>
            <w:r>
              <w:rPr/>
              <w:t>19</w:t>
            </w:r>
          </w:p>
        </w:tc>
        <w:tc>
          <w:tcPr>
            <w:tcW w:type="dxa" w:w="5814"/>
          </w:tcPr>
          <w:p>
            <w:r>
              <w:rPr/>
              <w:t>8)</w:t>
              <w:tab/>
              <w:t>支持添加占位机，便于给故障的终端预留IP地址。</w:t>
            </w:r>
          </w:p>
        </w:tc>
      </w:tr>
      <w:tr>
        <w:tc>
          <w:tcPr>
            <w:tcW w:type="dxa" w:w="2076"/>
          </w:tcPr>
          <w:p/>
        </w:tc>
        <w:tc>
          <w:tcPr>
            <w:tcW w:type="dxa" w:w="415"/>
          </w:tcPr>
          <w:p>
            <w:r>
              <w:rPr/>
              <w:t>20</w:t>
            </w:r>
          </w:p>
        </w:tc>
        <w:tc>
          <w:tcPr>
            <w:tcW w:type="dxa" w:w="5814"/>
          </w:tcPr>
          <w:p>
            <w:r>
              <w:rPr/>
              <w:t>9)</w:t>
              <w:tab/>
              <w:t>支持自动保留终端当前OS状态：一键保存所有机房终端系统设置或增减内容技术：通过服务器管理平台利用一键保存技术可以对终端当前系统设置或当前增减内容统一保存。（提供保持终端当前OS状态功能截图加盖投标人公章）</w:t>
            </w:r>
          </w:p>
        </w:tc>
      </w:tr>
      <w:tr>
        <w:tc>
          <w:tcPr>
            <w:tcW w:type="dxa" w:w="2076"/>
          </w:tcPr>
          <w:p/>
        </w:tc>
        <w:tc>
          <w:tcPr>
            <w:tcW w:type="dxa" w:w="415"/>
          </w:tcPr>
          <w:p>
            <w:r>
              <w:rPr/>
              <w:t>21</w:t>
            </w:r>
          </w:p>
        </w:tc>
        <w:tc>
          <w:tcPr>
            <w:tcW w:type="dxa" w:w="5814"/>
          </w:tcPr>
          <w:p>
            <w:r>
              <w:rPr/>
              <w:t>10)</w:t>
              <w:tab/>
              <w:t>支持软件自动注册：硬件虚拟设置，支持模拟硬盘序列号，模拟网卡MAC地址，模拟机器名称。当需要每台终端注册的软件时（例如3Dmax，maya等软件），只需要在安装的时候注册一次，其他终端连服务器，都会自动注册，不用逐台终端进行注册。</w:t>
            </w:r>
          </w:p>
        </w:tc>
      </w:tr>
      <w:tr>
        <w:tc>
          <w:tcPr>
            <w:tcW w:type="dxa" w:w="2076"/>
          </w:tcPr>
          <w:p/>
        </w:tc>
        <w:tc>
          <w:tcPr>
            <w:tcW w:type="dxa" w:w="415"/>
          </w:tcPr>
          <w:p>
            <w:r>
              <w:rPr/>
              <w:t>22</w:t>
            </w:r>
          </w:p>
        </w:tc>
        <w:tc>
          <w:tcPr>
            <w:tcW w:type="dxa" w:w="5814"/>
          </w:tcPr>
          <w:p>
            <w:r>
              <w:rPr/>
              <w:t>11) 投标时提供功能演示视频： a) 通过控制台，统一保持终端当前OS状态功能现场演示；</w:t>
            </w:r>
          </w:p>
        </w:tc>
      </w:tr>
      <w:tr>
        <w:tc>
          <w:tcPr>
            <w:tcW w:type="dxa" w:w="2076"/>
          </w:tcPr>
          <w:p/>
        </w:tc>
        <w:tc>
          <w:tcPr>
            <w:tcW w:type="dxa" w:w="415"/>
          </w:tcPr>
          <w:p>
            <w:r>
              <w:rPr/>
              <w:t>23</w:t>
            </w:r>
          </w:p>
        </w:tc>
        <w:tc>
          <w:tcPr>
            <w:tcW w:type="dxa" w:w="5814"/>
          </w:tcPr>
          <w:p>
            <w:r>
              <w:rPr/>
              <w:t>b)</w:t>
              <w:tab/>
              <w:t>服务端必须直接安装在Windows Server系统，现场提供演示视频。</w:t>
            </w:r>
          </w:p>
        </w:tc>
      </w:tr>
      <w:tr>
        <w:tc>
          <w:tcPr>
            <w:tcW w:type="dxa" w:w="2076"/>
          </w:tcPr>
          <w:p/>
        </w:tc>
        <w:tc>
          <w:tcPr>
            <w:tcW w:type="dxa" w:w="415"/>
          </w:tcPr>
          <w:p>
            <w:r>
              <w:rPr/>
              <w:t>24</w:t>
            </w:r>
          </w:p>
        </w:tc>
        <w:tc>
          <w:tcPr>
            <w:tcW w:type="dxa" w:w="5814"/>
          </w:tcPr>
          <w:p>
            <w:r>
              <w:rPr/>
              <w:t>c)</w:t>
              <w:tab/>
              <w:t>提供操作系统快照合并功能现场演示，支持不少于十个系统快照；</w:t>
            </w:r>
          </w:p>
        </w:tc>
      </w:tr>
      <w:tr>
        <w:tc>
          <w:tcPr>
            <w:tcW w:type="dxa" w:w="2076"/>
          </w:tcPr>
          <w:p/>
        </w:tc>
        <w:tc>
          <w:tcPr>
            <w:tcW w:type="dxa" w:w="415"/>
          </w:tcPr>
          <w:p>
            <w:r>
              <w:rPr/>
              <w:t>25</w:t>
            </w:r>
          </w:p>
        </w:tc>
        <w:tc>
          <w:tcPr>
            <w:tcW w:type="dxa" w:w="5814"/>
          </w:tcPr>
          <w:p>
            <w:r>
              <w:rPr/>
              <w:t>d)</w:t>
              <w:tab/>
              <w:t>控制台添加占位机功能现场演示，便于给故障的终端预留IP地址。</w:t>
            </w:r>
          </w:p>
        </w:tc>
      </w:tr>
      <w:tr>
        <w:tc>
          <w:tcPr>
            <w:tcW w:type="dxa" w:w="2076"/>
          </w:tcPr>
          <w:p/>
        </w:tc>
        <w:tc>
          <w:tcPr>
            <w:tcW w:type="dxa" w:w="415"/>
          </w:tcPr>
          <w:p>
            <w:r>
              <w:rPr/>
              <w:t>26</w:t>
            </w:r>
          </w:p>
        </w:tc>
        <w:tc>
          <w:tcPr>
            <w:tcW w:type="dxa" w:w="5814"/>
          </w:tcPr>
          <w:p>
            <w:r>
              <w:rPr/>
              <w:t>e)</w:t>
              <w:tab/>
              <w:t>组内单个终端个性引用系统镜像技术：一个机房中任意一台终端可单独引用不同的操作系统镜像，进行个性化设置，从而满足个别学生的特殊需求。</w:t>
            </w:r>
          </w:p>
        </w:tc>
      </w:tr>
      <w:tr>
        <w:tc>
          <w:tcPr>
            <w:tcW w:type="dxa" w:w="2076"/>
          </w:tcPr>
          <w:p/>
        </w:tc>
        <w:tc>
          <w:tcPr>
            <w:tcW w:type="dxa" w:w="415"/>
          </w:tcPr>
          <w:p>
            <w:r>
              <w:rPr/>
              <w:t>27</w:t>
            </w:r>
          </w:p>
        </w:tc>
        <w:tc>
          <w:tcPr>
            <w:tcW w:type="dxa" w:w="5814"/>
          </w:tcPr>
          <w:p>
            <w:r>
              <w:rPr/>
              <w:t>12）服务：原厂商三年保修及上门服务，原厂三年7×24小时电话支持服务。投标时提供原厂家售后服务承诺函。</w:t>
            </w:r>
          </w:p>
        </w:tc>
      </w:tr>
      <w:tr>
        <w:tc>
          <w:tcPr>
            <w:tcW w:type="dxa" w:w="2076"/>
          </w:tcPr>
          <w:p/>
        </w:tc>
        <w:tc>
          <w:tcPr>
            <w:tcW w:type="dxa" w:w="415"/>
          </w:tcPr>
          <w:p>
            <w:r>
              <w:rPr/>
              <w:t>28</w:t>
            </w:r>
          </w:p>
        </w:tc>
        <w:tc>
          <w:tcPr>
            <w:tcW w:type="dxa" w:w="5814"/>
          </w:tcPr>
          <w:p>
            <w:r>
              <w:rPr/>
              <w:t>（3）云教学系统 1) 全面支持Windows全系列操作系统，包括Windows 7/10(x86、x64)，只需双击一次安装程序即可自动完成安装，软件升级无需重装即可通过教师端一键完成。将多媒体教学软件的教师端、学生端安装在同一个系统上面，插入加密狗的终端就自动识别为教师端，实现教师端跟学生端引用同一个镜像。一台机器可以切换教师端和学生端，如遇教师机故障时，可任选一台学生端切换为教师端，提高上课效率。支持多台教师端共用一个镜像，不同教室的机器划分一个组，最终实现一次性更新终端后不需要再单独修改每个教室的教师机跟学生机频道，便于统一管理，统一维护。</w:t>
            </w:r>
          </w:p>
        </w:tc>
      </w:tr>
      <w:tr>
        <w:tc>
          <w:tcPr>
            <w:tcW w:type="dxa" w:w="2076"/>
          </w:tcPr>
          <w:p>
            <w:r>
              <w:rPr/>
              <w:t>▲</w:t>
            </w:r>
          </w:p>
        </w:tc>
        <w:tc>
          <w:tcPr>
            <w:tcW w:type="dxa" w:w="415"/>
          </w:tcPr>
          <w:p>
            <w:r>
              <w:rPr/>
              <w:t>29</w:t>
            </w:r>
          </w:p>
        </w:tc>
        <w:tc>
          <w:tcPr>
            <w:tcW w:type="dxa" w:w="5814"/>
          </w:tcPr>
          <w:p>
            <w:r>
              <w:rPr/>
              <w:t>2) 系统界面风格简约易懂，操作简单，教师端多频道登陆实现合班教学，无需学生端操作修改参数，老师临时有事可以用手机APP进行监控，可执行屏幕广播、远程开关机、远程桌面、黑屏肃静等功能。</w:t>
            </w:r>
          </w:p>
        </w:tc>
      </w:tr>
      <w:tr>
        <w:tc>
          <w:tcPr>
            <w:tcW w:type="dxa" w:w="2076"/>
          </w:tcPr>
          <w:p/>
        </w:tc>
        <w:tc>
          <w:tcPr>
            <w:tcW w:type="dxa" w:w="415"/>
          </w:tcPr>
          <w:p>
            <w:r>
              <w:rPr/>
              <w:t>30</w:t>
            </w:r>
          </w:p>
        </w:tc>
        <w:tc>
          <w:tcPr>
            <w:tcW w:type="dxa" w:w="5814"/>
          </w:tcPr>
          <w:p>
            <w:r>
              <w:rPr/>
              <w:t>3) 屏幕广播采用动态智能截屏及实时高能压缩技术，可根据网络情况调节画质及流畅度效率，使广播效能达到最佳清晰度及流畅性，支持全屏、窗口、指定区域等方式显示，并可以快捷切换全屏或窗口方式，支持DirectDraw、Direct3D、OpenGL、3DMax、AutoCAD、Flash、DVD光驱等内容广播。 视频教学支持网络影院、视频直播。网络影院断网续连，添加播放列表自动顺序或循环播放；视频直播教师摄像头画面或者视频展台等外接设备。</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采购包2（液压与气压传动实验室设备）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合同生效一个月内完成货物安装调试并交付使用。</w:t>
            </w:r>
          </w:p>
        </w:tc>
      </w:tr>
      <w:tr>
        <w:tc>
          <w:tcPr>
            <w:tcW w:type="dxa" w:w="4153"/>
          </w:tcPr>
          <w:p>
            <w:r>
              <w:rPr/>
              <w:t>标的提供的地点</w:t>
            </w:r>
          </w:p>
        </w:tc>
        <w:tc>
          <w:tcPr>
            <w:tcW w:type="dxa" w:w="4153"/>
          </w:tcPr>
          <w:p/>
          <w:p>
            <w:r>
              <w:rPr/>
              <w:t>广东工业大学大学城校区机电工程学院指定地点。</w:t>
            </w:r>
          </w:p>
        </w:tc>
      </w:tr>
      <w:tr>
        <w:tc>
          <w:tcPr>
            <w:tcW w:type="dxa" w:w="4153"/>
          </w:tcPr>
          <w:p>
            <w:r>
              <w:rPr/>
              <w:t>付款方式</w:t>
            </w:r>
          </w:p>
        </w:tc>
        <w:tc>
          <w:tcPr>
            <w:tcW w:type="dxa" w:w="4153"/>
          </w:tcPr>
          <w:p/>
          <w:p/>
          <w:p>
            <w:r>
              <w:rPr/>
              <w:t>1期：支付比例100%,★1、合同签订后，中标人开具全额增值税专用发票给采购人，同时中标人开出以采购人为受益人的“见索即付”形式的预付款银行保函，保函金额为合同总金额，保函付款条件为银行收到采购人书面索赔通知即须赔付，保函有效期为合同生效后一年；采购人收到银行保函后十个工作日内按相关规定办理支付手续，采购人将合同货款（人民币*佰*拾*万*仟*佰*拾*元整，¥****.**）支付给中标人。 ★2、货物安装调试完毕，经采购人、中标人双方对货物进行验收合格并完成交付后，采购人将银行保函原件退回给中标人，中标人自行到银行办理相关手续。</w:t>
            </w:r>
          </w:p>
        </w:tc>
      </w:tr>
      <w:tr>
        <w:tc>
          <w:tcPr>
            <w:tcW w:type="dxa" w:w="4153"/>
          </w:tcPr>
          <w:p>
            <w:r>
              <w:rPr/>
              <w:t>验收要求</w:t>
            </w:r>
          </w:p>
        </w:tc>
        <w:tc>
          <w:tcPr>
            <w:tcW w:type="dxa" w:w="4153"/>
          </w:tcPr>
          <w:p/>
          <w:p/>
          <w:p/>
          <w:p>
            <w:r>
              <w:rPr/>
              <w:t>1期：1．交付验收标准为：按合同约定的货物及价格、详细配置清单及技术指标、符合采购文件和响应承诺中采购人认可的合理最佳配置、参数及各项要求、国家相关标准和行业规范进行验收（该等标准不一致的，以较高为准）。 2．验收流程按采购人规章制度执行，由采购人组成验收小组（含中标人人员）按国家有关规定、规范进行验收，必要时采购人可邀请相关的专业人员或机构参与验收。 3．货物安装调试完毕且正常运行后，中标人应向采购人提出书面验收申请，准备并向采购人提交验收文件，合同项下的全部货物按采购人验收流程验收通过，经采购人、中标人双方签署验收合格证明后，视为验收合格。 4．验收合格后，中标人应将货物的用户手册、保修手册、有关单证资料及配备件、随机工具等交付给采购人，使用操作及安全须知等重要资料应附有中文说明。前述资料物品交付完毕当日，视为合同货物完成交付。</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（一）货物质量要求：</w:t>
            </w:r>
          </w:p>
        </w:tc>
        <w:tc>
          <w:tcPr>
            <w:tcW w:type="dxa" w:w="2076"/>
          </w:tcPr>
          <w:p>
            <w:pPr>
              <w:jc w:val="left"/>
            </w:pPr>
            <w:r>
              <w:rPr/>
              <w:t>1.中标人提供的货物必须符合中华人民共和国国家安全环保标准。软件类产品则应符合国家技术规格和质量标准。 2.中标人提供的货物为全新的，整机无污染，无侵权行为、无任何缺陷隐患，在中国境内可依常规安全合法使用。软件类产品则应有相应的标准包装，确保产品为原厂正版产品。 3.中标人提供的货物必须是原制造商制造的全新产品（含零部件、配件、随机工具等），表面无划伤、无碰撞，配件齐全，完全符合国家的有关质量标准，并附有产品质量检验合格证书。 4.如果发现货物的质量和规格与合同规定不符或货物在保修期内被证明有缺陷，包括内在缺陷或使用不适当原材料，中标人应予退换货。</w:t>
            </w:r>
          </w:p>
        </w:tc>
      </w:tr>
      <w:tr>
        <w:tc>
          <w:tcPr>
            <w:tcW w:type="dxa" w:w="2076"/>
          </w:tcPr>
          <w:p>
            <w:pPr>
              <w:jc w:val="center"/>
            </w:pPr>
          </w:p>
        </w:tc>
        <w:tc>
          <w:tcPr>
            <w:tcW w:type="dxa" w:w="2076"/>
          </w:tcPr>
          <w:p>
            <w:pPr>
              <w:jc w:val="center"/>
            </w:pPr>
            <w:r>
              <w:rPr/>
              <w:t>2</w:t>
            </w:r>
          </w:p>
        </w:tc>
        <w:tc>
          <w:tcPr>
            <w:tcW w:type="dxa" w:w="2076"/>
          </w:tcPr>
          <w:p>
            <w:pPr>
              <w:jc w:val="left"/>
            </w:pPr>
            <w:r>
              <w:rPr/>
              <w:t>（二）到货检验、安装与调试：</w:t>
            </w:r>
          </w:p>
        </w:tc>
        <w:tc>
          <w:tcPr>
            <w:tcW w:type="dxa" w:w="2076"/>
          </w:tcPr>
          <w:p>
            <w:pPr>
              <w:jc w:val="left"/>
            </w:pPr>
            <w:r>
              <w:rPr/>
              <w:t>1.货物的到货检验包括：型号、规格、数量、外观质量及货物包装完整无破损，在货物抵达交货目的地后，采购人和中标人双方就货物外观质量、规格和型号进行初步检验。货物为原厂商未启封全新包装，具有出厂合格证，序列号、包装箱号与出厂批号一致，并可追索查阅。所有随货物的附件必须齐全。如果发现到货的外观质量、规格和型号与合同不符，采购人有权拒收货物，并可向中标人索赔。 3.除非采购人另有通知，中标人应按照合同的要求以及合同执行计划的时间安排，派出足够的人员进行现场安装和负责调试工作。 3.中标人必须依照招标文件的要求和投标文件的承诺，将货物安装并调试至正常运行的最佳状态。 4.软件类产品中标人应该提供软件现场或远程安装，包括软件服务器端安装、客户端安装和软件license的安装；在服务器端安装时乙方应主动寻求服务器供应商的工程师配合。</w:t>
            </w:r>
          </w:p>
        </w:tc>
      </w:tr>
      <w:tr>
        <w:tc>
          <w:tcPr>
            <w:tcW w:type="dxa" w:w="2076"/>
          </w:tcPr>
          <w:p>
            <w:pPr>
              <w:jc w:val="center"/>
            </w:pPr>
          </w:p>
        </w:tc>
        <w:tc>
          <w:tcPr>
            <w:tcW w:type="dxa" w:w="2076"/>
          </w:tcPr>
          <w:p>
            <w:pPr>
              <w:jc w:val="center"/>
            </w:pPr>
            <w:r>
              <w:rPr/>
              <w:t>3</w:t>
            </w:r>
          </w:p>
        </w:tc>
        <w:tc>
          <w:tcPr>
            <w:tcW w:type="dxa" w:w="2076"/>
          </w:tcPr>
          <w:p>
            <w:pPr>
              <w:jc w:val="left"/>
            </w:pPr>
            <w:r>
              <w:rPr/>
              <w:t>（三）培训及售后服务：</w:t>
            </w:r>
          </w:p>
        </w:tc>
        <w:tc>
          <w:tcPr>
            <w:tcW w:type="dxa" w:w="2076"/>
          </w:tcPr>
          <w:p>
            <w:pPr>
              <w:jc w:val="left"/>
            </w:pPr>
            <w:r>
              <w:rPr/>
              <w:t>1.中标人负责采购人使用人员的使用操作技术及维护技术的培训，具体培训内容和时间安排由双方协商确定。软件类产品在安装完毕后，中标人需对采购人使用部门有关人员进行必要的现场培训，保证采购人使用人员能独立安装软件、软件升级并能运行算例。 ★2.所有货物保修期为3年，中标人提供免费3年上门保修服务和系统维护，中标人不再收取任何费用，保修期自双方代表在货物安装调试后的验收证明文件上签字之日起计算。 3.保修期内，如货物或零部件因质量原因出现故障而造成短期停用时，则保修期和免费维修期相应顺延。如停用时间累计超过60天则保修期重新计算。 4.在保修期内，如货品非因采购人的人为原因而出现的问题由中标人负责包修、包换或包退，并承担修理、调换或退货的实际费用。 5.保修期内，中标人负责对其提供的货物整机进行维修和系统维护，不再收取任何费用，但非中标人责任的人为因素、自然因素（如火灾、雷击等）造成的故障除外。 6. 货物（含软件类产品）故障报修的响应时间为2小时，且在8小时内（连同前面时间计算）到达现场，24小时内处理完毕。规定时间内未处理完毕的，中标人在48小时内提供不低于同等档次货物供用户使用至故障货物能正常使用为止。 7.保修期间，同一硬件一个月内连续2次出现同一故障，中标人须无偿更换全新货物。</w:t>
            </w:r>
          </w:p>
        </w:tc>
      </w:tr>
      <w:tr>
        <w:tc>
          <w:tcPr>
            <w:tcW w:type="dxa" w:w="2076"/>
          </w:tcPr>
          <w:p>
            <w:pPr>
              <w:jc w:val="center"/>
            </w:pPr>
          </w:p>
        </w:tc>
        <w:tc>
          <w:tcPr>
            <w:tcW w:type="dxa" w:w="2076"/>
          </w:tcPr>
          <w:p>
            <w:pPr>
              <w:jc w:val="center"/>
            </w:pPr>
            <w:r>
              <w:rPr/>
              <w:t>4</w:t>
            </w:r>
          </w:p>
        </w:tc>
        <w:tc>
          <w:tcPr>
            <w:tcW w:type="dxa" w:w="2076"/>
          </w:tcPr>
          <w:p>
            <w:pPr>
              <w:jc w:val="left"/>
            </w:pPr>
            <w:r>
              <w:rPr/>
              <w:t>（四）其他要求：</w:t>
            </w:r>
          </w:p>
        </w:tc>
        <w:tc>
          <w:tcPr>
            <w:tcW w:type="dxa" w:w="2076"/>
          </w:tcPr>
          <w:p>
            <w:pPr>
              <w:jc w:val="left"/>
            </w:pPr>
            <w:r>
              <w:rPr/>
              <w:t>★项目资金来源自政府财政贴息贷款，在合同签订后，如学校设备贴息贷款申请未通过国家财政贴息审核，则合同自动终止，采购人无须承担任何责任，双方配合完成书面终止合同的手续，采购代理服务费由采购人支付。</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其他专用仪器仪表</w:t>
            </w:r>
          </w:p>
        </w:tc>
        <w:tc>
          <w:tcPr>
            <w:tcW w:type="dxa" w:w="831"/>
          </w:tcPr>
          <w:p>
            <w:pPr>
              <w:jc w:val="left"/>
            </w:pPr>
            <w:r>
              <w:rPr/>
              <w:t>液压与气压传动实验室设备</w:t>
            </w:r>
          </w:p>
        </w:tc>
        <w:tc>
          <w:tcPr>
            <w:tcW w:type="dxa" w:w="831"/>
          </w:tcPr>
          <w:p>
            <w:pPr>
              <w:jc w:val="left"/>
            </w:pPr>
            <w:r>
              <w:rPr/>
              <w:t>台</w:t>
            </w:r>
          </w:p>
        </w:tc>
        <w:tc>
          <w:tcPr>
            <w:tcW w:type="dxa" w:w="831"/>
          </w:tcPr>
          <w:p>
            <w:pPr>
              <w:jc w:val="right"/>
            </w:pPr>
            <w:r>
              <w:rPr/>
              <w:t>8.00</w:t>
            </w:r>
          </w:p>
        </w:tc>
        <w:tc>
          <w:tcPr>
            <w:tcW w:type="dxa" w:w="831"/>
          </w:tcPr>
          <w:p>
            <w:pPr>
              <w:jc w:val="right"/>
            </w:pPr>
            <w:r>
              <w:rPr/>
              <w:t>120,000.00</w:t>
            </w:r>
          </w:p>
        </w:tc>
        <w:tc>
          <w:tcPr>
            <w:tcW w:type="dxa" w:w="831"/>
          </w:tcPr>
          <w:p>
            <w:pPr>
              <w:jc w:val="right"/>
            </w:pPr>
            <w:r>
              <w:rPr/>
              <w:t>960,000.00</w:t>
            </w:r>
          </w:p>
        </w:tc>
        <w:tc>
          <w:tcPr>
            <w:tcW w:type="dxa" w:w="831"/>
          </w:tcPr>
          <w:p>
            <w:r>
              <w:rPr/>
              <w:t>工业</w:t>
            </w:r>
          </w:p>
        </w:tc>
        <w:tc>
          <w:tcPr>
            <w:tcW w:type="dxa" w:w="831"/>
          </w:tcPr>
          <w:p>
            <w:r>
              <w:rPr/>
              <w:t>详见附表一</w:t>
            </w:r>
          </w:p>
        </w:tc>
      </w:tr>
    </w:tbl>
    <w:p/>
    <w:p>
      <w:r>
        <w:rPr>
          <w:b/>
        </w:rPr>
        <w:t>附表</w:t>
      </w:r>
      <w:r>
        <w:rPr>
          <w:b/>
        </w:rPr>
        <w:t>一</w:t>
      </w:r>
      <w:r>
        <w:rPr>
          <w:b/>
        </w:rPr>
        <w:t>：</w:t>
      </w:r>
      <w:r>
        <w:rPr>
          <w:b/>
        </w:rPr>
        <w:t>液压与气压传动实验室设备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left"/>
            </w:pPr>
            <w:r>
              <w:rPr>
                <w:sz w:val="24"/>
              </w:rPr>
              <w:t>一、功能要求</w:t>
            </w:r>
          </w:p>
          <w:p>
            <w:pPr>
              <w:jc w:val="left"/>
            </w:pPr>
            <w:r>
              <w:rPr>
                <w:sz w:val="24"/>
              </w:rPr>
              <w:t>★1.能完成常用液压元件(薄壁孔、细长孔、环形缝隙、液压泵、溢流阀、减压阀、调速阀、节流阀、比例溢流阀、比例方向阀)的性能测试以及液压（压力、速度、方向）基本回路、压力闭环控制、位置闭环控制等实验项目。投标人须承诺提供试验程序的源程序。</w:t>
            </w:r>
          </w:p>
        </w:tc>
      </w:tr>
      <w:tr>
        <w:tc>
          <w:tcPr>
            <w:tcW w:type="dxa" w:w="2076"/>
          </w:tcPr>
          <w:p/>
        </w:tc>
        <w:tc>
          <w:tcPr>
            <w:tcW w:type="dxa" w:w="415"/>
          </w:tcPr>
          <w:p>
            <w:r>
              <w:rPr/>
              <w:t>2</w:t>
            </w:r>
          </w:p>
        </w:tc>
        <w:tc>
          <w:tcPr>
            <w:tcW w:type="dxa" w:w="5814"/>
          </w:tcPr>
          <w:p>
            <w:pPr>
              <w:jc w:val="left"/>
            </w:pPr>
            <w:r>
              <w:rPr>
                <w:sz w:val="24"/>
              </w:rPr>
              <w:t>2</w:t>
            </w:r>
            <w:r>
              <w:rPr>
                <w:sz w:val="24"/>
              </w:rPr>
              <w:t>.提供实验项目的教学视频和仿真模型。</w:t>
            </w:r>
          </w:p>
        </w:tc>
      </w:tr>
      <w:tr>
        <w:tc>
          <w:tcPr>
            <w:tcW w:type="dxa" w:w="2076"/>
          </w:tcPr>
          <w:p/>
        </w:tc>
        <w:tc>
          <w:tcPr>
            <w:tcW w:type="dxa" w:w="415"/>
          </w:tcPr>
          <w:p>
            <w:r>
              <w:rPr/>
              <w:t>3</w:t>
            </w:r>
          </w:p>
        </w:tc>
        <w:tc>
          <w:tcPr>
            <w:tcW w:type="dxa" w:w="5814"/>
          </w:tcPr>
          <w:p>
            <w:pPr>
              <w:jc w:val="left"/>
            </w:pPr>
            <w:r>
              <w:rPr>
                <w:sz w:val="24"/>
              </w:rPr>
              <w:t>二、性能要求</w:t>
            </w:r>
          </w:p>
          <w:p>
            <w:pPr>
              <w:jc w:val="left"/>
            </w:pPr>
            <w:r>
              <w:rPr>
                <w:sz w:val="24"/>
              </w:rPr>
              <w:t>1．柜体采用冷扎板焊成，表面涂防锈漆。采用钢制实验工作台，表面采用亮面拉丝不锈钢材质包覆，内外落差5mm（操作侧高，排油口低）。实验台安装面板为带“T”沟槽形式的铝合金型材结构。</w:t>
            </w:r>
            <w:r>
              <w:rPr>
                <w:b/>
                <w:sz w:val="24"/>
              </w:rPr>
              <w:t>（投标时提供实物截图）</w:t>
            </w:r>
          </w:p>
        </w:tc>
      </w:tr>
      <w:tr>
        <w:tc>
          <w:tcPr>
            <w:tcW w:type="dxa" w:w="2076"/>
          </w:tcPr>
          <w:p/>
        </w:tc>
        <w:tc>
          <w:tcPr>
            <w:tcW w:type="dxa" w:w="415"/>
          </w:tcPr>
          <w:p>
            <w:r>
              <w:rPr/>
              <w:t>4</w:t>
            </w:r>
          </w:p>
        </w:tc>
        <w:tc>
          <w:tcPr>
            <w:tcW w:type="dxa" w:w="5814"/>
          </w:tcPr>
          <w:p>
            <w:pPr>
              <w:jc w:val="left"/>
            </w:pPr>
            <w:r>
              <w:rPr>
                <w:sz w:val="24"/>
              </w:rPr>
              <w:t>2．采用功能独立的模块化元器件，扩展性能强。</w:t>
            </w:r>
          </w:p>
        </w:tc>
      </w:tr>
      <w:tr>
        <w:tc>
          <w:tcPr>
            <w:tcW w:type="dxa" w:w="2076"/>
          </w:tcPr>
          <w:p/>
        </w:tc>
        <w:tc>
          <w:tcPr>
            <w:tcW w:type="dxa" w:w="415"/>
          </w:tcPr>
          <w:p>
            <w:r>
              <w:rPr/>
              <w:t>5</w:t>
            </w:r>
          </w:p>
        </w:tc>
        <w:tc>
          <w:tcPr>
            <w:tcW w:type="dxa" w:w="5814"/>
          </w:tcPr>
          <w:p>
            <w:pPr>
              <w:jc w:val="left"/>
            </w:pPr>
            <w:r>
              <w:rPr>
                <w:sz w:val="24"/>
              </w:rPr>
              <w:t>3.测试软件和实验程序可实现液压回路的压力、流量、位移、功率、温度等的测量和分析。</w:t>
            </w:r>
          </w:p>
        </w:tc>
      </w:tr>
      <w:tr>
        <w:tc>
          <w:tcPr>
            <w:tcW w:type="dxa" w:w="2076"/>
          </w:tcPr>
          <w:p/>
        </w:tc>
        <w:tc>
          <w:tcPr>
            <w:tcW w:type="dxa" w:w="415"/>
          </w:tcPr>
          <w:p>
            <w:r>
              <w:rPr/>
              <w:t>6</w:t>
            </w:r>
          </w:p>
        </w:tc>
        <w:tc>
          <w:tcPr>
            <w:tcW w:type="dxa" w:w="5814"/>
          </w:tcPr>
          <w:p>
            <w:pPr>
              <w:jc w:val="left"/>
            </w:pPr>
            <w:r>
              <w:rPr>
                <w:sz w:val="24"/>
              </w:rPr>
              <w:t>4.采用可编程序控制器PLC控制单元进行电气控制，控制方式可软件编程。</w:t>
            </w:r>
          </w:p>
        </w:tc>
      </w:tr>
      <w:tr>
        <w:tc>
          <w:tcPr>
            <w:tcW w:type="dxa" w:w="2076"/>
          </w:tcPr>
          <w:p>
            <w:r>
              <w:rPr/>
              <w:t>▲</w:t>
            </w:r>
          </w:p>
        </w:tc>
        <w:tc>
          <w:tcPr>
            <w:tcW w:type="dxa" w:w="415"/>
          </w:tcPr>
          <w:p>
            <w:r>
              <w:rPr/>
              <w:t>7</w:t>
            </w:r>
          </w:p>
        </w:tc>
        <w:tc>
          <w:tcPr>
            <w:tcW w:type="dxa" w:w="5814"/>
          </w:tcPr>
          <w:p>
            <w:pPr>
              <w:jc w:val="left"/>
            </w:pPr>
            <w:r>
              <w:rPr>
                <w:sz w:val="24"/>
              </w:rPr>
              <w:t>▲</w:t>
            </w:r>
            <w:r>
              <w:rPr>
                <w:sz w:val="24"/>
              </w:rPr>
              <w:t>5.以工业液压元件为主，每个元件均配有油路过渡底板，可方便地安放在实验台面板上。底板上的油路接口及名称采用激光打印刻录。</w:t>
            </w:r>
            <w:r>
              <w:rPr>
                <w:b/>
                <w:sz w:val="24"/>
              </w:rPr>
              <w:t>（投标时提供底板相关截图）</w:t>
            </w:r>
          </w:p>
        </w:tc>
      </w:tr>
      <w:tr>
        <w:tc>
          <w:tcPr>
            <w:tcW w:type="dxa" w:w="2076"/>
          </w:tcPr>
          <w:p/>
        </w:tc>
        <w:tc>
          <w:tcPr>
            <w:tcW w:type="dxa" w:w="415"/>
          </w:tcPr>
          <w:p>
            <w:r>
              <w:rPr/>
              <w:t>8</w:t>
            </w:r>
          </w:p>
        </w:tc>
        <w:tc>
          <w:tcPr>
            <w:tcW w:type="dxa" w:w="5814"/>
          </w:tcPr>
          <w:p>
            <w:pPr>
              <w:jc w:val="left"/>
            </w:pPr>
            <w:r>
              <w:rPr>
                <w:sz w:val="24"/>
              </w:rPr>
              <w:t>6.要求阀件过渡底板与现有阀件(华德、立新)底板公用。</w:t>
            </w:r>
          </w:p>
        </w:tc>
      </w:tr>
      <w:tr>
        <w:tc>
          <w:tcPr>
            <w:tcW w:type="dxa" w:w="2076"/>
          </w:tcPr>
          <w:p/>
        </w:tc>
        <w:tc>
          <w:tcPr>
            <w:tcW w:type="dxa" w:w="415"/>
          </w:tcPr>
          <w:p>
            <w:r>
              <w:rPr/>
              <w:t>9</w:t>
            </w:r>
          </w:p>
        </w:tc>
        <w:tc>
          <w:tcPr>
            <w:tcW w:type="dxa" w:w="5814"/>
          </w:tcPr>
          <w:p>
            <w:pPr>
              <w:jc w:val="left"/>
            </w:pPr>
            <w:r>
              <w:rPr>
                <w:sz w:val="24"/>
              </w:rPr>
              <w:t>三、技术参数</w:t>
            </w:r>
          </w:p>
          <w:p>
            <w:pPr>
              <w:jc w:val="left"/>
            </w:pPr>
            <w:r>
              <w:rPr>
                <w:sz w:val="24"/>
              </w:rPr>
              <w:t>1.系统工作压力不小于6MPa，包括2台电机-泵装置。</w:t>
            </w:r>
          </w:p>
          <w:p>
            <w:pPr>
              <w:jc w:val="left"/>
            </w:pPr>
            <w:r>
              <w:rPr>
                <w:sz w:val="24"/>
              </w:rPr>
              <w:t>A、定量泵：公称排量≥8mL/r；定量泵驱动电机的功率≥2.2KW，转速≥1450r/min。</w:t>
            </w:r>
          </w:p>
          <w:p>
            <w:pPr>
              <w:jc w:val="left"/>
            </w:pPr>
            <w:r>
              <w:rPr>
                <w:sz w:val="24"/>
              </w:rPr>
              <w:t>B、变量泵：公称排量≥8.3mL/r，变量叶片泵电机的功率≥1.5KW，转速≥1450r/min；运行时噪音≤50dB。</w:t>
            </w:r>
          </w:p>
        </w:tc>
      </w:tr>
      <w:tr>
        <w:tc>
          <w:tcPr>
            <w:tcW w:type="dxa" w:w="2076"/>
          </w:tcPr>
          <w:p/>
        </w:tc>
        <w:tc>
          <w:tcPr>
            <w:tcW w:type="dxa" w:w="415"/>
          </w:tcPr>
          <w:p>
            <w:r>
              <w:rPr/>
              <w:t>10</w:t>
            </w:r>
          </w:p>
        </w:tc>
        <w:tc>
          <w:tcPr>
            <w:tcW w:type="dxa" w:w="5814"/>
          </w:tcPr>
          <w:p>
            <w:pPr>
              <w:jc w:val="left"/>
            </w:pPr>
            <w:r>
              <w:rPr>
                <w:sz w:val="24"/>
              </w:rPr>
              <w:t>2.油箱≤（600×450×300mm），公称容积≤80L；附有液位、油温指示计，吸油、回油滤油器、安全阀等。</w:t>
            </w:r>
          </w:p>
        </w:tc>
      </w:tr>
      <w:tr>
        <w:tc>
          <w:tcPr>
            <w:tcW w:type="dxa" w:w="2076"/>
          </w:tcPr>
          <w:p/>
        </w:tc>
        <w:tc>
          <w:tcPr>
            <w:tcW w:type="dxa" w:w="415"/>
          </w:tcPr>
          <w:p>
            <w:r>
              <w:rPr/>
              <w:t>11</w:t>
            </w:r>
          </w:p>
        </w:tc>
        <w:tc>
          <w:tcPr>
            <w:tcW w:type="dxa" w:w="5814"/>
          </w:tcPr>
          <w:p>
            <w:pPr>
              <w:jc w:val="left"/>
            </w:pPr>
            <w:r>
              <w:rPr>
                <w:sz w:val="24"/>
              </w:rPr>
              <w:t>3.实验台尺寸≤</w:t>
            </w:r>
            <w:r>
              <w:rPr>
                <w:sz w:val="24"/>
              </w:rPr>
              <w:t>2450</w:t>
            </w:r>
            <w:r>
              <w:rPr>
                <w:sz w:val="24"/>
              </w:rPr>
              <w:t>mm</w:t>
            </w:r>
            <w:r>
              <w:rPr>
                <w:sz w:val="24"/>
              </w:rPr>
              <w:t>×6</w:t>
            </w:r>
            <w:r>
              <w:rPr>
                <w:sz w:val="24"/>
              </w:rPr>
              <w:t>6</w:t>
            </w:r>
            <w:r>
              <w:rPr>
                <w:sz w:val="24"/>
              </w:rPr>
              <w:t>0</w:t>
            </w:r>
            <w:r>
              <w:rPr>
                <w:sz w:val="24"/>
              </w:rPr>
              <w:t>mm</w:t>
            </w:r>
            <w:r>
              <w:rPr>
                <w:sz w:val="24"/>
              </w:rPr>
              <w:t>×17</w:t>
            </w:r>
            <w:r>
              <w:rPr>
                <w:sz w:val="24"/>
              </w:rPr>
              <w:t>8</w:t>
            </w:r>
            <w:r>
              <w:rPr>
                <w:sz w:val="24"/>
              </w:rPr>
              <w:t>0mm</w:t>
            </w:r>
            <w:r>
              <w:rPr>
                <w:sz w:val="24"/>
              </w:rPr>
              <w:t>，重量</w:t>
            </w:r>
            <w:r>
              <w:rPr>
                <w:sz w:val="24"/>
              </w:rPr>
              <w:t>≤650Kg。</w:t>
            </w:r>
          </w:p>
        </w:tc>
      </w:tr>
      <w:tr>
        <w:tc>
          <w:tcPr>
            <w:tcW w:type="dxa" w:w="2076"/>
          </w:tcPr>
          <w:p/>
        </w:tc>
        <w:tc>
          <w:tcPr>
            <w:tcW w:type="dxa" w:w="415"/>
          </w:tcPr>
          <w:p>
            <w:r>
              <w:rPr/>
              <w:t>12</w:t>
            </w:r>
          </w:p>
        </w:tc>
        <w:tc>
          <w:tcPr>
            <w:tcW w:type="dxa" w:w="5814"/>
          </w:tcPr>
          <w:p>
            <w:pPr>
              <w:jc w:val="left"/>
            </w:pPr>
            <w:r>
              <w:rPr>
                <w:sz w:val="24"/>
              </w:rPr>
              <w:t>4.压力和位移传感器的精度不低于0.2级，流量、功率和温度传感器的精度不低于0.5级；采集卡的精度不低于12位。</w:t>
            </w:r>
          </w:p>
        </w:tc>
      </w:tr>
      <w:tr>
        <w:tc>
          <w:tcPr>
            <w:tcW w:type="dxa" w:w="2076"/>
          </w:tcPr>
          <w:p/>
        </w:tc>
        <w:tc>
          <w:tcPr>
            <w:tcW w:type="dxa" w:w="415"/>
          </w:tcPr>
          <w:p>
            <w:r>
              <w:rPr/>
              <w:t>13</w:t>
            </w:r>
          </w:p>
        </w:tc>
        <w:tc>
          <w:tcPr>
            <w:tcW w:type="dxa" w:w="5814"/>
          </w:tcPr>
          <w:p>
            <w:pPr>
              <w:jc w:val="left"/>
            </w:pPr>
            <w:r>
              <w:rPr>
                <w:sz w:val="24"/>
              </w:rPr>
              <w:t>5.测试系统采用的数据处理工作站：</w:t>
            </w:r>
            <w:r>
              <w:rPr>
                <w:sz w:val="24"/>
              </w:rPr>
              <w:t>采用频率不低于</w:t>
            </w:r>
            <w:r>
              <w:rPr>
                <w:sz w:val="24"/>
              </w:rPr>
              <w:t>2</w:t>
            </w:r>
            <w:r>
              <w:rPr>
                <w:sz w:val="24"/>
              </w:rPr>
              <w:t>.9</w:t>
            </w:r>
            <w:r>
              <w:rPr>
                <w:sz w:val="24"/>
              </w:rPr>
              <w:t>GH</w:t>
            </w:r>
            <w:r>
              <w:rPr>
                <w:sz w:val="24"/>
              </w:rPr>
              <w:t>z</w:t>
            </w:r>
            <w:r>
              <w:rPr>
                <w:sz w:val="24"/>
              </w:rPr>
              <w:t>、核心数不低于</w:t>
            </w:r>
            <w:r>
              <w:rPr>
                <w:sz w:val="24"/>
              </w:rPr>
              <w:t>6</w:t>
            </w:r>
            <w:r>
              <w:rPr>
                <w:sz w:val="24"/>
              </w:rPr>
              <w:t>个、线程数不低于</w:t>
            </w:r>
            <w:r>
              <w:rPr>
                <w:sz w:val="24"/>
              </w:rPr>
              <w:t>1</w:t>
            </w:r>
            <w:r>
              <w:rPr>
                <w:sz w:val="24"/>
              </w:rPr>
              <w:t>2</w:t>
            </w:r>
            <w:r>
              <w:rPr>
                <w:sz w:val="24"/>
              </w:rPr>
              <w:t>个的</w:t>
            </w:r>
            <w:r>
              <w:rPr>
                <w:sz w:val="24"/>
              </w:rPr>
              <w:t>CPU</w:t>
            </w:r>
            <w:r>
              <w:rPr>
                <w:sz w:val="24"/>
              </w:rPr>
              <w:t>，内存不低于</w:t>
            </w:r>
            <w:r>
              <w:rPr>
                <w:sz w:val="24"/>
              </w:rPr>
              <w:t>8G</w:t>
            </w:r>
            <w:r>
              <w:rPr>
                <w:sz w:val="24"/>
              </w:rPr>
              <w:t>（</w:t>
            </w:r>
            <w:r>
              <w:rPr>
                <w:sz w:val="24"/>
              </w:rPr>
              <w:t>4G</w:t>
            </w:r>
            <w:r>
              <w:rPr>
                <w:sz w:val="24"/>
              </w:rPr>
              <w:t>*2</w:t>
            </w:r>
            <w:r>
              <w:rPr>
                <w:sz w:val="24"/>
              </w:rPr>
              <w:t>），硬盘包括不小于</w:t>
            </w:r>
            <w:r>
              <w:rPr>
                <w:sz w:val="24"/>
              </w:rPr>
              <w:t>2</w:t>
            </w:r>
            <w:r>
              <w:rPr>
                <w:sz w:val="24"/>
              </w:rPr>
              <w:t>56</w:t>
            </w:r>
            <w:r>
              <w:rPr>
                <w:sz w:val="24"/>
              </w:rPr>
              <w:t>G</w:t>
            </w:r>
            <w:r>
              <w:rPr>
                <w:sz w:val="24"/>
              </w:rPr>
              <w:t>的固态和不小于</w:t>
            </w:r>
            <w:r>
              <w:rPr>
                <w:sz w:val="24"/>
              </w:rPr>
              <w:t>1</w:t>
            </w:r>
            <w:r>
              <w:rPr>
                <w:sz w:val="24"/>
              </w:rPr>
              <w:t>T</w:t>
            </w:r>
            <w:r>
              <w:rPr>
                <w:sz w:val="24"/>
              </w:rPr>
              <w:t>的机械硬盘，影像输出端尺寸不小于</w:t>
            </w:r>
            <w:r>
              <w:rPr>
                <w:sz w:val="24"/>
              </w:rPr>
              <w:t>2</w:t>
            </w:r>
            <w:r>
              <w:rPr>
                <w:sz w:val="24"/>
              </w:rPr>
              <w:t>1</w:t>
            </w:r>
            <w:r>
              <w:rPr>
                <w:sz w:val="24"/>
              </w:rPr>
              <w:t>英寸</w:t>
            </w:r>
            <w:r>
              <w:rPr>
                <w:sz w:val="24"/>
              </w:rPr>
              <w:t>。</w:t>
            </w:r>
          </w:p>
        </w:tc>
      </w:tr>
      <w:tr>
        <w:tc>
          <w:tcPr>
            <w:tcW w:type="dxa" w:w="2076"/>
          </w:tcPr>
          <w:p>
            <w:r>
              <w:rPr/>
              <w:t>▲</w:t>
            </w:r>
          </w:p>
        </w:tc>
        <w:tc>
          <w:tcPr>
            <w:tcW w:type="dxa" w:w="415"/>
          </w:tcPr>
          <w:p>
            <w:r>
              <w:rPr/>
              <w:t>14</w:t>
            </w:r>
          </w:p>
        </w:tc>
        <w:tc>
          <w:tcPr>
            <w:tcW w:type="dxa" w:w="5814"/>
          </w:tcPr>
          <w:p>
            <w:pPr>
              <w:jc w:val="left"/>
            </w:pPr>
            <w:r>
              <w:rPr>
                <w:sz w:val="24"/>
              </w:rPr>
              <w:t>四、教学资源</w:t>
            </w:r>
          </w:p>
          <w:p>
            <w:pPr>
              <w:jc w:val="left"/>
            </w:pPr>
            <w:r>
              <w:rPr>
                <w:sz w:val="24"/>
              </w:rPr>
              <w:t>▲</w:t>
            </w:r>
            <w:r>
              <w:rPr>
                <w:sz w:val="24"/>
              </w:rPr>
              <w:t>1.需提供实验项目的中英文双语教学视频。教学视频分集拍摄，数量≥15集，总时长≥75分钟。视屏制作包含画中画形式，提供PLC梯形图、液压原理图及电气连接图。</w:t>
            </w:r>
            <w:r>
              <w:rPr>
                <w:b/>
                <w:sz w:val="24"/>
              </w:rPr>
              <w:t>（投标时提供相关截图）</w:t>
            </w:r>
          </w:p>
        </w:tc>
      </w:tr>
      <w:tr>
        <w:tc>
          <w:tcPr>
            <w:tcW w:type="dxa" w:w="2076"/>
          </w:tcPr>
          <w:p/>
        </w:tc>
        <w:tc>
          <w:tcPr>
            <w:tcW w:type="dxa" w:w="415"/>
          </w:tcPr>
          <w:p>
            <w:r>
              <w:rPr/>
              <w:t>15</w:t>
            </w:r>
          </w:p>
        </w:tc>
        <w:tc>
          <w:tcPr>
            <w:tcW w:type="dxa" w:w="5814"/>
          </w:tcPr>
          <w:p>
            <w:pPr>
              <w:jc w:val="left"/>
            </w:pPr>
            <w:r>
              <w:rPr>
                <w:sz w:val="24"/>
              </w:rPr>
              <w:t>2. 需要提供液压气动仿真教学软件。包含可视化液压仿真控制回路（数量不少于18个），能直接反映液压回路的工作状态。还包含典型液压元件（泵、阀）的3D模型及零部件的爆炸动画，剖视图和详细的工作原理演示视频。</w:t>
            </w:r>
          </w:p>
        </w:tc>
      </w:tr>
      <w:tr>
        <w:tc>
          <w:tcPr>
            <w:tcW w:type="dxa" w:w="2076"/>
          </w:tcPr>
          <w:p>
            <w:r>
              <w:rPr/>
              <w:t>▲</w:t>
            </w:r>
          </w:p>
        </w:tc>
        <w:tc>
          <w:tcPr>
            <w:tcW w:type="dxa" w:w="415"/>
          </w:tcPr>
          <w:p>
            <w:r>
              <w:rPr/>
              <w:t>16</w:t>
            </w:r>
          </w:p>
        </w:tc>
        <w:tc>
          <w:tcPr>
            <w:tcW w:type="dxa" w:w="5814"/>
          </w:tcPr>
          <w:p>
            <w:pPr>
              <w:jc w:val="left"/>
            </w:pPr>
            <w:r>
              <w:rPr>
                <w:sz w:val="24"/>
              </w:rPr>
              <w:t>▲</w:t>
            </w:r>
            <w:r>
              <w:rPr>
                <w:sz w:val="24"/>
              </w:rPr>
              <w:t>3.液压系统计算软件</w:t>
            </w:r>
          </w:p>
          <w:p>
            <w:pPr>
              <w:jc w:val="left"/>
            </w:pPr>
            <w:r>
              <w:rPr>
                <w:sz w:val="24"/>
              </w:rPr>
              <w:t>（</w:t>
            </w:r>
            <w:r>
              <w:rPr>
                <w:sz w:val="24"/>
              </w:rPr>
              <w:t>1）主要技术特点：</w:t>
            </w:r>
          </w:p>
          <w:p>
            <w:pPr>
              <w:jc w:val="left"/>
            </w:pPr>
            <w:r>
              <w:rPr>
                <w:sz w:val="24"/>
              </w:rPr>
              <w:t>软件界面提供计算公式的说明，以设计人员的常规思路为依据进行编排，引导用户一步一步去设计液压系统的压力、流量、速度、功率等参数。</w:t>
            </w:r>
          </w:p>
          <w:p>
            <w:pPr>
              <w:jc w:val="left"/>
            </w:pPr>
            <w:r>
              <w:rPr>
                <w:sz w:val="24"/>
              </w:rPr>
              <w:t>（</w:t>
            </w:r>
            <w:r>
              <w:rPr>
                <w:sz w:val="24"/>
              </w:rPr>
              <w:t>2）软件的主要功能包括：</w:t>
            </w:r>
          </w:p>
          <w:p>
            <w:pPr>
              <w:jc w:val="left"/>
            </w:pPr>
            <w:r>
              <w:rPr>
                <w:sz w:val="24"/>
              </w:rPr>
              <w:t>1）计算液压油缸的面积、体积、速比、流量、速度、压力、负载等参数；</w:t>
            </w:r>
          </w:p>
          <w:p>
            <w:pPr>
              <w:jc w:val="left"/>
            </w:pPr>
            <w:r>
              <w:rPr>
                <w:sz w:val="24"/>
              </w:rPr>
              <w:t>2）计算液压马达的速度、扭矩、功率等参数；</w:t>
            </w:r>
          </w:p>
          <w:p>
            <w:pPr>
              <w:jc w:val="left"/>
            </w:pPr>
            <w:r>
              <w:rPr>
                <w:sz w:val="24"/>
              </w:rPr>
              <w:t>3）计算液压泵站的油泵排量、电机功率等参数；</w:t>
            </w:r>
          </w:p>
          <w:p>
            <w:pPr>
              <w:jc w:val="left"/>
            </w:pPr>
            <w:r>
              <w:rPr>
                <w:sz w:val="24"/>
              </w:rPr>
              <w:t>4）计算液压管道的通径、流速以及管道的壁厚等参数；</w:t>
            </w:r>
          </w:p>
          <w:p>
            <w:pPr>
              <w:jc w:val="left"/>
            </w:pPr>
            <w:r>
              <w:rPr>
                <w:sz w:val="24"/>
              </w:rPr>
              <w:t>5）雷诺数、流态、压力损失的计算；</w:t>
            </w:r>
          </w:p>
          <w:p>
            <w:pPr>
              <w:jc w:val="left"/>
            </w:pPr>
            <w:r>
              <w:rPr>
                <w:sz w:val="24"/>
              </w:rPr>
              <w:t>6）压力冲击的计算；</w:t>
            </w:r>
          </w:p>
          <w:p>
            <w:pPr>
              <w:jc w:val="left"/>
            </w:pPr>
            <w:r>
              <w:rPr>
                <w:sz w:val="24"/>
              </w:rPr>
              <w:t>7）验算系统温升及冷却器的计算；</w:t>
            </w:r>
          </w:p>
          <w:p>
            <w:pPr>
              <w:jc w:val="left"/>
            </w:pPr>
            <w:r>
              <w:rPr>
                <w:sz w:val="24"/>
              </w:rPr>
              <w:t>8）液压缸主要零部件的计算，主要包括缸筒壁厚计算、活塞杆稳定性计算、螺纹强度计算、焊缝强度计算等；</w:t>
            </w:r>
          </w:p>
          <w:p>
            <w:pPr>
              <w:jc w:val="left"/>
            </w:pPr>
            <w:r>
              <w:rPr>
                <w:sz w:val="24"/>
              </w:rPr>
              <w:t>（</w:t>
            </w:r>
            <w:r>
              <w:rPr>
                <w:sz w:val="24"/>
              </w:rPr>
              <w:t>3）液压系统故障分析系统：</w:t>
            </w:r>
            <w:r>
              <w:rPr>
                <w:b/>
                <w:sz w:val="24"/>
              </w:rPr>
              <w:t>（投标时提供软件截图）</w:t>
            </w:r>
          </w:p>
          <w:p>
            <w:pPr>
              <w:jc w:val="left"/>
            </w:pPr>
            <w:r>
              <w:rPr>
                <w:sz w:val="24"/>
              </w:rPr>
              <w:t>包含一些常见的液压故障及排查解决的办法。后台采用</w:t>
            </w:r>
            <w:r>
              <w:rPr>
                <w:sz w:val="24"/>
              </w:rPr>
              <w:t>ACCESS数据库，用户可以扩充或编辑故障目录的具体内容。至少提供下述故障分析功能：</w:t>
            </w:r>
          </w:p>
          <w:p>
            <w:pPr>
              <w:jc w:val="left"/>
            </w:pPr>
            <w:r>
              <w:rPr>
                <w:sz w:val="24"/>
              </w:rPr>
              <w:t>1)液压泵的故障分析功能；</w:t>
            </w:r>
          </w:p>
          <w:p>
            <w:pPr>
              <w:jc w:val="left"/>
            </w:pPr>
            <w:r>
              <w:rPr>
                <w:sz w:val="24"/>
              </w:rPr>
              <w:t>2)液压缸的故障分析；</w:t>
            </w:r>
          </w:p>
          <w:p>
            <w:pPr>
              <w:jc w:val="left"/>
            </w:pPr>
            <w:r>
              <w:rPr>
                <w:sz w:val="24"/>
              </w:rPr>
              <w:t>3)溢流阀的故障分析；</w:t>
            </w:r>
          </w:p>
          <w:p>
            <w:pPr>
              <w:jc w:val="left"/>
            </w:pPr>
            <w:r>
              <w:rPr>
                <w:sz w:val="24"/>
              </w:rPr>
              <w:t>4)减压阀的故障分析；</w:t>
            </w:r>
          </w:p>
          <w:p>
            <w:pPr>
              <w:jc w:val="left"/>
            </w:pPr>
            <w:r>
              <w:rPr>
                <w:sz w:val="24"/>
              </w:rPr>
              <w:t>5)流量阀的故障分析；</w:t>
            </w:r>
          </w:p>
          <w:p>
            <w:pPr>
              <w:jc w:val="left"/>
            </w:pPr>
            <w:r>
              <w:rPr>
                <w:sz w:val="24"/>
              </w:rPr>
              <w:t>6)换向阀的故障分析；</w:t>
            </w:r>
          </w:p>
          <w:p>
            <w:pPr>
              <w:jc w:val="left"/>
            </w:pPr>
            <w:r>
              <w:rPr>
                <w:sz w:val="24"/>
              </w:rPr>
              <w:t>7)液控单向阀的故障分析；</w:t>
            </w:r>
          </w:p>
          <w:p>
            <w:pPr>
              <w:jc w:val="left"/>
            </w:pPr>
            <w:r>
              <w:rPr>
                <w:sz w:val="24"/>
              </w:rPr>
              <w:t>8)油温过高故障分析；</w:t>
            </w:r>
          </w:p>
          <w:p>
            <w:pPr>
              <w:jc w:val="left"/>
            </w:pPr>
            <w:r>
              <w:rPr>
                <w:sz w:val="24"/>
              </w:rPr>
              <w:t>9)噪音振动故障分析；</w:t>
            </w:r>
          </w:p>
          <w:p>
            <w:pPr>
              <w:jc w:val="left"/>
            </w:pPr>
            <w:r>
              <w:rPr>
                <w:sz w:val="24"/>
              </w:rPr>
              <w:t>10)电路电器故障分析；</w:t>
            </w:r>
          </w:p>
          <w:p>
            <w:pPr>
              <w:jc w:val="left"/>
            </w:pPr>
            <w:r>
              <w:rPr>
                <w:sz w:val="24"/>
              </w:rPr>
              <w:t>11)系统压力故障分析。</w:t>
            </w:r>
          </w:p>
        </w:tc>
      </w:tr>
      <w:tr>
        <w:tc>
          <w:tcPr>
            <w:tcW w:type="dxa" w:w="2076"/>
          </w:tcPr>
          <w:p/>
        </w:tc>
        <w:tc>
          <w:tcPr>
            <w:tcW w:type="dxa" w:w="415"/>
          </w:tcPr>
          <w:p>
            <w:r>
              <w:rPr/>
              <w:t>17</w:t>
            </w:r>
          </w:p>
        </w:tc>
        <w:tc>
          <w:tcPr>
            <w:tcW w:type="dxa" w:w="5814"/>
          </w:tcPr>
          <w:p>
            <w:pPr>
              <w:jc w:val="left"/>
            </w:pPr>
            <w:r>
              <w:rPr>
                <w:sz w:val="24"/>
              </w:rPr>
              <w:t>4.提供出版社出版符合十三五规划的教材，教材中应含有本设备实验操作介绍。</w:t>
            </w:r>
            <w:r>
              <w:rPr>
                <w:b/>
                <w:sz w:val="24"/>
              </w:rPr>
              <w:t>（投标时提供教材截图）</w:t>
            </w:r>
          </w:p>
        </w:tc>
      </w:tr>
      <w:tr>
        <w:tc>
          <w:tcPr>
            <w:tcW w:type="dxa" w:w="2076"/>
          </w:tcPr>
          <w:p/>
        </w:tc>
        <w:tc>
          <w:tcPr>
            <w:tcW w:type="dxa" w:w="415"/>
          </w:tcPr>
          <w:p>
            <w:r>
              <w:rPr/>
              <w:t>18</w:t>
            </w:r>
          </w:p>
        </w:tc>
        <w:tc>
          <w:tcPr>
            <w:tcW w:type="dxa" w:w="5814"/>
          </w:tcPr>
          <w:p>
            <w:pPr>
              <w:jc w:val="left"/>
            </w:pPr>
            <w:r>
              <w:rPr>
                <w:sz w:val="24"/>
              </w:rPr>
              <w:t>五、其它要求：</w:t>
            </w:r>
          </w:p>
          <w:p>
            <w:pPr>
              <w:jc w:val="both"/>
            </w:pPr>
            <w:r>
              <w:rPr>
                <w:sz w:val="24"/>
              </w:rPr>
              <w:t>投标人须承诺中标后为采购人提供与本项目相关的硬件和佐证材料（含招标文件要求的相关的激光打印刻录底板、液压系统计算软件、中英文双语教学及相关视频等）。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广东工业大学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采购机构代理服务收费标准：以各采购包的中标金额为计算基准，参照国家计委《招标代理服务收费管理暂行办法》（计价格〔2002〕1980号）文件中“货物类”规定的计算方法和计费标准下浮20%执行。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其他，1、有融资要求的中标供应商可根据自身情况，申请政府采购合同融资。详见政府采购合同融资相关政策：《广东省财政厅 广东省地方金融监督管理局 中国人民银行广州分行关于开展省级政府采购合同融资工作的通知》（粤财采购〔2020〕6号）。 2、本项目纸质版投标文件必须是通过智慧云平台投标客户端软件生成的加了系统水印的投标文件打印的纸质版，否则可能被视为无效纸质投标文件。纸质投标文件须在投标截止时间前递交至开标地点，逾期递交的，代理机构将不再接收，但不造成投标无效。如允许同一个供应商参加多个采购包的投标时，其纸质投标文件应按每个采购包分别独立编制、装订和封装。同一个采购包的纸质投标文件统一封装在一个封包，外包装封面标注：采购项目（采购包）编号、名称+供应商名称。 3、本项目采用远程电子开标，供应商应注意： （1）参与全流程云平台采购项目的供应商登录云平台通过“新开标大厅”进行签到及投标文件的解密。在投标截止时间前30分钟，供应商应当登录云平台开标大厅进行签到，不需要委派代表前往开标现场。若供应商有需要，在疫情防控政策允许的前提下，供应商亦可委派代表携带CA-key、存储有非加密投标文件的U盘及纸质投标文件前往开标现场进行签到、解密。递交投标资料的法定代表人或授权代表须凭“健康码”绿码到达开标现场递交投标资料，否则由此产生的后果由供应商自行承担。 （2）纸质投标文件邮寄地址为广东省广州市越秀区广仁路一号广仁大厦七楼，收件人及电话：陈小姐020-83172166-828。供应商如选择邮寄投标文件，请提前安排时间邮寄，务必保证投标文件于投标截止时间前到达上述地址（以签收时间为准），并及时将快递单号、项目名称、供应商名称等信息发送至采购代理机构邮箱：hualuneb@163.com，快递外包装封面标注：项目（采购包）编号、名称+供应商名称，以便工作人员及时查收。供应商须自行承担邮寄文件丢失、密封破坏、逾期送达、灭失等风险及造成的后果。 （3）请供应商按“远程开标”有关要求，在投标截止时间前上传加密的电子投标文件，未按要求上传的将视为自动放弃投标。 （4）在投标截止时间前，请各供应商核实并确认填写授权代表的姓名与手机号码，若因填写的授权代表信息有误而导致的不良后果，由供应商自行承担。 （5）开标时，供应商应当使用编制本项目（采购包）电子投标文件时加密所用数字证书开始解密，解密时限根据开标时现场代理机构人员设置为准，供应商不按要求进行解密，视为无效投标。 （6）各供应商在参加开标之前须自行对使用电脑的网络环境、驱动安装、客户端安装以及数字证书的有效性等进行检测，确保可以正常使用和运行。 （7）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广东华伦招标有限公司网站（http://www.gdhualun.com.cn/）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广东华伦招标有限公司网站（http://www.gdhualun.com.cn/）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广州市越秀区广仁路一号广仁大厦七楼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采购包1(智能制造实验室设备)：综合评分法,是指投标文件满足招标文件全部实质性要求，且按照评审因素的量化指标评审得分最高的投标人为中标候选人的评标方法。（最低报价不是中标的唯一依据。）</w:t>
      </w:r>
    </w:p>
    <w:p/>
    <w:p>
      <w:r>
        <w:rPr/>
        <w:t>采购包2(液压与气压传动实验室设备)：综合评分法,是指投标文件满足招标文件全部实质性要求，且按照评审因素的量化指标评审得分最高的投标人为中标候选人的评标方法。（最低报价不是中标的唯一依据。）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采购包1（智能制造实验室设备）：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采购包2（液压与气压传动实验室设备）：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报价产品属于《节能产品政府采购品目清单》或《环境标志产品政府采购品目清单》范围中政府优先采购产品类别的节能产品或环境标志产品，对获得节能产品认证证书或环境标志产品认证证书的产品给予1%的价格扣除。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采购包1（智能制造实验室设备）：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提供承诺函原件或填报设备和专业技术能力情况。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本项目预留采购份额无法确保充分供应、充分竞争，或者存在可能影响政府采购目标实现的情形，不属于专门面向中小企业采购的项目。</w:t>
            </w:r>
          </w:p>
        </w:tc>
      </w:tr>
    </w:tbl>
    <w:p/>
    <w:p>
      <w:r>
        <w:rPr/>
        <w:t>采购包2（液压与气压传动实验室设备）：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提供2021年度财务状况报告或基本开户行出具的资信证明，或最近一期财务报表（适用在上一年度或本财务年度成立的法人或其他组织），或人民银行出具的个人信用报告（适用于自然人）。</w:t>
            </w:r>
          </w:p>
        </w:tc>
      </w:tr>
      <w:tr>
        <w:tc>
          <w:tcPr>
            <w:tcW w:type="dxa" w:w="890"/>
          </w:tcPr>
          <w:p>
            <w:r>
              <w:rPr/>
              <w:t>4</w:t>
            </w:r>
          </w:p>
        </w:tc>
        <w:tc>
          <w:tcPr>
            <w:tcW w:type="dxa" w:w="3178"/>
          </w:tcPr>
          <w:p>
            <w:r>
              <w:rPr/>
              <w:t>履行合同所必需的设备和专业技术能力</w:t>
            </w:r>
          </w:p>
        </w:tc>
        <w:tc>
          <w:tcPr>
            <w:tcW w:type="dxa" w:w="4238"/>
          </w:tcPr>
          <w:p>
            <w:r>
              <w:rPr/>
              <w:t>提供承诺函原件或填报设备和专业技术能力情况。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记录名单”中的禁止参加政府采购活动期间。（以采购代理机构于投标（响应）截止时间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特定的资格要求</w:t>
            </w:r>
          </w:p>
        </w:tc>
        <w:tc>
          <w:tcPr>
            <w:tcW w:type="dxa" w:w="4238"/>
          </w:tcPr>
          <w:p>
            <w:r>
              <w:rPr/>
              <w:t>本采购包不接受联合体投标。</w:t>
            </w:r>
          </w:p>
        </w:tc>
      </w:tr>
      <w:tr>
        <w:tc>
          <w:tcPr>
            <w:tcW w:type="dxa" w:w="890"/>
          </w:tcPr>
          <w:p>
            <w:r>
              <w:rPr/>
              <w:t>9</w:t>
            </w:r>
          </w:p>
        </w:tc>
        <w:tc>
          <w:tcPr>
            <w:tcW w:type="dxa" w:w="3178"/>
          </w:tcPr>
          <w:p>
            <w:r>
              <w:rPr/>
              <w:t>落实政府采购政策需满足的资格要求</w:t>
            </w:r>
          </w:p>
        </w:tc>
        <w:tc>
          <w:tcPr>
            <w:tcW w:type="dxa" w:w="4238"/>
          </w:tcPr>
          <w:p>
            <w:r>
              <w:rPr/>
              <w:t>本项目预留采购份额无法确保充分供应、充分竞争，或者存在可能影响政府采购目标实现的情形，不属于专门面向中小企业采购的项目。</w:t>
            </w:r>
          </w:p>
        </w:tc>
      </w:tr>
    </w:tbl>
    <w:p/>
    <w:p>
      <w:pPr>
        <w:ind w:firstLine="480"/>
      </w:pPr>
      <w:r>
        <w:rPr/>
        <w:t>表二符合性审查表：</w:t>
      </w:r>
    </w:p>
    <w:p>
      <w:pPr>
        <w:ind w:firstLine="480"/>
      </w:pPr>
    </w:p>
    <w:p/>
    <w:p>
      <w:r>
        <w:rPr/>
        <w:t>采购包1（智能制造实验室设备）：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 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t>采购包2（液压与气压传动实验室设备）：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 托书（如适用）</w:t>
            </w:r>
          </w:p>
        </w:tc>
        <w:tc>
          <w:tcPr>
            <w:tcW w:type="dxa" w:w="4238"/>
          </w:tcPr>
          <w:p>
            <w:r>
              <w:rPr/>
              <w:t>已经盖章、签署，有效期涵盖投标有效期。</w:t>
            </w:r>
          </w:p>
        </w:tc>
      </w:tr>
      <w:tr>
        <w:tc>
          <w:tcPr>
            <w:tcW w:type="dxa" w:w="890"/>
          </w:tcPr>
          <w:p>
            <w:r>
              <w:rPr/>
              <w:t>3</w:t>
            </w:r>
          </w:p>
        </w:tc>
        <w:tc>
          <w:tcPr>
            <w:tcW w:type="dxa" w:w="3178"/>
          </w:tcPr>
          <w:p>
            <w:r>
              <w:rPr/>
              <w:t>投标文件内容、签字、盖章</w:t>
            </w:r>
          </w:p>
        </w:tc>
        <w:tc>
          <w:tcPr>
            <w:tcW w:type="dxa" w:w="4238"/>
          </w:tcPr>
          <w:p>
            <w:r>
              <w:rPr/>
              <w:t>投标文件内容完整，无重大错漏，并已按招标文件要求签字、盖章。</w:t>
            </w:r>
          </w:p>
        </w:tc>
      </w:tr>
      <w:tr>
        <w:tc>
          <w:tcPr>
            <w:tcW w:type="dxa" w:w="890"/>
          </w:tcPr>
          <w:p>
            <w:r>
              <w:rPr/>
              <w:t>4</w:t>
            </w:r>
          </w:p>
        </w:tc>
        <w:tc>
          <w:tcPr>
            <w:tcW w:type="dxa" w:w="3178"/>
          </w:tcPr>
          <w:p>
            <w:r>
              <w:rPr/>
              <w:t>“★”号条款</w:t>
            </w:r>
          </w:p>
        </w:tc>
        <w:tc>
          <w:tcPr>
            <w:tcW w:type="dxa" w:w="4238"/>
          </w:tcPr>
          <w:p>
            <w:r>
              <w:rPr/>
              <w:t>“★”号条款满足招标文件要求。</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投标报价</w:t>
            </w:r>
          </w:p>
        </w:tc>
        <w:tc>
          <w:tcPr>
            <w:tcW w:type="dxa" w:w="4238"/>
          </w:tcPr>
          <w:p>
            <w:r>
              <w:rPr/>
              <w:t>投标报价（含单项报价，如有要求）未超过招标文件中规定相应的预算金额或者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8</w:t>
            </w:r>
          </w:p>
        </w:tc>
        <w:tc>
          <w:tcPr>
            <w:tcW w:type="dxa" w:w="3178"/>
          </w:tcPr>
          <w:p>
            <w:r>
              <w:rPr/>
              <w:t>附加条件</w:t>
            </w:r>
          </w:p>
        </w:tc>
        <w:tc>
          <w:tcPr>
            <w:tcW w:type="dxa" w:w="4238"/>
          </w:tcPr>
          <w:p>
            <w:r>
              <w:rPr/>
              <w:t>投标文件未含有采购人不能接受的附加条件。</w:t>
            </w:r>
          </w:p>
        </w:tc>
      </w:tr>
      <w:tr>
        <w:tc>
          <w:tcPr>
            <w:tcW w:type="dxa" w:w="890"/>
          </w:tcPr>
          <w:p>
            <w:r>
              <w:rPr/>
              <w:t>9</w:t>
            </w:r>
          </w:p>
        </w:tc>
        <w:tc>
          <w:tcPr>
            <w:tcW w:type="dxa" w:w="3178"/>
          </w:tcPr>
          <w:p>
            <w:r>
              <w:rPr/>
              <w:t>串通投标</w:t>
            </w:r>
          </w:p>
        </w:tc>
        <w:tc>
          <w:tcPr>
            <w:tcW w:type="dxa" w:w="4238"/>
          </w:tcPr>
          <w:p>
            <w:r>
              <w:rPr/>
              <w:t>未出现招标文件所列的视为串通投标的情形。</w:t>
            </w:r>
          </w:p>
        </w:tc>
      </w:tr>
      <w:tr>
        <w:tc>
          <w:tcPr>
            <w:tcW w:type="dxa" w:w="890"/>
          </w:tcPr>
          <w:p>
            <w:r>
              <w:rPr/>
              <w:t>10</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采购包1智能制造实验室设备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技术指标响应性（不含演示的内容） (42.0分)</w:t>
            </w:r>
          </w:p>
        </w:tc>
        <w:tc>
          <w:tcPr>
            <w:tcW w:type="dxa" w:w="5076"/>
          </w:tcPr>
          <w:p>
            <w:pPr>
              <w:jc w:val="left"/>
            </w:pPr>
            <w:r>
              <w:rPr/>
              <w:t>根据投标人对招标文件采购需求“技术标准和要求”中技术参数的响应程度进行评审： 其中： 1、重要技术参数（带“▲”技术参数）（共20个）的响应程度：优于或完全满足采购需求的，得30分，每出现一项不满足或负偏离，扣1.5分，最低分为0分。  2、一般技术参数（除带“★”、“▲”技术参数）的响应程度（注：凡是标有序号的一般技术参数条款均以一项单独的条款计算，无论是否隶属于上一级编号）：优于或完全满足采购需求的，得12分；负偏离或不响应总数≤12项的，每有一项负偏离或不响应的扣1分；负偏离或不响应总数＞12项的，得0分。 注：采购需求要求提供证明资料的，必须按要求提供相关的证明资料，否则按负偏离处理。</w:t>
            </w:r>
          </w:p>
        </w:tc>
      </w:tr>
      <w:tr>
        <w:tc>
          <w:tcPr>
            <w:tcW w:type="dxa" w:w="922"/>
            <w:gridSpan w:val="2"/>
            <w:vMerge/>
          </w:tcPr>
          <w:p/>
        </w:tc>
        <w:tc>
          <w:tcPr>
            <w:tcW w:type="dxa" w:w="2307"/>
          </w:tcPr>
          <w:p>
            <w:pPr>
              <w:jc w:val="left"/>
            </w:pPr>
            <w:r>
              <w:rPr/>
              <w:t>Mini模块化智能机器人系统功能演示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1、为确保所投Mini模块化智能机器人系统的功能性，投标现场需按以下要求进行演示：提供样本构型的搭键与控制，包括①5自由度操作臂、②四足机器人、③双足机器人、④四轮移动操作机器人（麦克拉姆轮）、⑤仿生蛇形机器人等演示。每成功演示一项得1分，满分5分； 2、提供机器人与智能传感结合的应用实验视频：①提供机器人自主导航实验的视频，展示RIVZ仿真与实际运行；②提供机器人与视觉摄像头配合动态抓取实验的视频；③提供机器人与手势识别传感器结合实验的视频， 每成功演示一项得1分，满分3分。 注：演示时间不超过15分钟，不含专家评委提问时间。投标人限1-2名人员自带演示设备进入评审现场，采购代理机构可提供台式计算机、投影仪设备。演示顺序以签到顺序为准。</w:t>
            </w:r>
          </w:p>
        </w:tc>
      </w:tr>
      <w:tr>
        <w:tc>
          <w:tcPr>
            <w:tcW w:type="dxa" w:w="922"/>
            <w:gridSpan w:val="2"/>
            <w:vMerge/>
          </w:tcPr>
          <w:p/>
        </w:tc>
        <w:tc>
          <w:tcPr>
            <w:tcW w:type="dxa" w:w="2307"/>
          </w:tcPr>
          <w:p>
            <w:pPr>
              <w:jc w:val="left"/>
            </w:pPr>
            <w:r>
              <w:rPr/>
              <w:t>多媒体教学管理系统功能演示 (5.0分)</w:t>
            </w:r>
            <w:r>
              <w:rPr/>
              <w:t>，（等次分值选择：</w:t>
            </w:r>
            <w:r>
              <w:rPr/>
              <w:t>0.0;</w:t>
            </w:r>
            <w:r>
              <w:rPr/>
              <w:t>1.0;</w:t>
            </w:r>
            <w:r>
              <w:rPr/>
              <w:t>2.0;</w:t>
            </w:r>
            <w:r>
              <w:rPr/>
              <w:t>3.0;</w:t>
            </w:r>
            <w:r>
              <w:rPr/>
              <w:t>4.0;</w:t>
            </w:r>
            <w:r>
              <w:rPr/>
              <w:t>5.0;</w:t>
            </w:r>
            <w:r>
              <w:rPr/>
              <w:t>）</w:t>
            </w:r>
          </w:p>
        </w:tc>
        <w:tc>
          <w:tcPr>
            <w:tcW w:type="dxa" w:w="5076"/>
          </w:tcPr>
          <w:p>
            <w:pPr>
              <w:jc w:val="left"/>
            </w:pPr>
            <w:r>
              <w:rPr/>
              <w:t>为确保所投多媒体教学管理系统的功能性，投标现场需按以下要求进行演示视频： 1、通过控制台，统一保持终端当前OS状态功能现场演示； 2、服务端必须直接安装在Windows Server系统，现场提供演示视频； 3、提供操作系统快照合并功能现场演示，支持不少于十个系统快照； 4、控制台添加占位机功能现场演示，便于给故障的终端预留IP地址。 5、组内单个终端个性引用系统镜像技术：一个机房中任意一台终端可单独引用不同的操作系统镜像，进行个性化设置，从而满足个别学生的特殊需求。 以上内容需逐条演示，如果不参与演示的不得分。每演示一项且满足演示要求得1分,无演示或演示不满足要求的项不得分,最高可得5分。 注：演示时间不超过15分钟，不含专家评委提问时间。投标人限1-2名人员自带演示设备进入评审现场，采购代理机构可提供台式计算机、投影仪设备。演示顺序以签到顺序为准。</w:t>
            </w:r>
          </w:p>
        </w:tc>
      </w:tr>
      <w:tr>
        <w:tc>
          <w:tcPr>
            <w:tcW w:type="dxa" w:w="922"/>
            <w:gridSpan w:val="2"/>
            <w:vMerge w:val="restart"/>
          </w:tcPr>
          <w:p>
            <w:pPr>
              <w:jc w:val="center"/>
            </w:pPr>
            <w:r>
              <w:rPr/>
              <w:t>商务部分</w:t>
            </w:r>
          </w:p>
        </w:tc>
        <w:tc>
          <w:tcPr>
            <w:tcW w:type="dxa" w:w="2307"/>
          </w:tcPr>
          <w:p>
            <w:pPr>
              <w:jc w:val="left"/>
            </w:pPr>
            <w:r>
              <w:rPr/>
              <w:t>商务响应程度 (5.0分)</w:t>
            </w:r>
            <w:r>
              <w:rPr/>
              <w:t>，（等次分值选择：</w:t>
            </w:r>
            <w:r>
              <w:rPr/>
              <w:t>0.0;</w:t>
            </w:r>
            <w:r>
              <w:rPr/>
              <w:t>1.0;</w:t>
            </w:r>
            <w:r>
              <w:rPr/>
              <w:t>2.0;</w:t>
            </w:r>
            <w:r>
              <w:rPr/>
              <w:t>3.0;</w:t>
            </w:r>
            <w:r>
              <w:rPr/>
              <w:t>4.0;</w:t>
            </w:r>
            <w:r>
              <w:rPr/>
              <w:t>5.0;</w:t>
            </w:r>
            <w:r>
              <w:rPr/>
              <w:t>）</w:t>
            </w:r>
          </w:p>
        </w:tc>
        <w:tc>
          <w:tcPr>
            <w:tcW w:type="dxa" w:w="5076"/>
          </w:tcPr>
          <w:p>
            <w:pPr>
              <w:jc w:val="left"/>
            </w:pPr>
            <w:r>
              <w:rPr/>
              <w:t>根据投标人对招标文件采购需求“主要商务要求”（除带“★”条款、标的提供的时间、标的提供的地点、投标有效期等实质性条款外）的响应程度进行评审：完全满足或完全满足并有优于的得5分，负偏离或不响应总数≤5项的，每有一项负偏离或不响应的扣1分；负偏离或不响应总数＞5项的，得0分。</w:t>
            </w:r>
          </w:p>
        </w:tc>
      </w:tr>
      <w:tr>
        <w:tc>
          <w:tcPr>
            <w:tcW w:type="dxa" w:w="922"/>
            <w:gridSpan w:val="2"/>
            <w:vMerge/>
          </w:tcPr>
          <w:p/>
        </w:tc>
        <w:tc>
          <w:tcPr>
            <w:tcW w:type="dxa" w:w="2307"/>
          </w:tcPr>
          <w:p>
            <w:pPr>
              <w:jc w:val="left"/>
            </w:pPr>
            <w:r>
              <w:rPr/>
              <w:t>同类业绩 (2.0分)</w:t>
            </w:r>
            <w:r>
              <w:rPr/>
              <w:t>，（等次分值选择：</w:t>
            </w:r>
            <w:r>
              <w:rPr/>
              <w:t>0.0;</w:t>
            </w:r>
            <w:r>
              <w:rPr/>
              <w:t>1.0;</w:t>
            </w:r>
            <w:r>
              <w:rPr/>
              <w:t>2.0;</w:t>
            </w:r>
            <w:r>
              <w:rPr/>
              <w:t>）</w:t>
            </w:r>
          </w:p>
        </w:tc>
        <w:tc>
          <w:tcPr>
            <w:tcW w:type="dxa" w:w="5076"/>
          </w:tcPr>
          <w:p>
            <w:pPr>
              <w:jc w:val="left"/>
            </w:pPr>
            <w:r>
              <w:rPr/>
              <w:t>投标人自2019年1月1日至今（以合同验收时间为准）完成的类似（指含有本次采购设备的同类产品或设备）项目业绩，每提供1个得1分，最高得2分。不提供，不得分。 注：须同时提供合同关键页（包括但不限于封面、项目内容（含供货清单）、合同双方的盖章签署页等）及验收报告复印件并加盖投标人公章，否则不得分。</w:t>
            </w:r>
          </w:p>
        </w:tc>
      </w:tr>
      <w:tr>
        <w:tc>
          <w:tcPr>
            <w:tcW w:type="dxa" w:w="922"/>
            <w:gridSpan w:val="2"/>
            <w:vMerge/>
          </w:tcPr>
          <w:p/>
        </w:tc>
        <w:tc>
          <w:tcPr>
            <w:tcW w:type="dxa" w:w="2307"/>
          </w:tcPr>
          <w:p>
            <w:pPr>
              <w:jc w:val="left"/>
            </w:pPr>
            <w:r>
              <w:rPr/>
              <w:t>售后服务方案 (8.0分)</w:t>
            </w:r>
            <w:r>
              <w:rPr/>
              <w:t>，（等次分值选择：</w:t>
            </w:r>
            <w:r>
              <w:rPr/>
              <w:t>0.0;</w:t>
            </w:r>
            <w:r>
              <w:rPr/>
              <w:t>4.0;</w:t>
            </w:r>
            <w:r>
              <w:rPr/>
              <w:t>6.0;</w:t>
            </w:r>
            <w:r>
              <w:rPr/>
              <w:t>8.0;</w:t>
            </w:r>
            <w:r>
              <w:rPr/>
              <w:t>）</w:t>
            </w:r>
          </w:p>
        </w:tc>
        <w:tc>
          <w:tcPr>
            <w:tcW w:type="dxa" w:w="5076"/>
          </w:tcPr>
          <w:p>
            <w:pPr>
              <w:jc w:val="left"/>
            </w:pPr>
            <w:r>
              <w:rPr/>
              <w:t>1、售后服务方案阐述完整，有具体的质量保证措施，有高素质的专业性的售后技术服务队伍，承诺的事故处理响应时间不超过2小时，得8分； 2、售后服务方案阐述简要，有基本具体的质量保证措施，有售后技术服务队伍，承诺的事故处理响应时间不超过4小时，得6分； 3、售后服务方案阐述简要，有售后技术服务队伍，承诺的事故处理响应时间不超过6小时，得4分； 4、售后服务方案阐述简单，承诺的事故处理响应时间超过6小时，或其他情况得0分。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采购包2液压与气压传动实验室设备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对招标文件的技术参数的响应程度 (20.0分)</w:t>
            </w:r>
          </w:p>
        </w:tc>
        <w:tc>
          <w:tcPr>
            <w:tcW w:type="dxa" w:w="5076"/>
          </w:tcPr>
          <w:p>
            <w:pPr>
              <w:jc w:val="left"/>
            </w:pPr>
            <w:r>
              <w:rPr/>
              <w:t>根据投标人对招标文件采购需求“技术标准和要求”中技术参数的响应程度进行评审，完全满足或完全满足并有优于的得20分： 1、重要技术参数（带“▲”技术参数）（共3个）的响应程度：优于或完全满足采购需求的，得12分，每出现一项不满足或负偏离，扣4分，最低分为0分。  2、一般技术参数（除带“★”、“▲”技术参数）的响应程度（注：凡是标有序号的一般技术参数条款均以一项单独的条款计算，无论是否隶属于上一级编号）：优于或完全满足采购需求的，得8分；负偏离或不响应总数≤4项的，每有一项负偏离或不响应的扣2分；负偏离或不响应总数＞4项的，得0分。  注：采购需求要求提供证明资料的，必须按要求提供相关的证明资料，否则按负偏离处理。</w:t>
            </w:r>
          </w:p>
        </w:tc>
      </w:tr>
      <w:tr>
        <w:tc>
          <w:tcPr>
            <w:tcW w:type="dxa" w:w="922"/>
            <w:gridSpan w:val="2"/>
            <w:vMerge/>
          </w:tcPr>
          <w:p/>
        </w:tc>
        <w:tc>
          <w:tcPr>
            <w:tcW w:type="dxa" w:w="2307"/>
          </w:tcPr>
          <w:p>
            <w:pPr>
              <w:jc w:val="left"/>
            </w:pPr>
            <w:r>
              <w:rPr/>
              <w:t>供货实施方案及质量保障措施 (15.0分)</w:t>
            </w:r>
            <w:r>
              <w:rPr/>
              <w:t>，（等次分值选择：</w:t>
            </w:r>
            <w:r>
              <w:rPr/>
              <w:t>0.0;</w:t>
            </w:r>
            <w:r>
              <w:rPr/>
              <w:t>5.0;</w:t>
            </w:r>
            <w:r>
              <w:rPr/>
              <w:t>10.0;</w:t>
            </w:r>
            <w:r>
              <w:rPr/>
              <w:t>15.0;</w:t>
            </w:r>
            <w:r>
              <w:rPr/>
              <w:t>）</w:t>
            </w:r>
          </w:p>
        </w:tc>
        <w:tc>
          <w:tcPr>
            <w:tcW w:type="dxa" w:w="5076"/>
          </w:tcPr>
          <w:p>
            <w:pPr>
              <w:jc w:val="left"/>
            </w:pPr>
            <w:r>
              <w:rPr/>
              <w:t>根据投标人提供的供货实施方案及质量保证措施（包括但不限于产品质量保障方案、运输过程质量保证措施、质量保障承诺等）进行评审： 1、有提供供货实施方案及质量保证措施，内容完整、详细、科学合理，得15分； 2、有提供供货实施方案及质量保证措施，但内容有缺漏，得10分； 3、有提供供货实施方案及质量保证措施，但内容不科学或不合理，得5分； 4、其他情况或无相关内容不得分。</w:t>
            </w:r>
          </w:p>
        </w:tc>
      </w:tr>
      <w:tr>
        <w:tc>
          <w:tcPr>
            <w:tcW w:type="dxa" w:w="922"/>
            <w:gridSpan w:val="2"/>
            <w:vMerge/>
          </w:tcPr>
          <w:p/>
        </w:tc>
        <w:tc>
          <w:tcPr>
            <w:tcW w:type="dxa" w:w="2307"/>
          </w:tcPr>
          <w:p>
            <w:pPr>
              <w:jc w:val="left"/>
            </w:pPr>
            <w:r>
              <w:rPr/>
              <w:t>培训方案 (7.0分)</w:t>
            </w:r>
            <w:r>
              <w:rPr/>
              <w:t>，（等次分值选择：</w:t>
            </w:r>
            <w:r>
              <w:rPr/>
              <w:t>0.0;</w:t>
            </w:r>
            <w:r>
              <w:rPr/>
              <w:t>2.0;</w:t>
            </w:r>
            <w:r>
              <w:rPr/>
              <w:t>5.0;</w:t>
            </w:r>
            <w:r>
              <w:rPr/>
              <w:t>7.0;</w:t>
            </w:r>
            <w:r>
              <w:rPr/>
              <w:t>）</w:t>
            </w:r>
          </w:p>
        </w:tc>
        <w:tc>
          <w:tcPr>
            <w:tcW w:type="dxa" w:w="5076"/>
          </w:tcPr>
          <w:p>
            <w:pPr>
              <w:jc w:val="left"/>
            </w:pPr>
            <w:r>
              <w:rPr/>
              <w:t>根据投标人提供的培训计划与培训内容是否详细具体、培训课程设置是否合理充分、具有针对性进行评审： 1、有提供培训方案，培训计划与培训内容详细具体，培训课程设置合理充分、针对性强，得7分； 2、有提供培训方案，培训计划与培训内容基本详细具体，培训课程设置有一定的合理充分性和针对性，基本符合采购要求，得5分； 3、有提供培训方案，培训计划与培训内容不详细具体，培训课程设置不合理、不充分、缺乏针对性，得2分； 4、其他情况或无相关内容不得分。</w:t>
            </w:r>
          </w:p>
        </w:tc>
      </w:tr>
      <w:tr>
        <w:tc>
          <w:tcPr>
            <w:tcW w:type="dxa" w:w="922"/>
            <w:gridSpan w:val="2"/>
            <w:vMerge/>
          </w:tcPr>
          <w:p/>
        </w:tc>
        <w:tc>
          <w:tcPr>
            <w:tcW w:type="dxa" w:w="2307"/>
          </w:tcPr>
          <w:p>
            <w:pPr>
              <w:jc w:val="left"/>
            </w:pPr>
            <w:r>
              <w:rPr/>
              <w:t>安装调试、验收方案 (8.0分)</w:t>
            </w:r>
            <w:r>
              <w:rPr/>
              <w:t>，（等次分值选择：</w:t>
            </w:r>
            <w:r>
              <w:rPr/>
              <w:t>0.0;</w:t>
            </w:r>
            <w:r>
              <w:rPr/>
              <w:t>2.0;</w:t>
            </w:r>
            <w:r>
              <w:rPr/>
              <w:t>5.0;</w:t>
            </w:r>
            <w:r>
              <w:rPr/>
              <w:t>8.0;</w:t>
            </w:r>
            <w:r>
              <w:rPr/>
              <w:t>）</w:t>
            </w:r>
          </w:p>
        </w:tc>
        <w:tc>
          <w:tcPr>
            <w:tcW w:type="dxa" w:w="5076"/>
          </w:tcPr>
          <w:p>
            <w:pPr>
              <w:jc w:val="left"/>
            </w:pPr>
            <w:r>
              <w:rPr/>
              <w:t>根据投标人提供的安装调试、验收方案（包括安装调试人员安排、安装调试计划流程、验收标准、验收保障等）进行评审： 1、有提供安装调试、验收方案，内容详细全面并切实可行，流程合理，完全符合采购人安装调试、验收要求，得8分； 2、有提供安装调试、验收方案，但方案简单、有一定的可行性，流程基本合理，基本符合采购人安装调试、验收要求，得5分； 3、有提供安装调试、验收方案，但方案粗略、可行性差，或流程不清晰或不合理，得2分； 4、其他情况或无相关内容不得分。</w:t>
            </w:r>
          </w:p>
        </w:tc>
      </w:tr>
      <w:tr>
        <w:tc>
          <w:tcPr>
            <w:tcW w:type="dxa" w:w="922"/>
            <w:gridSpan w:val="2"/>
            <w:vMerge w:val="restart"/>
          </w:tcPr>
          <w:p>
            <w:pPr>
              <w:jc w:val="center"/>
            </w:pPr>
            <w:r>
              <w:rPr/>
              <w:t>商务部分</w:t>
            </w:r>
          </w:p>
        </w:tc>
        <w:tc>
          <w:tcPr>
            <w:tcW w:type="dxa" w:w="2307"/>
          </w:tcPr>
          <w:p>
            <w:pPr>
              <w:jc w:val="left"/>
            </w:pPr>
            <w:r>
              <w:rPr/>
              <w:t>类似项目业绩 (8.0分)</w:t>
            </w:r>
            <w:r>
              <w:rPr/>
              <w:t>，（等次分值选择：</w:t>
            </w:r>
            <w:r>
              <w:rPr/>
              <w:t>0.0;</w:t>
            </w:r>
            <w:r>
              <w:rPr/>
              <w:t>2.0;</w:t>
            </w:r>
            <w:r>
              <w:rPr/>
              <w:t>4.0;</w:t>
            </w:r>
            <w:r>
              <w:rPr/>
              <w:t>6.0;</w:t>
            </w:r>
            <w:r>
              <w:rPr/>
              <w:t>8.0;</w:t>
            </w:r>
            <w:r>
              <w:rPr/>
              <w:t>）</w:t>
            </w:r>
          </w:p>
        </w:tc>
        <w:tc>
          <w:tcPr>
            <w:tcW w:type="dxa" w:w="5076"/>
          </w:tcPr>
          <w:p>
            <w:pPr>
              <w:jc w:val="left"/>
            </w:pPr>
            <w:r>
              <w:rPr/>
              <w:t>投标人自2019年1月1日至今（以合同验收时间为准）完成的类似（指含有本次采购设备的同类产品或设备）项目业绩，每提供1个得2分，最高得8分。不提供，不得分。 注：须同时提供合同关键页（包括但不限于封面、项目内容（含供货清单）、合同双方的盖章签署页等）及验收报告复印件并加盖投标人公章，否则不得分。</w:t>
            </w:r>
          </w:p>
        </w:tc>
      </w:tr>
      <w:tr>
        <w:tc>
          <w:tcPr>
            <w:tcW w:type="dxa" w:w="922"/>
            <w:gridSpan w:val="2"/>
            <w:vMerge/>
          </w:tcPr>
          <w:p/>
        </w:tc>
        <w:tc>
          <w:tcPr>
            <w:tcW w:type="dxa" w:w="2307"/>
          </w:tcPr>
          <w:p>
            <w:pPr>
              <w:jc w:val="left"/>
            </w:pPr>
            <w:r>
              <w:rPr/>
              <w:t>用户评价 (4.0分)</w:t>
            </w:r>
            <w:r>
              <w:rPr/>
              <w:t>，（等次分值选择：</w:t>
            </w:r>
            <w:r>
              <w:rPr/>
              <w:t>0.0;</w:t>
            </w:r>
            <w:r>
              <w:rPr/>
              <w:t>1.0;</w:t>
            </w:r>
            <w:r>
              <w:rPr/>
              <w:t>2.0;</w:t>
            </w:r>
            <w:r>
              <w:rPr/>
              <w:t>3.0;</w:t>
            </w:r>
            <w:r>
              <w:rPr/>
              <w:t>4.0;</w:t>
            </w:r>
            <w:r>
              <w:rPr/>
              <w:t>）</w:t>
            </w:r>
          </w:p>
        </w:tc>
        <w:tc>
          <w:tcPr>
            <w:tcW w:type="dxa" w:w="5076"/>
          </w:tcPr>
          <w:p>
            <w:pPr>
              <w:jc w:val="left"/>
            </w:pPr>
            <w:r>
              <w:rPr/>
              <w:t>提供上述类似项目业绩对应类同于“好”或“满意”或“优秀”或85分（含）以上或相当于优的业主（或用户）单位的满意度评价或表扬信，每提供一份得1分，最高得4分。  注：提供满意度评价或表扬信证明材料的复印件并加盖投标人公章，不提供不得分。同一用户单位出具多个用户评价的不重复计分。</w:t>
            </w:r>
          </w:p>
        </w:tc>
      </w:tr>
      <w:tr>
        <w:tc>
          <w:tcPr>
            <w:tcW w:type="dxa" w:w="922"/>
            <w:gridSpan w:val="2"/>
            <w:vMerge/>
          </w:tcPr>
          <w:p/>
        </w:tc>
        <w:tc>
          <w:tcPr>
            <w:tcW w:type="dxa" w:w="2307"/>
          </w:tcPr>
          <w:p>
            <w:pPr>
              <w:jc w:val="left"/>
            </w:pPr>
            <w:r>
              <w:rPr/>
              <w:t>企业实力 (3.0分)</w:t>
            </w:r>
            <w:r>
              <w:rPr/>
              <w:t>，（等次分值选择：</w:t>
            </w:r>
            <w:r>
              <w:rPr/>
              <w:t>0.0;</w:t>
            </w:r>
            <w:r>
              <w:rPr/>
              <w:t>1.0;</w:t>
            </w:r>
            <w:r>
              <w:rPr/>
              <w:t>2.0;</w:t>
            </w:r>
            <w:r>
              <w:rPr/>
              <w:t>3.0;</w:t>
            </w:r>
            <w:r>
              <w:rPr/>
              <w:t>）</w:t>
            </w:r>
          </w:p>
        </w:tc>
        <w:tc>
          <w:tcPr>
            <w:tcW w:type="dxa" w:w="5076"/>
          </w:tcPr>
          <w:p>
            <w:pPr>
              <w:jc w:val="left"/>
            </w:pPr>
            <w:r>
              <w:rPr/>
              <w:t>投标人具有有效的以下证书的：质量管理体系认证、环境管理体系认证、职业健康安全管理体系认证证书，每提供一类证书得1分，满分为3分。 注：须提供上述认证证书复印件，并同时提供全国认证认可信息公共服务平台上的查询截图，不提供或提供资料不齐全的，不得分。</w:t>
            </w:r>
          </w:p>
        </w:tc>
      </w:tr>
      <w:tr>
        <w:tc>
          <w:tcPr>
            <w:tcW w:type="dxa" w:w="922"/>
            <w:gridSpan w:val="2"/>
            <w:vMerge/>
          </w:tcPr>
          <w:p/>
        </w:tc>
        <w:tc>
          <w:tcPr>
            <w:tcW w:type="dxa" w:w="2307"/>
          </w:tcPr>
          <w:p>
            <w:pPr>
              <w:jc w:val="left"/>
            </w:pPr>
            <w:r>
              <w:rPr/>
              <w:t>售后服务 (5.0分)</w:t>
            </w:r>
            <w:r>
              <w:rPr/>
              <w:t>，（等次分值选择：</w:t>
            </w:r>
            <w:r>
              <w:rPr/>
              <w:t>0.0;</w:t>
            </w:r>
            <w:r>
              <w:rPr/>
              <w:t>1.0;</w:t>
            </w:r>
            <w:r>
              <w:rPr/>
              <w:t>3.0;</w:t>
            </w:r>
            <w:r>
              <w:rPr/>
              <w:t>5.0;</w:t>
            </w:r>
            <w:r>
              <w:rPr/>
              <w:t>）</w:t>
            </w:r>
          </w:p>
        </w:tc>
        <w:tc>
          <w:tcPr>
            <w:tcW w:type="dxa" w:w="5076"/>
          </w:tcPr>
          <w:p>
            <w:pPr>
              <w:jc w:val="left"/>
            </w:pPr>
            <w:r>
              <w:rPr/>
              <w:t>根据投标人提供的售后服务方案（包括但不限于售后服务承诺和技术力量、备品备件价格、维护保养及应急维修时间安排等）进行评审： 1、有提供售后服务方案，方案内容完整、详细、科学合理，得5分； 2、有提供售后服务方案，但方案内容有缺漏，得3分； 3、有提供售后服务方案，但方案内容不科学或不合理，得1分； 4、其他情况或无相关内容不得分。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4"/>
        </w:rPr>
        <w:t>教学科研设备采购合同（国内货物）</w:t>
      </w:r>
    </w:p>
    <w:p>
      <w:pPr>
        <w:jc w:val="center"/>
      </w:pPr>
      <w:r>
        <w:rPr>
          <w:b/>
          <w:sz w:val="21"/>
        </w:rPr>
        <w:t>[</w:t>
      </w:r>
      <w:r>
        <w:rPr>
          <w:b/>
          <w:sz w:val="21"/>
        </w:rPr>
        <w:t>合同类型：□政府采购；□学校集中采购；</w:t>
      </w:r>
      <w:r>
        <w:rPr>
          <w:b/>
          <w:sz w:val="21"/>
        </w:rPr>
        <w:t>£</w:t>
      </w:r>
      <w:r>
        <w:rPr>
          <w:b/>
          <w:sz w:val="21"/>
        </w:rPr>
        <w:t>用户部门零散采购；</w:t>
      </w:r>
      <w:r>
        <w:rPr>
          <w:b/>
          <w:sz w:val="21"/>
        </w:rPr>
        <w:t>□科研绿色；□教育部门协议</w:t>
      </w:r>
      <w:r>
        <w:rPr>
          <w:b/>
          <w:sz w:val="21"/>
        </w:rPr>
        <w:t>]</w:t>
      </w:r>
    </w:p>
    <w:p>
      <w:pPr>
        <w:jc w:val="both"/>
      </w:pPr>
      <w:r>
        <w:rPr>
          <w:sz w:val="24"/>
        </w:rPr>
        <w:t>甲方（业主）：广东工业大学</w:t>
      </w:r>
      <w:r>
        <w:rPr>
          <w:sz w:val="21"/>
        </w:rPr>
        <w:t xml:space="preserve">                              </w:t>
      </w:r>
    </w:p>
    <w:p>
      <w:pPr>
        <w:jc w:val="both"/>
      </w:pPr>
      <w:r>
        <w:rPr>
          <w:sz w:val="24"/>
        </w:rPr>
        <w:t>乙方（中标人）：</w:t>
      </w:r>
      <w:r>
        <w:rPr>
          <w:sz w:val="21"/>
          <w:u w:val="single"/>
        </w:rPr>
        <w:t xml:space="preserve">               </w:t>
      </w:r>
      <w:r>
        <w:rPr>
          <w:sz w:val="24"/>
        </w:rPr>
        <w:t>公司</w:t>
      </w:r>
      <w:r>
        <w:rPr>
          <w:sz w:val="24"/>
        </w:rPr>
        <w:t xml:space="preserve">                      </w:t>
      </w:r>
    </w:p>
    <w:p>
      <w:pPr>
        <w:jc w:val="both"/>
      </w:pPr>
      <w:r>
        <w:rPr>
          <w:sz w:val="24"/>
        </w:rPr>
        <w:t>签订地点：广州市</w:t>
      </w:r>
    </w:p>
    <w:p>
      <w:pPr>
        <w:ind w:firstLine="420"/>
        <w:jc w:val="both"/>
      </w:pPr>
      <w:r>
        <w:rPr>
          <w:sz w:val="21"/>
        </w:rPr>
        <w:t>根据</w:t>
      </w:r>
      <w:r>
        <w:rPr>
          <w:sz w:val="21"/>
          <w:u w:val="single"/>
        </w:rPr>
        <w:t>***</w:t>
      </w:r>
      <w:r>
        <w:rPr>
          <w:sz w:val="21"/>
          <w:u w:val="single"/>
        </w:rPr>
        <w:t>招标</w:t>
      </w:r>
      <w:r>
        <w:rPr>
          <w:sz w:val="21"/>
          <w:u w:val="single"/>
        </w:rPr>
        <w:t>/</w:t>
      </w:r>
      <w:r>
        <w:rPr>
          <w:sz w:val="21"/>
          <w:u w:val="single"/>
        </w:rPr>
        <w:t>采购机构的</w:t>
      </w:r>
      <w:r>
        <w:rPr>
          <w:sz w:val="21"/>
          <w:u w:val="single"/>
        </w:rPr>
        <w:t>*****</w:t>
      </w:r>
      <w:r>
        <w:rPr>
          <w:sz w:val="21"/>
          <w:u w:val="single"/>
        </w:rPr>
        <w:t>项目的</w:t>
      </w:r>
      <w:r>
        <w:rPr>
          <w:sz w:val="21"/>
        </w:rPr>
        <w:t>招标</w:t>
      </w:r>
      <w:r>
        <w:rPr>
          <w:sz w:val="21"/>
        </w:rPr>
        <w:t>/</w:t>
      </w:r>
      <w:r>
        <w:rPr>
          <w:sz w:val="21"/>
        </w:rPr>
        <w:t>采购文件</w:t>
      </w:r>
      <w:r>
        <w:rPr>
          <w:sz w:val="21"/>
        </w:rPr>
        <w:t>[</w:t>
      </w:r>
      <w:r>
        <w:rPr>
          <w:sz w:val="21"/>
        </w:rPr>
        <w:t>编号</w:t>
      </w:r>
      <w:r>
        <w:rPr>
          <w:sz w:val="21"/>
          <w:u w:val="single"/>
        </w:rPr>
        <w:t>****]</w:t>
      </w:r>
      <w:r>
        <w:rPr>
          <w:sz w:val="21"/>
        </w:rPr>
        <w:t>、乙方针对该项目的投标</w:t>
      </w:r>
      <w:r>
        <w:rPr>
          <w:sz w:val="21"/>
        </w:rPr>
        <w:t>/</w:t>
      </w:r>
      <w:r>
        <w:rPr>
          <w:sz w:val="21"/>
        </w:rPr>
        <w:t>响应文件及</w:t>
      </w:r>
      <w:r>
        <w:rPr>
          <w:sz w:val="21"/>
          <w:u w:val="single"/>
        </w:rPr>
        <w:t>20</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日的</w:t>
      </w:r>
      <w:r>
        <w:rPr>
          <w:sz w:val="21"/>
        </w:rPr>
        <w:t>中标</w:t>
      </w:r>
      <w:r>
        <w:rPr>
          <w:sz w:val="21"/>
        </w:rPr>
        <w:t>/</w:t>
      </w:r>
      <w:r>
        <w:rPr>
          <w:sz w:val="21"/>
        </w:rPr>
        <w:t>成交结果通知书，按照中华人民共和国</w:t>
      </w:r>
      <w:r>
        <w:rPr>
          <w:sz w:val="21"/>
        </w:rPr>
        <w:t>[</w:t>
      </w:r>
      <w:r>
        <w:rPr>
          <w:sz w:val="26"/>
        </w:rPr>
        <w:t>R</w:t>
      </w:r>
      <w:r>
        <w:rPr>
          <w:sz w:val="21"/>
        </w:rPr>
        <w:t>《民法典》；</w:t>
      </w:r>
      <w:r>
        <w:rPr>
          <w:b/>
          <w:sz w:val="24"/>
        </w:rPr>
        <w:t>□</w:t>
      </w:r>
      <w:r>
        <w:rPr>
          <w:sz w:val="21"/>
        </w:rPr>
        <w:t>《政府采购法》</w:t>
      </w:r>
      <w:r>
        <w:rPr>
          <w:sz w:val="21"/>
        </w:rPr>
        <w:t>]</w:t>
      </w:r>
      <w:r>
        <w:rPr>
          <w:sz w:val="21"/>
        </w:rPr>
        <w:t>的规定，本着平等互利和诚实信用的原则，</w:t>
      </w:r>
      <w:r>
        <w:rPr>
          <w:sz w:val="21"/>
        </w:rPr>
        <w:t>一致同意签订本合同</w:t>
      </w:r>
      <w:r>
        <w:rPr>
          <w:sz w:val="21"/>
        </w:rPr>
        <w:t>。</w:t>
      </w:r>
    </w:p>
    <w:p>
      <w:pPr>
        <w:jc w:val="both"/>
      </w:pPr>
      <w:r>
        <w:rPr>
          <w:b/>
          <w:sz w:val="28"/>
        </w:rPr>
        <w:t>一、货物</w:t>
      </w:r>
      <w:r>
        <w:rPr>
          <w:b/>
          <w:sz w:val="28"/>
        </w:rPr>
        <w:t>及价格</w:t>
      </w:r>
      <w:r>
        <w:rPr>
          <w:b/>
          <w:sz w:val="28"/>
        </w:rPr>
        <w:t>(</w:t>
      </w:r>
      <w:r>
        <w:rPr>
          <w:b/>
          <w:sz w:val="28"/>
        </w:rPr>
        <w:t>详细配置清单及技术指标见附件</w:t>
      </w:r>
      <w:r>
        <w:rPr>
          <w:b/>
          <w:sz w:val="28"/>
        </w:rPr>
        <w:t>)</w:t>
      </w:r>
    </w:p>
    <w:tbl>
      <w:tblPr>
        <w:tblW w:w="0" w:type="auto"/>
        <w:tblBorders>
          <w:top w:val="none" w:color="000000" w:sz="4"/>
          <w:left w:val="none" w:color="000000" w:sz="4"/>
          <w:bottom w:val="none" w:color="000000" w:sz="4"/>
          <w:right w:val="none" w:color="000000" w:sz="4"/>
          <w:insideH w:val="none"/>
          <w:insideV w:val="none"/>
        </w:tblBorders>
      </w:tblPr>
      <w:tblGrid>
        <w:gridCol w:w="612"/>
        <w:gridCol w:w="1463"/>
        <w:gridCol w:w="1463"/>
        <w:gridCol w:w="1350"/>
        <w:gridCol w:w="600"/>
        <w:gridCol w:w="600"/>
        <w:gridCol w:w="1013"/>
        <w:gridCol w:w="1175"/>
      </w:tblGrid>
      <w:tr>
        <w:tc>
          <w:tcPr>
            <w:tcW w:type="dxa" w:w="612"/>
            <w:tcBorders>
              <w:top w:val="double" w:color="000000" w:sz="4"/>
              <w:left w:val="double" w:color="000000" w:sz="4"/>
              <w:bottom w:val="single" w:color="000000" w:sz="4"/>
              <w:right w:val="single" w:color="000000" w:sz="4"/>
            </w:tcBorders>
            <w:vAlign w:val="top"/>
          </w:tcPr>
          <w:p>
            <w:pPr>
              <w:jc w:val="center"/>
            </w:pPr>
            <w:r>
              <w:rPr>
                <w:b/>
                <w:sz w:val="21"/>
              </w:rPr>
              <w:t>序号</w:t>
            </w:r>
          </w:p>
        </w:tc>
        <w:tc>
          <w:tcPr>
            <w:tcW w:type="dxa" w:w="1463"/>
            <w:tcBorders>
              <w:top w:val="double" w:color="000000" w:sz="4"/>
              <w:left w:val="none" w:color="000000" w:sz="4"/>
              <w:bottom w:val="single" w:color="000000" w:sz="4"/>
              <w:right w:val="single" w:color="000000" w:sz="4"/>
            </w:tcBorders>
            <w:vAlign w:val="top"/>
          </w:tcPr>
          <w:p>
            <w:pPr>
              <w:jc w:val="center"/>
            </w:pPr>
            <w:r>
              <w:rPr>
                <w:b/>
                <w:sz w:val="21"/>
              </w:rPr>
              <w:t>货物名称</w:t>
            </w:r>
          </w:p>
        </w:tc>
        <w:tc>
          <w:tcPr>
            <w:tcW w:type="dxa" w:w="1463"/>
            <w:tcBorders>
              <w:top w:val="double" w:color="000000" w:sz="4"/>
              <w:left w:val="none" w:color="000000" w:sz="4"/>
              <w:bottom w:val="single" w:color="000000" w:sz="4"/>
              <w:right w:val="single" w:color="000000" w:sz="4"/>
            </w:tcBorders>
            <w:vAlign w:val="top"/>
          </w:tcPr>
          <w:p>
            <w:pPr>
              <w:jc w:val="center"/>
            </w:pPr>
            <w:r>
              <w:rPr>
                <w:b/>
                <w:sz w:val="21"/>
              </w:rPr>
              <w:t>型号</w:t>
            </w:r>
            <w:r>
              <w:rPr>
                <w:b/>
                <w:sz w:val="21"/>
              </w:rPr>
              <w:t>/</w:t>
            </w:r>
            <w:r>
              <w:rPr>
                <w:b/>
                <w:sz w:val="21"/>
              </w:rPr>
              <w:t>规格</w:t>
            </w:r>
          </w:p>
        </w:tc>
        <w:tc>
          <w:tcPr>
            <w:tcW w:type="dxa" w:w="1350"/>
            <w:tcBorders>
              <w:top w:val="double" w:color="000000" w:sz="4"/>
              <w:left w:val="none" w:color="000000" w:sz="4"/>
              <w:bottom w:val="single" w:color="000000" w:sz="4"/>
              <w:right w:val="single" w:color="000000" w:sz="4"/>
            </w:tcBorders>
            <w:vAlign w:val="top"/>
          </w:tcPr>
          <w:p>
            <w:pPr>
              <w:jc w:val="center"/>
            </w:pPr>
            <w:r>
              <w:rPr>
                <w:b/>
                <w:sz w:val="21"/>
              </w:rPr>
              <w:t>制造商</w:t>
            </w:r>
            <w:r>
              <w:rPr>
                <w:b/>
                <w:sz w:val="21"/>
              </w:rPr>
              <w:t>/</w:t>
            </w:r>
            <w:r>
              <w:rPr>
                <w:b/>
                <w:sz w:val="21"/>
              </w:rPr>
              <w:t>产地</w:t>
            </w:r>
          </w:p>
        </w:tc>
        <w:tc>
          <w:tcPr>
            <w:tcW w:type="dxa" w:w="600"/>
            <w:tcBorders>
              <w:top w:val="double" w:color="000000" w:sz="4"/>
              <w:left w:val="none" w:color="000000" w:sz="4"/>
              <w:bottom w:val="single" w:color="000000" w:sz="4"/>
              <w:right w:val="single" w:color="000000" w:sz="4"/>
            </w:tcBorders>
            <w:vAlign w:val="top"/>
          </w:tcPr>
          <w:p>
            <w:pPr>
              <w:jc w:val="center"/>
            </w:pPr>
            <w:r>
              <w:rPr>
                <w:b/>
                <w:sz w:val="21"/>
              </w:rPr>
              <w:t>数量</w:t>
            </w:r>
          </w:p>
        </w:tc>
        <w:tc>
          <w:tcPr>
            <w:tcW w:type="dxa" w:w="600"/>
            <w:tcBorders>
              <w:top w:val="double" w:color="000000" w:sz="4"/>
              <w:left w:val="none" w:color="000000" w:sz="4"/>
              <w:bottom w:val="single" w:color="000000" w:sz="4"/>
              <w:right w:val="single" w:color="000000" w:sz="4"/>
            </w:tcBorders>
            <w:vAlign w:val="top"/>
          </w:tcPr>
          <w:p>
            <w:pPr>
              <w:jc w:val="center"/>
            </w:pPr>
            <w:r>
              <w:rPr>
                <w:b/>
                <w:sz w:val="21"/>
              </w:rPr>
              <w:t>单位</w:t>
            </w:r>
          </w:p>
        </w:tc>
        <w:tc>
          <w:tcPr>
            <w:tcW w:type="dxa" w:w="1013"/>
            <w:tcBorders>
              <w:top w:val="double" w:color="000000" w:sz="4"/>
              <w:left w:val="none" w:color="000000" w:sz="4"/>
              <w:bottom w:val="single" w:color="000000" w:sz="4"/>
              <w:right w:val="single" w:color="000000" w:sz="4"/>
            </w:tcBorders>
            <w:vAlign w:val="top"/>
          </w:tcPr>
          <w:p>
            <w:pPr>
              <w:jc w:val="center"/>
            </w:pPr>
            <w:r>
              <w:rPr>
                <w:b/>
                <w:sz w:val="21"/>
              </w:rPr>
              <w:t>单价</w:t>
            </w:r>
            <w:r>
              <w:rPr>
                <w:b/>
                <w:sz w:val="21"/>
              </w:rPr>
              <w:t>(</w:t>
            </w:r>
            <w:r>
              <w:rPr>
                <w:b/>
                <w:sz w:val="21"/>
              </w:rPr>
              <w:t>元</w:t>
            </w:r>
            <w:r>
              <w:rPr>
                <w:b/>
                <w:sz w:val="21"/>
              </w:rPr>
              <w:t>)</w:t>
            </w:r>
          </w:p>
        </w:tc>
        <w:tc>
          <w:tcPr>
            <w:tcW w:type="dxa" w:w="1175"/>
            <w:tcBorders>
              <w:top w:val="double" w:color="000000" w:sz="4"/>
              <w:left w:val="none" w:color="000000" w:sz="4"/>
              <w:bottom w:val="single" w:color="000000" w:sz="4"/>
              <w:right w:val="double" w:color="000000" w:sz="4"/>
            </w:tcBorders>
            <w:vAlign w:val="top"/>
          </w:tcPr>
          <w:p>
            <w:pPr>
              <w:jc w:val="center"/>
            </w:pPr>
            <w:r>
              <w:rPr>
                <w:b/>
                <w:sz w:val="21"/>
              </w:rPr>
              <w:t>总价</w:t>
            </w:r>
            <w:r>
              <w:rPr>
                <w:b/>
                <w:sz w:val="21"/>
              </w:rPr>
              <w:t>(</w:t>
            </w:r>
            <w:r>
              <w:rPr>
                <w:b/>
                <w:sz w:val="21"/>
              </w:rPr>
              <w:t>元</w:t>
            </w:r>
            <w:r>
              <w:rPr>
                <w:b/>
                <w:sz w:val="21"/>
              </w:rPr>
              <w:t>)</w:t>
            </w:r>
          </w:p>
        </w:tc>
      </w:tr>
      <w:tr>
        <w:tc>
          <w:tcPr>
            <w:tcW w:type="dxa" w:w="612"/>
            <w:tcBorders>
              <w:top w:val="none" w:color="000000" w:sz="4"/>
              <w:left w:val="doubl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350"/>
            <w:tcBorders>
              <w:top w:val="non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1013"/>
            <w:tcBorders>
              <w:top w:val="none" w:color="000000" w:sz="4"/>
              <w:left w:val="none" w:color="000000" w:sz="4"/>
              <w:bottom w:val="single" w:color="000000" w:sz="4"/>
              <w:right w:val="single" w:color="000000" w:sz="4"/>
            </w:tcBorders>
            <w:vAlign w:val="top"/>
          </w:tcPr>
          <w:p>
            <w:pPr>
              <w:jc w:val="center"/>
            </w:pPr>
          </w:p>
        </w:tc>
        <w:tc>
          <w:tcPr>
            <w:tcW w:type="dxa" w:w="1175"/>
            <w:tcBorders>
              <w:top w:val="none" w:color="000000" w:sz="4"/>
              <w:left w:val="none" w:color="000000" w:sz="4"/>
              <w:bottom w:val="single" w:color="000000" w:sz="4"/>
              <w:right w:val="double" w:color="000000" w:sz="4"/>
            </w:tcBorders>
            <w:vAlign w:val="top"/>
          </w:tcPr>
          <w:p>
            <w:pPr>
              <w:jc w:val="center"/>
            </w:pPr>
          </w:p>
        </w:tc>
      </w:tr>
      <w:tr>
        <w:tc>
          <w:tcPr>
            <w:tcW w:type="dxa" w:w="612"/>
            <w:tcBorders>
              <w:top w:val="none" w:color="000000" w:sz="4"/>
              <w:left w:val="doubl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350"/>
            <w:tcBorders>
              <w:top w:val="non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1013"/>
            <w:tcBorders>
              <w:top w:val="none" w:color="000000" w:sz="4"/>
              <w:left w:val="none" w:color="000000" w:sz="4"/>
              <w:bottom w:val="single" w:color="000000" w:sz="4"/>
              <w:right w:val="single" w:color="000000" w:sz="4"/>
            </w:tcBorders>
            <w:vAlign w:val="top"/>
          </w:tcPr>
          <w:p>
            <w:pPr>
              <w:jc w:val="center"/>
            </w:pPr>
          </w:p>
        </w:tc>
        <w:tc>
          <w:tcPr>
            <w:tcW w:type="dxa" w:w="1175"/>
            <w:tcBorders>
              <w:top w:val="none" w:color="000000" w:sz="4"/>
              <w:left w:val="none" w:color="000000" w:sz="4"/>
              <w:bottom w:val="single" w:color="000000" w:sz="4"/>
              <w:right w:val="double" w:color="000000" w:sz="4"/>
            </w:tcBorders>
            <w:vAlign w:val="top"/>
          </w:tcPr>
          <w:p>
            <w:pPr>
              <w:jc w:val="center"/>
            </w:pPr>
          </w:p>
        </w:tc>
      </w:tr>
      <w:tr>
        <w:tc>
          <w:tcPr>
            <w:tcW w:type="dxa" w:w="612"/>
            <w:tcBorders>
              <w:top w:val="single" w:color="000000" w:sz="4"/>
              <w:left w:val="doubl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463"/>
            <w:tcBorders>
              <w:top w:val="none" w:color="000000" w:sz="4"/>
              <w:left w:val="none" w:color="000000" w:sz="4"/>
              <w:bottom w:val="single" w:color="000000" w:sz="4"/>
              <w:right w:val="single" w:color="000000" w:sz="4"/>
            </w:tcBorders>
            <w:vAlign w:val="top"/>
          </w:tcPr>
          <w:p>
            <w:pPr>
              <w:jc w:val="center"/>
            </w:pPr>
          </w:p>
        </w:tc>
        <w:tc>
          <w:tcPr>
            <w:tcW w:type="dxa" w:w="1350"/>
            <w:tcBorders>
              <w:top w:val="singl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600"/>
            <w:tcBorders>
              <w:top w:val="none" w:color="000000" w:sz="4"/>
              <w:left w:val="none" w:color="000000" w:sz="4"/>
              <w:bottom w:val="single" w:color="000000" w:sz="4"/>
              <w:right w:val="single" w:color="000000" w:sz="4"/>
            </w:tcBorders>
            <w:vAlign w:val="top"/>
          </w:tcPr>
          <w:p>
            <w:pPr>
              <w:jc w:val="center"/>
            </w:pPr>
          </w:p>
        </w:tc>
        <w:tc>
          <w:tcPr>
            <w:tcW w:type="dxa" w:w="1013"/>
            <w:tcBorders>
              <w:top w:val="none" w:color="000000" w:sz="4"/>
              <w:left w:val="none" w:color="000000" w:sz="4"/>
              <w:bottom w:val="single" w:color="000000" w:sz="4"/>
              <w:right w:val="single" w:color="000000" w:sz="4"/>
            </w:tcBorders>
            <w:vAlign w:val="top"/>
          </w:tcPr>
          <w:p>
            <w:pPr>
              <w:jc w:val="center"/>
            </w:pPr>
          </w:p>
        </w:tc>
        <w:tc>
          <w:tcPr>
            <w:tcW w:type="dxa" w:w="1175"/>
            <w:tcBorders>
              <w:top w:val="none" w:color="000000" w:sz="4"/>
              <w:left w:val="none" w:color="000000" w:sz="4"/>
              <w:bottom w:val="single" w:color="000000" w:sz="4"/>
              <w:right w:val="double" w:color="000000" w:sz="4"/>
            </w:tcBorders>
            <w:vAlign w:val="top"/>
          </w:tcPr>
          <w:p>
            <w:pPr>
              <w:jc w:val="center"/>
            </w:pPr>
          </w:p>
        </w:tc>
      </w:tr>
      <w:tr>
        <w:tc>
          <w:tcPr>
            <w:tcW w:type="dxa" w:w="8276"/>
            <w:gridSpan w:val="8"/>
            <w:tcBorders>
              <w:top w:val="none" w:color="000000" w:sz="4"/>
              <w:left w:val="double" w:color="000000" w:sz="4"/>
              <w:bottom w:val="double" w:color="000000" w:sz="4"/>
              <w:right w:val="double" w:color="000000" w:sz="4"/>
            </w:tcBorders>
            <w:vAlign w:val="top"/>
          </w:tcPr>
          <w:p>
            <w:pPr>
              <w:jc w:val="both"/>
            </w:pPr>
            <w:r>
              <w:rPr>
                <w:b/>
                <w:sz w:val="21"/>
              </w:rPr>
              <w:t>总金额（人民币）：</w:t>
            </w:r>
            <w:r>
              <w:rPr>
                <w:b/>
                <w:sz w:val="21"/>
              </w:rPr>
              <w:t>*</w:t>
            </w:r>
            <w:r>
              <w:rPr>
                <w:b/>
                <w:sz w:val="21"/>
              </w:rPr>
              <w:t>仟</w:t>
            </w:r>
            <w:r>
              <w:rPr>
                <w:b/>
                <w:sz w:val="21"/>
              </w:rPr>
              <w:t>*</w:t>
            </w:r>
            <w:r>
              <w:rPr>
                <w:b/>
                <w:sz w:val="21"/>
              </w:rPr>
              <w:t>佰</w:t>
            </w:r>
            <w:r>
              <w:rPr>
                <w:b/>
                <w:sz w:val="21"/>
              </w:rPr>
              <w:t>*</w:t>
            </w:r>
            <w:r>
              <w:rPr>
                <w:b/>
                <w:sz w:val="21"/>
              </w:rPr>
              <w:t>拾</w:t>
            </w:r>
            <w:r>
              <w:rPr>
                <w:b/>
                <w:sz w:val="21"/>
              </w:rPr>
              <w:t>*</w:t>
            </w:r>
            <w:r>
              <w:rPr>
                <w:b/>
                <w:sz w:val="21"/>
              </w:rPr>
              <w:t>万</w:t>
            </w:r>
            <w:r>
              <w:rPr>
                <w:b/>
                <w:sz w:val="21"/>
              </w:rPr>
              <w:t>*</w:t>
            </w:r>
            <w:r>
              <w:rPr>
                <w:b/>
                <w:sz w:val="21"/>
              </w:rPr>
              <w:t>仟</w:t>
            </w:r>
            <w:r>
              <w:rPr>
                <w:b/>
                <w:sz w:val="21"/>
              </w:rPr>
              <w:t>*</w:t>
            </w:r>
            <w:r>
              <w:rPr>
                <w:b/>
                <w:sz w:val="21"/>
              </w:rPr>
              <w:t>佰</w:t>
            </w:r>
            <w:r>
              <w:rPr>
                <w:b/>
                <w:sz w:val="21"/>
              </w:rPr>
              <w:t>*</w:t>
            </w:r>
            <w:r>
              <w:rPr>
                <w:b/>
                <w:sz w:val="21"/>
              </w:rPr>
              <w:t>拾</w:t>
            </w:r>
            <w:r>
              <w:rPr>
                <w:b/>
                <w:sz w:val="21"/>
              </w:rPr>
              <w:t>*</w:t>
            </w:r>
            <w:r>
              <w:rPr>
                <w:b/>
                <w:sz w:val="21"/>
              </w:rPr>
              <w:t>元整（</w:t>
            </w:r>
            <w:r>
              <w:rPr>
                <w:b/>
                <w:sz w:val="21"/>
              </w:rPr>
              <w:t>¥</w:t>
            </w:r>
            <w:r>
              <w:rPr>
                <w:b/>
                <w:sz w:val="21"/>
              </w:rPr>
              <w:t>*******</w:t>
            </w:r>
            <w:r>
              <w:rPr>
                <w:b/>
                <w:sz w:val="21"/>
              </w:rPr>
              <w:t>）</w:t>
            </w:r>
          </w:p>
        </w:tc>
      </w:tr>
    </w:tbl>
    <w:p>
      <w:pPr>
        <w:ind w:firstLine="420"/>
        <w:jc w:val="both"/>
      </w:pPr>
      <w:r>
        <w:rPr>
          <w:sz w:val="21"/>
        </w:rPr>
        <w:t>上述合同总金额为完成项目的全包价，包括但不限于购买货物、保险运输、装卸进场、安装调试、培训验收、售后服务等费用、各项税费及合同实施过程中不可预见费用等。除合同明确约定的费用外，甲方无需支付任何额外费用和承担任何额外义务。</w:t>
      </w:r>
    </w:p>
    <w:p>
      <w:pPr>
        <w:jc w:val="both"/>
      </w:pPr>
      <w:r>
        <w:rPr>
          <w:b/>
          <w:sz w:val="28"/>
        </w:rPr>
        <w:t>二、货物</w:t>
      </w:r>
      <w:r>
        <w:rPr>
          <w:b/>
          <w:sz w:val="28"/>
        </w:rPr>
        <w:t>质量要求</w:t>
      </w:r>
    </w:p>
    <w:p>
      <w:pPr>
        <w:ind w:firstLine="420"/>
        <w:jc w:val="both"/>
      </w:pPr>
      <w:r>
        <w:rPr>
          <w:sz w:val="21"/>
        </w:rPr>
        <w:t>1.</w:t>
      </w:r>
      <w:r>
        <w:rPr>
          <w:sz w:val="21"/>
        </w:rPr>
        <w:t>乙方提供的货物必须符合中华人民共和国国家标准、行业标准、地方标准、货物生产商的产品质量标准、有关部门制定的相关技术规范、符合产品说明书表明的质量状况和使用性能、国家规定的安全和环保要求（该等标准不一致的，以较高为准）</w:t>
      </w:r>
      <w:r>
        <w:rPr>
          <w:sz w:val="21"/>
        </w:rPr>
        <w:t>。</w:t>
      </w:r>
    </w:p>
    <w:p>
      <w:pPr>
        <w:ind w:firstLine="420"/>
        <w:jc w:val="both"/>
      </w:pPr>
      <w:r>
        <w:rPr>
          <w:sz w:val="21"/>
        </w:rPr>
        <w:t>2.</w:t>
      </w:r>
      <w:r>
        <w:rPr>
          <w:sz w:val="21"/>
        </w:rPr>
        <w:t>乙方提供的货物必须是原厂原装全新正版产品（含零部件、配件、随机工具等），包装外观完好、表面无划伤无破损、附件齐全，整机无污染、无任何缺陷隐患，序列号、包装箱号与出厂批号一致，并可追索查阅。</w:t>
      </w:r>
      <w:r>
        <w:rPr>
          <w:sz w:val="21"/>
        </w:rPr>
        <w:t>国内货物</w:t>
      </w:r>
      <w:r>
        <w:rPr>
          <w:sz w:val="21"/>
        </w:rPr>
        <w:t>则</w:t>
      </w:r>
      <w:r>
        <w:rPr>
          <w:sz w:val="21"/>
        </w:rPr>
        <w:t>必须具备出厂合格证</w:t>
      </w:r>
      <w:r>
        <w:rPr>
          <w:sz w:val="21"/>
        </w:rPr>
        <w:t>，所有货物</w:t>
      </w:r>
      <w:r>
        <w:rPr>
          <w:sz w:val="21"/>
        </w:rPr>
        <w:t>在中国境内可依常规安全合法使用。</w:t>
      </w:r>
    </w:p>
    <w:p>
      <w:pPr>
        <w:ind w:firstLine="420"/>
        <w:jc w:val="both"/>
      </w:pPr>
      <w:r>
        <w:rPr>
          <w:sz w:val="21"/>
        </w:rPr>
        <w:t>3.</w:t>
      </w:r>
      <w:r>
        <w:rPr>
          <w:sz w:val="21"/>
        </w:rPr>
        <w:t>乙方对提供的货物提供</w:t>
      </w:r>
      <w:r>
        <w:rPr>
          <w:sz w:val="21"/>
          <w:u w:val="single"/>
        </w:rPr>
        <w:t>***</w:t>
      </w:r>
      <w:r>
        <w:rPr>
          <w:sz w:val="21"/>
        </w:rPr>
        <w:t>年的质量保证期。货物在质量保证期内被证明有缺陷，包括内在缺陷或使用不适当原材料，乙方应予退换货。</w:t>
      </w:r>
    </w:p>
    <w:p>
      <w:pPr>
        <w:jc w:val="both"/>
      </w:pPr>
      <w:r>
        <w:rPr>
          <w:b/>
          <w:sz w:val="28"/>
        </w:rPr>
        <w:t>三、交货期及交货地点</w:t>
      </w:r>
    </w:p>
    <w:p>
      <w:pPr>
        <w:ind w:firstLine="420"/>
        <w:jc w:val="both"/>
      </w:pPr>
      <w:r>
        <w:rPr>
          <w:sz w:val="21"/>
        </w:rPr>
        <w:t>1.</w:t>
      </w:r>
      <w:r>
        <w:rPr>
          <w:sz w:val="21"/>
        </w:rPr>
        <w:t>交货时间：</w:t>
      </w:r>
      <w:r>
        <w:rPr>
          <w:sz w:val="21"/>
        </w:rPr>
        <w:t>合同生效</w:t>
      </w:r>
      <w:r>
        <w:rPr>
          <w:sz w:val="21"/>
          <w:u w:val="single"/>
        </w:rPr>
        <w:t xml:space="preserve">    </w:t>
      </w:r>
      <w:r>
        <w:rPr>
          <w:sz w:val="21"/>
        </w:rPr>
        <w:t>天内乙方完成货物</w:t>
      </w:r>
      <w:r>
        <w:rPr>
          <w:sz w:val="21"/>
        </w:rPr>
        <w:t>安装调试并交付使用。</w:t>
      </w:r>
    </w:p>
    <w:p>
      <w:pPr>
        <w:ind w:firstLine="420"/>
        <w:jc w:val="both"/>
      </w:pPr>
      <w:r>
        <w:rPr>
          <w:sz w:val="21"/>
        </w:rPr>
        <w:t>2.</w:t>
      </w:r>
      <w:r>
        <w:rPr>
          <w:sz w:val="21"/>
        </w:rPr>
        <w:t>交货地点：甲方</w:t>
      </w:r>
      <w:r>
        <w:rPr>
          <w:sz w:val="21"/>
          <w:u w:val="single"/>
        </w:rPr>
        <w:t>***</w:t>
      </w:r>
      <w:r>
        <w:rPr>
          <w:sz w:val="21"/>
          <w:u w:val="single"/>
        </w:rPr>
        <w:t>校区</w:t>
      </w:r>
      <w:r>
        <w:rPr>
          <w:sz w:val="21"/>
          <w:u w:val="single"/>
        </w:rPr>
        <w:t>***</w:t>
      </w:r>
      <w:r>
        <w:rPr>
          <w:sz w:val="21"/>
        </w:rPr>
        <w:t>学院指定地点</w:t>
      </w:r>
      <w:r>
        <w:rPr>
          <w:sz w:val="24"/>
        </w:rPr>
        <w:t>。</w:t>
      </w:r>
    </w:p>
    <w:p>
      <w:pPr>
        <w:jc w:val="both"/>
      </w:pPr>
      <w:r>
        <w:rPr>
          <w:b/>
          <w:sz w:val="28"/>
        </w:rPr>
        <w:t>四、到货检验、</w:t>
      </w:r>
      <w:r>
        <w:rPr>
          <w:b/>
          <w:sz w:val="28"/>
        </w:rPr>
        <w:t>安装调试</w:t>
      </w:r>
    </w:p>
    <w:p>
      <w:pPr>
        <w:ind w:firstLine="420"/>
        <w:jc w:val="both"/>
      </w:pPr>
      <w:r>
        <w:rPr>
          <w:sz w:val="21"/>
        </w:rPr>
        <w:t>1.</w:t>
      </w:r>
      <w:r>
        <w:rPr>
          <w:sz w:val="21"/>
        </w:rPr>
        <w:t>货物送到甲方指定地点后，甲乙双方代表同时在场时才能开箱检验。</w:t>
      </w:r>
    </w:p>
    <w:p>
      <w:pPr>
        <w:ind w:firstLine="420"/>
        <w:jc w:val="both"/>
      </w:pPr>
      <w:r>
        <w:rPr>
          <w:sz w:val="21"/>
        </w:rPr>
        <w:t>2.</w:t>
      </w:r>
      <w:r>
        <w:rPr>
          <w:sz w:val="21"/>
        </w:rPr>
        <w:t>甲乙双方</w:t>
      </w:r>
      <w:r>
        <w:rPr>
          <w:sz w:val="21"/>
        </w:rPr>
        <w:t>就货物进行</w:t>
      </w:r>
      <w:r>
        <w:rPr>
          <w:sz w:val="21"/>
        </w:rPr>
        <w:t>的</w:t>
      </w:r>
      <w:r>
        <w:rPr>
          <w:sz w:val="21"/>
        </w:rPr>
        <w:t>检验包括</w:t>
      </w:r>
      <w:r>
        <w:rPr>
          <w:sz w:val="21"/>
        </w:rPr>
        <w:t>但不限于名称、品牌、规格、型号、产地、数量外在可视参数。</w:t>
      </w:r>
    </w:p>
    <w:p>
      <w:pPr>
        <w:ind w:firstLine="420"/>
        <w:jc w:val="both"/>
      </w:pPr>
      <w:r>
        <w:rPr>
          <w:sz w:val="21"/>
        </w:rPr>
        <w:t>3.</w:t>
      </w:r>
      <w:r>
        <w:rPr>
          <w:sz w:val="21"/>
        </w:rPr>
        <w:t>除非甲方另有通知，乙方应按照合同的要求以及合同执行计划的时间安排，派出足够的人员进行现场安装和调试工作</w:t>
      </w:r>
      <w:r>
        <w:rPr>
          <w:sz w:val="21"/>
        </w:rPr>
        <w:t>，并承担货物安装调试过程所产生的一切费用和责任直到验收合格。</w:t>
      </w:r>
    </w:p>
    <w:p>
      <w:pPr>
        <w:ind w:firstLine="412"/>
        <w:jc w:val="both"/>
      </w:pPr>
      <w:r>
        <w:rPr>
          <w:sz w:val="21"/>
        </w:rPr>
        <w:t>4.</w:t>
      </w:r>
      <w:r>
        <w:rPr>
          <w:sz w:val="21"/>
        </w:rPr>
        <w:t>乙方必须依照招标文件的要求和报价文件的承诺，将货物安装并调试至正常运行的最佳状态。</w:t>
      </w:r>
    </w:p>
    <w:p>
      <w:pPr>
        <w:ind w:firstLine="420"/>
        <w:jc w:val="both"/>
      </w:pPr>
      <w:r>
        <w:rPr>
          <w:sz w:val="21"/>
        </w:rPr>
        <w:t>5.</w:t>
      </w:r>
      <w:r>
        <w:rPr>
          <w:sz w:val="21"/>
        </w:rPr>
        <w:t>软件类产品</w:t>
      </w:r>
      <w:r>
        <w:rPr>
          <w:sz w:val="21"/>
        </w:rPr>
        <w:t>乙方还应提供软件现场或远程安装，包括软件服务器端安装、客户端安装和软件</w:t>
      </w:r>
      <w:r>
        <w:rPr>
          <w:sz w:val="21"/>
        </w:rPr>
        <w:t>license</w:t>
      </w:r>
      <w:r>
        <w:rPr>
          <w:sz w:val="21"/>
        </w:rPr>
        <w:t>的安装；在服务器端安装时乙方应主动寻求服务器供应商的工程师配合</w:t>
      </w:r>
      <w:r>
        <w:rPr>
          <w:sz w:val="21"/>
        </w:rPr>
        <w:t>。</w:t>
      </w:r>
    </w:p>
    <w:p>
      <w:pPr>
        <w:jc w:val="both"/>
      </w:pPr>
      <w:r>
        <w:rPr>
          <w:b/>
          <w:sz w:val="28"/>
        </w:rPr>
        <w:t>五、验收</w:t>
      </w:r>
    </w:p>
    <w:p>
      <w:pPr>
        <w:ind w:firstLine="420"/>
        <w:jc w:val="both"/>
      </w:pPr>
      <w:r>
        <w:rPr>
          <w:sz w:val="21"/>
        </w:rPr>
        <w:t>1.</w:t>
      </w:r>
      <w:r>
        <w:rPr>
          <w:sz w:val="21"/>
        </w:rPr>
        <w:t>交付验收标准为：按</w:t>
      </w:r>
      <w:r>
        <w:rPr>
          <w:sz w:val="21"/>
        </w:rPr>
        <w:t>本合同</w:t>
      </w:r>
      <w:r>
        <w:rPr>
          <w:sz w:val="21"/>
        </w:rPr>
        <w:t>约定的货物及价格、详细配置清单及</w:t>
      </w:r>
      <w:r>
        <w:rPr>
          <w:sz w:val="21"/>
        </w:rPr>
        <w:t>技术</w:t>
      </w:r>
      <w:r>
        <w:rPr>
          <w:sz w:val="21"/>
        </w:rPr>
        <w:t>指标、符合采购文件和响应承诺中甲方认可的合理最佳配置、参数及各项要求、国家相关标准和行业规范进行验收</w:t>
      </w:r>
      <w:r>
        <w:rPr>
          <w:sz w:val="21"/>
        </w:rPr>
        <w:t>（该等标准不一致的，以较高为准）</w:t>
      </w:r>
      <w:r>
        <w:rPr>
          <w:sz w:val="21"/>
        </w:rPr>
        <w:t>。</w:t>
      </w:r>
    </w:p>
    <w:p>
      <w:pPr>
        <w:ind w:firstLine="420"/>
        <w:jc w:val="both"/>
      </w:pPr>
      <w:r>
        <w:rPr>
          <w:sz w:val="21"/>
        </w:rPr>
        <w:t>2.</w:t>
      </w:r>
      <w:r>
        <w:rPr>
          <w:sz w:val="21"/>
        </w:rPr>
        <w:t>验收流程按甲方规章制度执行，由甲方组成验收小组（含乙方人员）按国家有关规定、规范进行验收，必要时甲方可邀请相关的专业人员或机构参与验收。</w:t>
      </w:r>
    </w:p>
    <w:p>
      <w:pPr>
        <w:ind w:firstLine="420"/>
        <w:jc w:val="both"/>
      </w:pPr>
      <w:r>
        <w:rPr>
          <w:sz w:val="21"/>
        </w:rPr>
        <w:t>3.</w:t>
      </w:r>
      <w:r>
        <w:rPr>
          <w:sz w:val="21"/>
        </w:rPr>
        <w:t>货物安装调试完毕且正常运行后，乙方应向甲方提出书面验收申请，准备并向甲方提交验收文件，本</w:t>
      </w:r>
      <w:r>
        <w:rPr>
          <w:sz w:val="21"/>
        </w:rPr>
        <w:t>合同</w:t>
      </w:r>
      <w:r>
        <w:rPr>
          <w:sz w:val="21"/>
        </w:rPr>
        <w:t>项下的全部</w:t>
      </w:r>
      <w:r>
        <w:rPr>
          <w:sz w:val="21"/>
        </w:rPr>
        <w:t>货物</w:t>
      </w:r>
      <w:r>
        <w:rPr>
          <w:sz w:val="21"/>
        </w:rPr>
        <w:t>按甲方验收流程验收通过，经甲乙双方签署验收合格证明后，视为验收合格。</w:t>
      </w:r>
    </w:p>
    <w:p>
      <w:pPr>
        <w:ind w:firstLine="420"/>
        <w:jc w:val="both"/>
      </w:pPr>
      <w:r>
        <w:rPr>
          <w:sz w:val="21"/>
        </w:rPr>
        <w:t>4.</w:t>
      </w:r>
      <w:r>
        <w:rPr>
          <w:sz w:val="21"/>
        </w:rPr>
        <w:t>验收合格后，乙方应将货物的用户手册、保修手册、有关单证资料及配备件、随机工具等交付给甲方，使用操作及安全须知等重要资料应附有中文说明。前述资料物品交付完毕当日，视为合同货物完成交付。</w:t>
      </w:r>
    </w:p>
    <w:p>
      <w:pPr>
        <w:jc w:val="both"/>
      </w:pPr>
      <w:r>
        <w:rPr>
          <w:b/>
          <w:sz w:val="28"/>
        </w:rPr>
        <w:t>六、付款</w:t>
      </w:r>
    </w:p>
    <w:p>
      <w:pPr>
        <w:ind w:firstLine="420"/>
        <w:jc w:val="both"/>
      </w:pPr>
      <w:r>
        <w:rPr>
          <w:sz w:val="21"/>
        </w:rPr>
        <w:t>1</w:t>
      </w:r>
      <w:r>
        <w:rPr>
          <w:sz w:val="21"/>
        </w:rPr>
        <w:t>.</w:t>
      </w:r>
      <w:r>
        <w:rPr>
          <w:sz w:val="21"/>
        </w:rPr>
        <w:t>合同签订后，乙方开具全额增值税专用发票给甲方，同时乙方开出以甲方为受益人的</w:t>
      </w:r>
      <w:r>
        <w:rPr>
          <w:sz w:val="21"/>
        </w:rPr>
        <w:t>“见索即付”形式的预付款银行保函，保函金额为合同总金额，保函付款条件为银行收到甲方书面索赔通知即须赔付，保函有效期为合同生效后一年；</w:t>
      </w:r>
      <w:r>
        <w:rPr>
          <w:sz w:val="21"/>
        </w:rPr>
        <w:t>甲方</w:t>
      </w:r>
      <w:r>
        <w:rPr>
          <w:sz w:val="21"/>
        </w:rPr>
        <w:t>收到银行保函后十个工作日内按相关规定办理支付手续，</w:t>
      </w:r>
      <w:r>
        <w:rPr>
          <w:sz w:val="21"/>
        </w:rPr>
        <w:t>甲方</w:t>
      </w:r>
      <w:r>
        <w:rPr>
          <w:sz w:val="21"/>
        </w:rPr>
        <w:t>将合同货款（人民币</w:t>
      </w:r>
      <w:r>
        <w:rPr>
          <w:sz w:val="21"/>
        </w:rPr>
        <w:t>*</w:t>
      </w:r>
      <w:r>
        <w:rPr>
          <w:sz w:val="21"/>
        </w:rPr>
        <w:t>佰</w:t>
      </w:r>
      <w:r>
        <w:rPr>
          <w:sz w:val="21"/>
        </w:rPr>
        <w:t>*</w:t>
      </w:r>
      <w:r>
        <w:rPr>
          <w:sz w:val="21"/>
        </w:rPr>
        <w:t>拾</w:t>
      </w:r>
      <w:r>
        <w:rPr>
          <w:sz w:val="21"/>
        </w:rPr>
        <w:t>*</w:t>
      </w:r>
      <w:r>
        <w:rPr>
          <w:sz w:val="21"/>
        </w:rPr>
        <w:t>万</w:t>
      </w:r>
      <w:r>
        <w:rPr>
          <w:sz w:val="21"/>
        </w:rPr>
        <w:t>*</w:t>
      </w:r>
      <w:r>
        <w:rPr>
          <w:sz w:val="21"/>
        </w:rPr>
        <w:t>仟</w:t>
      </w:r>
      <w:r>
        <w:rPr>
          <w:sz w:val="21"/>
        </w:rPr>
        <w:t>*</w:t>
      </w:r>
      <w:r>
        <w:rPr>
          <w:sz w:val="21"/>
        </w:rPr>
        <w:t>佰</w:t>
      </w:r>
      <w:r>
        <w:rPr>
          <w:sz w:val="21"/>
        </w:rPr>
        <w:t>*</w:t>
      </w:r>
      <w:r>
        <w:rPr>
          <w:sz w:val="21"/>
        </w:rPr>
        <w:t>拾</w:t>
      </w:r>
      <w:r>
        <w:rPr>
          <w:sz w:val="21"/>
        </w:rPr>
        <w:t>*</w:t>
      </w:r>
      <w:r>
        <w:rPr>
          <w:sz w:val="21"/>
        </w:rPr>
        <w:t>元整，¥</w:t>
      </w:r>
      <w:r>
        <w:rPr>
          <w:sz w:val="21"/>
        </w:rPr>
        <w:t>****.**</w:t>
      </w:r>
      <w:r>
        <w:rPr>
          <w:sz w:val="21"/>
        </w:rPr>
        <w:t>）支付给乙方。</w:t>
      </w:r>
    </w:p>
    <w:p>
      <w:pPr>
        <w:ind w:firstLine="420"/>
        <w:jc w:val="both"/>
      </w:pPr>
      <w:r>
        <w:rPr>
          <w:sz w:val="21"/>
        </w:rPr>
        <w:t>2.</w:t>
      </w:r>
      <w:r>
        <w:rPr>
          <w:sz w:val="21"/>
        </w:rPr>
        <w:t>货物安装调试完毕，经甲方、乙方双方对货物进行验收合格并完成交付后，甲方将银行保函原件退回给乙方，乙方自行到银行办理相关手续。</w:t>
      </w:r>
    </w:p>
    <w:p>
      <w:pPr>
        <w:ind w:firstLine="420"/>
        <w:jc w:val="both"/>
      </w:pPr>
      <w:r>
        <w:rPr>
          <w:sz w:val="21"/>
        </w:rPr>
        <w:t>七、培训及售后服务</w:t>
      </w:r>
    </w:p>
    <w:p>
      <w:pPr>
        <w:ind w:firstLine="420"/>
        <w:jc w:val="both"/>
      </w:pPr>
      <w:r>
        <w:rPr>
          <w:sz w:val="21"/>
        </w:rPr>
        <w:t>1.</w:t>
      </w:r>
      <w:r>
        <w:rPr>
          <w:sz w:val="21"/>
        </w:rPr>
        <w:t>乙方负责甲方使用人员的使用操作技术及维护技术的培训直至其能熟练、独立操作</w:t>
      </w:r>
      <w:r>
        <w:rPr>
          <w:sz w:val="21"/>
        </w:rPr>
        <w:t>，</w:t>
      </w:r>
      <w:r>
        <w:rPr>
          <w:sz w:val="21"/>
        </w:rPr>
        <w:t>具体培训内容和时间安排由双方协商确定</w:t>
      </w:r>
      <w:r>
        <w:rPr>
          <w:sz w:val="21"/>
        </w:rPr>
        <w:t>。对于软件类产品，</w:t>
      </w:r>
      <w:r>
        <w:rPr>
          <w:sz w:val="21"/>
        </w:rPr>
        <w:t>乙方还需要对甲方使用人员进行必要的现场培训，保证甲方使用人员能独立安装、升级软件和运行算例。</w:t>
      </w:r>
    </w:p>
    <w:p>
      <w:pPr>
        <w:ind w:firstLine="420"/>
        <w:jc w:val="both"/>
      </w:pPr>
      <w:r>
        <w:rPr>
          <w:sz w:val="21"/>
        </w:rPr>
        <w:t>2.</w:t>
      </w:r>
      <w:r>
        <w:rPr>
          <w:sz w:val="21"/>
        </w:rPr>
        <w:t>所有货物保修期为</w:t>
      </w:r>
      <w:r>
        <w:rPr>
          <w:sz w:val="21"/>
          <w:u w:val="single"/>
        </w:rPr>
        <w:t>***</w:t>
      </w:r>
      <w:r>
        <w:rPr>
          <w:sz w:val="21"/>
        </w:rPr>
        <w:t>年，</w:t>
      </w:r>
      <w:r>
        <w:rPr>
          <w:sz w:val="21"/>
        </w:rPr>
        <w:t>乙方提供免费</w:t>
      </w:r>
      <w:r>
        <w:rPr>
          <w:sz w:val="21"/>
          <w:u w:val="single"/>
        </w:rPr>
        <w:t>***</w:t>
      </w:r>
      <w:r>
        <w:rPr>
          <w:sz w:val="21"/>
        </w:rPr>
        <w:t>年上门保修服务和系统维护</w:t>
      </w:r>
      <w:r>
        <w:rPr>
          <w:sz w:val="21"/>
        </w:rPr>
        <w:t>，乙方</w:t>
      </w:r>
      <w:r>
        <w:rPr>
          <w:sz w:val="21"/>
        </w:rPr>
        <w:t>不再收取任何费用，保修期自甲乙双方代表在货物安装调试后的验收证明文件上签字之日起计算。</w:t>
      </w:r>
    </w:p>
    <w:p>
      <w:pPr>
        <w:ind w:firstLine="420"/>
        <w:jc w:val="both"/>
      </w:pPr>
      <w:r>
        <w:rPr>
          <w:sz w:val="21"/>
        </w:rPr>
        <w:t>3.</w:t>
      </w:r>
      <w:r>
        <w:rPr>
          <w:sz w:val="21"/>
        </w:rPr>
        <w:t>保修期内，货物或零部件因质量原因出现故障而造成短期停用时，则保修期和免费维修期相应顺延。如停用时间累计超过</w:t>
      </w:r>
      <w:r>
        <w:rPr>
          <w:sz w:val="21"/>
        </w:rPr>
        <w:t>60</w:t>
      </w:r>
      <w:r>
        <w:rPr>
          <w:sz w:val="21"/>
        </w:rPr>
        <w:t>天则保修期重新计算。</w:t>
      </w:r>
    </w:p>
    <w:p>
      <w:pPr>
        <w:ind w:firstLine="420"/>
        <w:jc w:val="both"/>
      </w:pPr>
      <w:r>
        <w:rPr>
          <w:sz w:val="21"/>
        </w:rPr>
        <w:t>4.</w:t>
      </w:r>
      <w:r>
        <w:rPr>
          <w:sz w:val="21"/>
        </w:rPr>
        <w:t>保修期内，货物如非甲方人为原因而出现的问题由乙方负责包修、包换或包退，并承担修理、调换或退货的实际费用。如果货物同一硬件一个月内连续</w:t>
      </w:r>
      <w:r>
        <w:rPr>
          <w:sz w:val="21"/>
        </w:rPr>
        <w:t>2</w:t>
      </w:r>
      <w:r>
        <w:rPr>
          <w:sz w:val="21"/>
        </w:rPr>
        <w:t>次出现同一故障时，乙方须无偿更换全新货物。</w:t>
      </w:r>
    </w:p>
    <w:p>
      <w:pPr>
        <w:ind w:firstLine="420"/>
        <w:jc w:val="both"/>
      </w:pPr>
      <w:r>
        <w:rPr>
          <w:sz w:val="21"/>
        </w:rPr>
        <w:t>5.</w:t>
      </w:r>
      <w:r>
        <w:rPr>
          <w:sz w:val="21"/>
        </w:rPr>
        <w:t>货物</w:t>
      </w:r>
      <w:r>
        <w:rPr>
          <w:sz w:val="21"/>
        </w:rPr>
        <w:t>（含软件类产品）</w:t>
      </w:r>
      <w:r>
        <w:rPr>
          <w:sz w:val="21"/>
        </w:rPr>
        <w:t>故障报修的响应时间为</w:t>
      </w:r>
      <w:r>
        <w:rPr>
          <w:sz w:val="21"/>
          <w:u w:val="single"/>
        </w:rPr>
        <w:t>***</w:t>
      </w:r>
      <w:r>
        <w:rPr>
          <w:sz w:val="21"/>
        </w:rPr>
        <w:t>小时</w:t>
      </w:r>
      <w:r>
        <w:rPr>
          <w:sz w:val="21"/>
        </w:rPr>
        <w:t>，且在</w:t>
      </w:r>
      <w:r>
        <w:rPr>
          <w:sz w:val="21"/>
          <w:u w:val="single"/>
        </w:rPr>
        <w:t>***</w:t>
      </w:r>
      <w:r>
        <w:rPr>
          <w:sz w:val="21"/>
        </w:rPr>
        <w:t>小时</w:t>
      </w:r>
      <w:r>
        <w:rPr>
          <w:sz w:val="21"/>
        </w:rPr>
        <w:t>内</w:t>
      </w:r>
      <w:r>
        <w:rPr>
          <w:sz w:val="21"/>
        </w:rPr>
        <w:t>（连同前面时间计算）</w:t>
      </w:r>
      <w:r>
        <w:rPr>
          <w:sz w:val="21"/>
        </w:rPr>
        <w:t>到达现场，</w:t>
      </w:r>
      <w:r>
        <w:rPr>
          <w:sz w:val="21"/>
          <w:u w:val="single"/>
        </w:rPr>
        <w:t>***</w:t>
      </w:r>
      <w:r>
        <w:rPr>
          <w:sz w:val="21"/>
        </w:rPr>
        <w:t>小时</w:t>
      </w:r>
      <w:r>
        <w:rPr>
          <w:sz w:val="21"/>
        </w:rPr>
        <w:t>内处理完毕。</w:t>
      </w:r>
      <w:r>
        <w:rPr>
          <w:sz w:val="21"/>
        </w:rPr>
        <w:t>规定时间内未处理完毕的，乙方在</w:t>
      </w:r>
      <w:r>
        <w:rPr>
          <w:sz w:val="21"/>
          <w:u w:val="single"/>
        </w:rPr>
        <w:t>***</w:t>
      </w:r>
      <w:r>
        <w:rPr>
          <w:sz w:val="21"/>
        </w:rPr>
        <w:t>小时内提供不低于同等档次的替代货物供用户使用至故障消除为止。</w:t>
      </w:r>
    </w:p>
    <w:p>
      <w:pPr>
        <w:ind w:firstLine="420"/>
        <w:jc w:val="both"/>
      </w:pPr>
      <w:r>
        <w:rPr>
          <w:sz w:val="21"/>
        </w:rPr>
        <w:t>6.</w:t>
      </w:r>
      <w:r>
        <w:rPr>
          <w:sz w:val="21"/>
        </w:rPr>
        <w:t>负责维修的单位名称：</w:t>
      </w:r>
      <w:r>
        <w:rPr>
          <w:sz w:val="21"/>
        </w:rPr>
        <w:t>******</w:t>
      </w:r>
      <w:r>
        <w:rPr>
          <w:sz w:val="21"/>
        </w:rPr>
        <w:t>公司</w:t>
      </w:r>
    </w:p>
    <w:p>
      <w:pPr>
        <w:ind w:firstLine="420"/>
        <w:jc w:val="both"/>
      </w:pPr>
      <w:r>
        <w:rPr>
          <w:sz w:val="21"/>
        </w:rPr>
        <w:t>地</w:t>
      </w:r>
      <w:r>
        <w:rPr>
          <w:sz w:val="21"/>
        </w:rPr>
        <w:t xml:space="preserve">            </w:t>
      </w:r>
      <w:r>
        <w:rPr>
          <w:sz w:val="21"/>
        </w:rPr>
        <w:t>址：</w:t>
      </w:r>
      <w:r>
        <w:rPr>
          <w:sz w:val="21"/>
        </w:rPr>
        <w:t>**</w:t>
      </w:r>
      <w:r>
        <w:rPr>
          <w:sz w:val="21"/>
        </w:rPr>
        <w:t>市</w:t>
      </w:r>
      <w:r>
        <w:rPr>
          <w:sz w:val="21"/>
        </w:rPr>
        <w:t>**</w:t>
      </w:r>
      <w:r>
        <w:rPr>
          <w:sz w:val="21"/>
        </w:rPr>
        <w:t>路</w:t>
      </w:r>
      <w:r>
        <w:rPr>
          <w:sz w:val="21"/>
        </w:rPr>
        <w:t>**</w:t>
      </w:r>
      <w:r>
        <w:rPr>
          <w:sz w:val="21"/>
        </w:rPr>
        <w:t>号</w:t>
      </w:r>
      <w:r>
        <w:rPr>
          <w:sz w:val="21"/>
        </w:rPr>
        <w:t>**</w:t>
      </w:r>
      <w:r>
        <w:rPr>
          <w:sz w:val="21"/>
        </w:rPr>
        <w:t>室</w:t>
      </w:r>
    </w:p>
    <w:p>
      <w:pPr>
        <w:ind w:firstLine="420"/>
        <w:jc w:val="both"/>
      </w:pPr>
      <w:r>
        <w:rPr>
          <w:sz w:val="21"/>
        </w:rPr>
        <w:t>联</w:t>
      </w:r>
      <w:r>
        <w:rPr>
          <w:sz w:val="21"/>
        </w:rPr>
        <w:t xml:space="preserve">     </w:t>
      </w:r>
      <w:r>
        <w:rPr>
          <w:sz w:val="21"/>
        </w:rPr>
        <w:t>系</w:t>
      </w:r>
      <w:r>
        <w:rPr>
          <w:sz w:val="21"/>
        </w:rPr>
        <w:t xml:space="preserve">    </w:t>
      </w:r>
      <w:r>
        <w:rPr>
          <w:sz w:val="21"/>
        </w:rPr>
        <w:t>人：</w:t>
      </w:r>
      <w:r>
        <w:rPr>
          <w:sz w:val="21"/>
        </w:rPr>
        <w:t xml:space="preserve">***            </w:t>
      </w:r>
    </w:p>
    <w:p>
      <w:pPr>
        <w:ind w:firstLine="420"/>
        <w:jc w:val="both"/>
      </w:pPr>
      <w:r>
        <w:rPr>
          <w:sz w:val="21"/>
        </w:rPr>
        <w:t>电</w:t>
      </w:r>
      <w:r>
        <w:rPr>
          <w:sz w:val="21"/>
        </w:rPr>
        <w:t xml:space="preserve">   </w:t>
      </w:r>
      <w:r>
        <w:rPr>
          <w:sz w:val="21"/>
        </w:rPr>
        <w:t>话：</w:t>
      </w:r>
      <w:r>
        <w:rPr>
          <w:sz w:val="21"/>
        </w:rPr>
        <w:t xml:space="preserve">***          </w:t>
      </w:r>
      <w:r>
        <w:rPr>
          <w:sz w:val="21"/>
        </w:rPr>
        <w:t>手机：</w:t>
      </w:r>
      <w:r>
        <w:rPr>
          <w:sz w:val="21"/>
        </w:rPr>
        <w:t xml:space="preserve">***       </w:t>
      </w:r>
    </w:p>
    <w:p>
      <w:pPr>
        <w:jc w:val="both"/>
      </w:pPr>
      <w:r>
        <w:rPr>
          <w:b/>
          <w:sz w:val="28"/>
        </w:rPr>
        <w:t>八、</w:t>
      </w:r>
      <w:r>
        <w:rPr>
          <w:b/>
          <w:sz w:val="28"/>
        </w:rPr>
        <w:t>违约责任</w:t>
      </w:r>
    </w:p>
    <w:p>
      <w:pPr>
        <w:ind w:firstLine="420"/>
        <w:jc w:val="both"/>
      </w:pPr>
      <w:r>
        <w:rPr>
          <w:sz w:val="21"/>
        </w:rPr>
        <w:t>1.</w:t>
      </w:r>
      <w:r>
        <w:rPr>
          <w:sz w:val="21"/>
        </w:rPr>
        <w:t>甲方无正当理由拒收货物，甲方</w:t>
      </w:r>
      <w:r>
        <w:rPr>
          <w:sz w:val="21"/>
        </w:rPr>
        <w:t>应</w:t>
      </w:r>
      <w:r>
        <w:rPr>
          <w:sz w:val="21"/>
        </w:rPr>
        <w:t>向乙方赔付</w:t>
      </w:r>
      <w:r>
        <w:rPr>
          <w:sz w:val="21"/>
        </w:rPr>
        <w:t>拒收部分</w:t>
      </w:r>
      <w:r>
        <w:rPr>
          <w:sz w:val="21"/>
        </w:rPr>
        <w:t>货</w:t>
      </w:r>
      <w:r>
        <w:rPr>
          <w:sz w:val="21"/>
        </w:rPr>
        <w:t>物的货款金额</w:t>
      </w:r>
      <w:r>
        <w:rPr>
          <w:sz w:val="21"/>
        </w:rPr>
        <w:t>5%</w:t>
      </w:r>
      <w:r>
        <w:rPr>
          <w:sz w:val="21"/>
        </w:rPr>
        <w:t>的违约金。</w:t>
      </w:r>
    </w:p>
    <w:p>
      <w:pPr>
        <w:ind w:firstLine="420"/>
        <w:jc w:val="both"/>
      </w:pPr>
      <w:r>
        <w:rPr>
          <w:sz w:val="21"/>
        </w:rPr>
        <w:t>2.</w:t>
      </w:r>
      <w:r>
        <w:rPr>
          <w:sz w:val="21"/>
        </w:rPr>
        <w:t>甲方无正当理由逾期支付货款的，</w:t>
      </w:r>
      <w:r>
        <w:rPr>
          <w:sz w:val="21"/>
        </w:rPr>
        <w:t>经乙方书面催告后仍不在合理期限内支付的，</w:t>
      </w:r>
      <w:r>
        <w:rPr>
          <w:sz w:val="21"/>
        </w:rPr>
        <w:t>每逾期</w:t>
      </w:r>
      <w:r>
        <w:rPr>
          <w:sz w:val="21"/>
        </w:rPr>
        <w:t>1</w:t>
      </w:r>
      <w:r>
        <w:rPr>
          <w:sz w:val="21"/>
        </w:rPr>
        <w:t>天，甲方向乙方赔付欠款总额的</w:t>
      </w:r>
      <w:r>
        <w:rPr>
          <w:sz w:val="21"/>
        </w:rPr>
        <w:t>3</w:t>
      </w:r>
      <w:r>
        <w:rPr>
          <w:sz w:val="21"/>
        </w:rPr>
        <w:t>‰的滞纳金，累计滞纳金总额不超过欠款</w:t>
      </w:r>
      <w:r>
        <w:rPr>
          <w:sz w:val="21"/>
        </w:rPr>
        <w:t>金</w:t>
      </w:r>
      <w:r>
        <w:rPr>
          <w:sz w:val="21"/>
        </w:rPr>
        <w:t>额的</w:t>
      </w:r>
      <w:r>
        <w:rPr>
          <w:sz w:val="21"/>
        </w:rPr>
        <w:t>5%</w:t>
      </w:r>
      <w:r>
        <w:rPr>
          <w:sz w:val="21"/>
        </w:rPr>
        <w:t>。但由于</w:t>
      </w:r>
      <w:r>
        <w:rPr>
          <w:sz w:val="21"/>
        </w:rPr>
        <w:t>乙方</w:t>
      </w:r>
      <w:r>
        <w:rPr>
          <w:sz w:val="21"/>
        </w:rPr>
        <w:t>不充分履行合同义务</w:t>
      </w:r>
      <w:r>
        <w:rPr>
          <w:sz w:val="21"/>
        </w:rPr>
        <w:t>造成甲方逾期支付的</w:t>
      </w:r>
      <w:r>
        <w:rPr>
          <w:sz w:val="21"/>
        </w:rPr>
        <w:t>情况除外。</w:t>
      </w:r>
    </w:p>
    <w:p>
      <w:pPr>
        <w:ind w:firstLine="420"/>
        <w:jc w:val="both"/>
      </w:pPr>
      <w:r>
        <w:rPr>
          <w:sz w:val="21"/>
        </w:rPr>
        <w:t>3.</w:t>
      </w:r>
      <w:r>
        <w:rPr>
          <w:sz w:val="21"/>
        </w:rPr>
        <w:t>乙方所交</w:t>
      </w:r>
      <w:r>
        <w:rPr>
          <w:sz w:val="21"/>
        </w:rPr>
        <w:t>付</w:t>
      </w:r>
      <w:r>
        <w:rPr>
          <w:sz w:val="21"/>
        </w:rPr>
        <w:t>的货物</w:t>
      </w:r>
      <w:r>
        <w:rPr>
          <w:sz w:val="21"/>
        </w:rPr>
        <w:t>存在与合同约定内容有任何不相符的情况（包括但不限于名称、品牌、规格、型号、产地、数量、技术指标等）均视为乙方违约，</w:t>
      </w:r>
      <w:r>
        <w:rPr>
          <w:sz w:val="21"/>
        </w:rPr>
        <w:t>甲方有权拒收货物</w:t>
      </w:r>
      <w:r>
        <w:rPr>
          <w:sz w:val="21"/>
        </w:rPr>
        <w:t>，乙方应支付合同总金额</w:t>
      </w:r>
      <w:r>
        <w:rPr>
          <w:sz w:val="21"/>
        </w:rPr>
        <w:t>5%</w:t>
      </w:r>
      <w:r>
        <w:rPr>
          <w:sz w:val="21"/>
        </w:rPr>
        <w:t>的违约金。如甲方同意乙方整改的，</w:t>
      </w:r>
      <w:r>
        <w:rPr>
          <w:sz w:val="21"/>
        </w:rPr>
        <w:t>乙</w:t>
      </w:r>
      <w:r>
        <w:rPr>
          <w:sz w:val="21"/>
        </w:rPr>
        <w:t>方除应交纳的前述违约金外，还必须在甲方规定的期限内整改到位（包括但不限于退换货），并承担由</w:t>
      </w:r>
      <w:r>
        <w:rPr>
          <w:sz w:val="21"/>
        </w:rPr>
        <w:t>此产生的全部费用。如果甲方不同意乙方整改的，视为乙方严重违约，甲方可以单方面解除合同，乙方需要退还甲方已支付的所有款项并赔付合同总金额</w:t>
      </w:r>
      <w:r>
        <w:rPr>
          <w:sz w:val="21"/>
        </w:rPr>
        <w:t>10%</w:t>
      </w:r>
      <w:r>
        <w:rPr>
          <w:sz w:val="21"/>
        </w:rPr>
        <w:t>的违约金。</w:t>
      </w:r>
    </w:p>
    <w:p>
      <w:pPr>
        <w:ind w:firstLine="420"/>
        <w:jc w:val="both"/>
      </w:pPr>
      <w:r>
        <w:rPr>
          <w:sz w:val="21"/>
        </w:rPr>
        <w:t>4.</w:t>
      </w:r>
      <w:r>
        <w:rPr>
          <w:sz w:val="21"/>
        </w:rPr>
        <w:t>乙方逾期交货的，每逾期</w:t>
      </w:r>
      <w:r>
        <w:rPr>
          <w:sz w:val="21"/>
        </w:rPr>
        <w:t>1</w:t>
      </w:r>
      <w:r>
        <w:rPr>
          <w:sz w:val="21"/>
        </w:rPr>
        <w:t>天，乙方向甲方赔付逾期交货部分货款</w:t>
      </w:r>
      <w:r>
        <w:rPr>
          <w:sz w:val="21"/>
        </w:rPr>
        <w:t>金</w:t>
      </w:r>
      <w:r>
        <w:rPr>
          <w:sz w:val="21"/>
        </w:rPr>
        <w:t>额</w:t>
      </w:r>
      <w:r>
        <w:rPr>
          <w:sz w:val="21"/>
        </w:rPr>
        <w:t>3</w:t>
      </w:r>
      <w:r>
        <w:rPr>
          <w:sz w:val="21"/>
        </w:rPr>
        <w:t>‰的滞纳金，累计滞纳金总额不超过</w:t>
      </w:r>
      <w:r>
        <w:rPr>
          <w:sz w:val="21"/>
        </w:rPr>
        <w:t>合同总金额的</w:t>
      </w:r>
      <w:r>
        <w:rPr>
          <w:sz w:val="21"/>
        </w:rPr>
        <w:t>5%</w:t>
      </w:r>
      <w:r>
        <w:rPr>
          <w:sz w:val="21"/>
        </w:rPr>
        <w:t>。乙方</w:t>
      </w:r>
      <w:r>
        <w:rPr>
          <w:sz w:val="21"/>
        </w:rPr>
        <w:t>逾期交货超过</w:t>
      </w:r>
      <w:r>
        <w:rPr>
          <w:sz w:val="21"/>
        </w:rPr>
        <w:t>1</w:t>
      </w:r>
      <w:r>
        <w:rPr>
          <w:sz w:val="21"/>
        </w:rPr>
        <w:t>5</w:t>
      </w:r>
      <w:r>
        <w:rPr>
          <w:sz w:val="21"/>
        </w:rPr>
        <w:t>天，</w:t>
      </w:r>
      <w:r>
        <w:rPr>
          <w:sz w:val="21"/>
        </w:rPr>
        <w:t>视为乙方严重违约，</w:t>
      </w:r>
      <w:r>
        <w:rPr>
          <w:sz w:val="21"/>
        </w:rPr>
        <w:t>甲方</w:t>
      </w:r>
      <w:r>
        <w:rPr>
          <w:sz w:val="21"/>
        </w:rPr>
        <w:t>可以单方面解除</w:t>
      </w:r>
      <w:r>
        <w:rPr>
          <w:sz w:val="21"/>
        </w:rPr>
        <w:t>合同</w:t>
      </w:r>
      <w:r>
        <w:rPr>
          <w:sz w:val="21"/>
        </w:rPr>
        <w:t>，</w:t>
      </w:r>
      <w:r>
        <w:rPr>
          <w:sz w:val="21"/>
        </w:rPr>
        <w:t>乙方需要退还甲方已支付的所有款项并赔付合同总金额</w:t>
      </w:r>
      <w:r>
        <w:rPr>
          <w:sz w:val="21"/>
        </w:rPr>
        <w:t>10%</w:t>
      </w:r>
      <w:r>
        <w:rPr>
          <w:sz w:val="21"/>
        </w:rPr>
        <w:t>的违约金。</w:t>
      </w:r>
    </w:p>
    <w:p>
      <w:pPr>
        <w:ind w:firstLine="420"/>
        <w:jc w:val="both"/>
      </w:pPr>
      <w:r>
        <w:rPr>
          <w:sz w:val="21"/>
        </w:rPr>
        <w:t>5</w:t>
      </w:r>
      <w:r>
        <w:rPr>
          <w:sz w:val="21"/>
        </w:rPr>
        <w:t>.</w:t>
      </w:r>
      <w:r>
        <w:rPr>
          <w:sz w:val="21"/>
        </w:rPr>
        <w:t>乙方如没有按合同规定履行售后服务承诺，甲方可</w:t>
      </w:r>
      <w:r>
        <w:rPr>
          <w:sz w:val="21"/>
        </w:rPr>
        <w:t>请</w:t>
      </w:r>
      <w:r>
        <w:rPr>
          <w:sz w:val="21"/>
        </w:rPr>
        <w:t>第三方单位进行修复，</w:t>
      </w:r>
      <w:r>
        <w:rPr>
          <w:sz w:val="21"/>
        </w:rPr>
        <w:t>由此造成的包括但不限于第三方的维保费用、甲方的其他经济损失等均由乙方承担。</w:t>
      </w:r>
    </w:p>
    <w:p>
      <w:pPr>
        <w:ind w:firstLine="420"/>
        <w:jc w:val="both"/>
      </w:pPr>
      <w:r>
        <w:rPr>
          <w:sz w:val="21"/>
        </w:rPr>
        <w:t>6</w:t>
      </w:r>
      <w:r>
        <w:rPr>
          <w:sz w:val="21"/>
        </w:rPr>
        <w:t>.</w:t>
      </w:r>
      <w:r>
        <w:rPr>
          <w:sz w:val="21"/>
        </w:rPr>
        <w:t>乙方有以下情形之一的，甲方可以单方面解除合同，乙方需退还甲方已支付的所有款项，并按合同总金额</w:t>
      </w:r>
      <w:r>
        <w:rPr>
          <w:sz w:val="21"/>
        </w:rPr>
        <w:t>10%</w:t>
      </w:r>
      <w:r>
        <w:rPr>
          <w:sz w:val="21"/>
        </w:rPr>
        <w:t>向甲方赔付违约金，违约金不足以弥补甲方损失的，乙方应另行赔付。具体情形如下：</w:t>
      </w:r>
    </w:p>
    <w:p>
      <w:pPr>
        <w:ind w:firstLine="420"/>
        <w:jc w:val="both"/>
      </w:pPr>
      <w:r>
        <w:rPr>
          <w:sz w:val="21"/>
        </w:rPr>
        <w:t>（</w:t>
      </w:r>
      <w:r>
        <w:rPr>
          <w:sz w:val="21"/>
        </w:rPr>
        <w:t>1</w:t>
      </w:r>
      <w:r>
        <w:rPr>
          <w:sz w:val="21"/>
        </w:rPr>
        <w:t>）乙方交付的货物存在侵犯他人知识产权、肖像权、技术秘密、</w:t>
      </w:r>
      <w:r>
        <w:rPr>
          <w:sz w:val="21"/>
        </w:rPr>
        <w:t>商业</w:t>
      </w:r>
      <w:r>
        <w:rPr>
          <w:sz w:val="21"/>
        </w:rPr>
        <w:t>秘密或其他任何权益的；</w:t>
      </w:r>
    </w:p>
    <w:p>
      <w:pPr>
        <w:ind w:firstLine="420"/>
        <w:jc w:val="both"/>
      </w:pPr>
      <w:r>
        <w:rPr>
          <w:sz w:val="21"/>
        </w:rPr>
        <w:t>（</w:t>
      </w:r>
      <w:r>
        <w:rPr>
          <w:sz w:val="21"/>
        </w:rPr>
        <w:t>2</w:t>
      </w:r>
      <w:r>
        <w:rPr>
          <w:sz w:val="21"/>
        </w:rPr>
        <w:t>）乙方履行义务不符合同约定，经甲方提出后在合理期限内仍未整改到位的；</w:t>
      </w:r>
    </w:p>
    <w:p>
      <w:pPr>
        <w:ind w:firstLine="420"/>
        <w:jc w:val="both"/>
      </w:pPr>
      <w:r>
        <w:rPr>
          <w:sz w:val="21"/>
        </w:rPr>
        <w:t>（</w:t>
      </w:r>
      <w:r>
        <w:rPr>
          <w:sz w:val="21"/>
        </w:rPr>
        <w:t>3</w:t>
      </w:r>
      <w:r>
        <w:rPr>
          <w:sz w:val="21"/>
        </w:rPr>
        <w:t>）未经甲方书面同意，乙方将本合同项下的权利或义务转让，或将本合同项下服务转包或分包的；</w:t>
      </w:r>
    </w:p>
    <w:p>
      <w:pPr>
        <w:ind w:firstLine="420"/>
        <w:jc w:val="both"/>
      </w:pPr>
      <w:r>
        <w:rPr>
          <w:sz w:val="21"/>
        </w:rPr>
        <w:t>（</w:t>
      </w:r>
      <w:r>
        <w:rPr>
          <w:sz w:val="21"/>
        </w:rPr>
        <w:t>4</w:t>
      </w:r>
      <w:r>
        <w:rPr>
          <w:sz w:val="21"/>
        </w:rPr>
        <w:t>）国家法律规定的其合同解除的情形。</w:t>
      </w:r>
    </w:p>
    <w:p>
      <w:pPr>
        <w:jc w:val="both"/>
      </w:pPr>
      <w:r>
        <w:rPr>
          <w:b/>
          <w:sz w:val="28"/>
        </w:rPr>
        <w:t>九、适用法律与争议解决</w:t>
      </w:r>
    </w:p>
    <w:p>
      <w:pPr>
        <w:ind w:firstLine="420"/>
        <w:jc w:val="both"/>
      </w:pPr>
      <w:r>
        <w:rPr>
          <w:sz w:val="21"/>
        </w:rPr>
        <w:t>1.</w:t>
      </w:r>
      <w:r>
        <w:rPr>
          <w:sz w:val="21"/>
        </w:rPr>
        <w:t>本合同的成立、有效性、解释、履行、签署、修订和终止以及争议的解决均应适用中华人民共和国法律。</w:t>
      </w:r>
    </w:p>
    <w:p>
      <w:pPr>
        <w:ind w:firstLine="420"/>
        <w:jc w:val="both"/>
      </w:pPr>
      <w:r>
        <w:rPr>
          <w:sz w:val="21"/>
        </w:rPr>
        <w:t>2.</w:t>
      </w:r>
      <w:r>
        <w:rPr>
          <w:sz w:val="21"/>
        </w:rPr>
        <w:t>因货物的质量问题发生争议，</w:t>
      </w:r>
      <w:r>
        <w:rPr>
          <w:sz w:val="21"/>
        </w:rPr>
        <w:t>可共同或单方委托</w:t>
      </w:r>
      <w:r>
        <w:rPr>
          <w:sz w:val="21"/>
        </w:rPr>
        <w:t>质量鉴定单位进行质量鉴定</w:t>
      </w:r>
      <w:r>
        <w:rPr>
          <w:sz w:val="21"/>
        </w:rPr>
        <w:t>；</w:t>
      </w:r>
      <w:r>
        <w:rPr>
          <w:sz w:val="21"/>
        </w:rPr>
        <w:t>货物符合质量标准的，鉴定费由甲方承担，货物不符合质量标准的，鉴定费由乙方承担。</w:t>
      </w:r>
    </w:p>
    <w:p>
      <w:pPr>
        <w:ind w:firstLine="420"/>
        <w:jc w:val="both"/>
      </w:pPr>
      <w:r>
        <w:rPr>
          <w:sz w:val="21"/>
        </w:rPr>
        <w:t>3</w:t>
      </w:r>
      <w:r>
        <w:rPr>
          <w:sz w:val="21"/>
        </w:rPr>
        <w:t>.</w:t>
      </w:r>
      <w:r>
        <w:rPr>
          <w:sz w:val="21"/>
        </w:rPr>
        <w:t>合同任一方因受不</w:t>
      </w:r>
      <w:r>
        <w:rPr>
          <w:sz w:val="21"/>
        </w:rPr>
        <w:t>可抗</w:t>
      </w:r>
      <w:r>
        <w:rPr>
          <w:sz w:val="21"/>
        </w:rPr>
        <w:t>力事件影响导致无法履行合同时，该方可以免责。但是，受不可抗力事件影响的一方须尽快将事件发生情况通知对方，并在不可抗力事件影响消除之日起</w:t>
      </w:r>
      <w:r>
        <w:rPr>
          <w:sz w:val="21"/>
        </w:rPr>
        <w:t>10</w:t>
      </w:r>
      <w:r>
        <w:rPr>
          <w:sz w:val="21"/>
        </w:rPr>
        <w:t>个工作日内将由官方机构出具的不可抗力事件证明交给对方。未能提供以上证明的，不能免除违约责任。</w:t>
      </w:r>
    </w:p>
    <w:p>
      <w:pPr>
        <w:ind w:firstLine="420"/>
        <w:jc w:val="both"/>
      </w:pPr>
      <w:r>
        <w:rPr>
          <w:sz w:val="21"/>
        </w:rPr>
        <w:t>4.</w:t>
      </w:r>
      <w:r>
        <w:rPr>
          <w:sz w:val="21"/>
        </w:rPr>
        <w:t>由于其他非不可抗力因素导致</w:t>
      </w:r>
      <w:r>
        <w:rPr>
          <w:sz w:val="21"/>
        </w:rPr>
        <w:t>合同无法继续履行时，</w:t>
      </w:r>
      <w:r>
        <w:rPr>
          <w:sz w:val="21"/>
        </w:rPr>
        <w:t>责任方</w:t>
      </w:r>
      <w:r>
        <w:rPr>
          <w:sz w:val="21"/>
        </w:rPr>
        <w:t>应及时通知</w:t>
      </w:r>
      <w:r>
        <w:rPr>
          <w:sz w:val="21"/>
        </w:rPr>
        <w:t>对方</w:t>
      </w:r>
      <w:r>
        <w:rPr>
          <w:sz w:val="21"/>
        </w:rPr>
        <w:t>办理合同终止协议，并由责任方赔偿对方由此造成的经济损失。</w:t>
      </w:r>
    </w:p>
    <w:p>
      <w:pPr>
        <w:ind w:firstLine="420"/>
        <w:jc w:val="both"/>
      </w:pPr>
      <w:r>
        <w:rPr>
          <w:sz w:val="21"/>
        </w:rPr>
        <w:t>5.</w:t>
      </w:r>
      <w:r>
        <w:rPr>
          <w:sz w:val="21"/>
        </w:rPr>
        <w:t>凡与本合同有关而引起的一切争议，</w:t>
      </w:r>
      <w:r>
        <w:rPr>
          <w:sz w:val="21"/>
        </w:rPr>
        <w:t>双方</w:t>
      </w:r>
      <w:r>
        <w:rPr>
          <w:sz w:val="21"/>
        </w:rPr>
        <w:t>应首先通过友好协商解决</w:t>
      </w:r>
      <w:r>
        <w:rPr>
          <w:sz w:val="21"/>
        </w:rPr>
        <w:t>。</w:t>
      </w:r>
      <w:r>
        <w:rPr>
          <w:sz w:val="21"/>
        </w:rPr>
        <w:t>如经协商后仍不能达成协议时，任何一方可以向</w:t>
      </w:r>
      <w:r>
        <w:rPr>
          <w:sz w:val="21"/>
        </w:rPr>
        <w:t>甲方所在地人民</w:t>
      </w:r>
      <w:r>
        <w:rPr>
          <w:sz w:val="21"/>
        </w:rPr>
        <w:t>法院提出诉讼。</w:t>
      </w:r>
    </w:p>
    <w:p>
      <w:pPr>
        <w:jc w:val="both"/>
      </w:pPr>
      <w:r>
        <w:rPr>
          <w:b/>
          <w:sz w:val="28"/>
        </w:rPr>
        <w:t>十、风险转移与保密责任</w:t>
      </w:r>
    </w:p>
    <w:p>
      <w:pPr>
        <w:ind w:firstLine="420"/>
        <w:jc w:val="both"/>
      </w:pPr>
      <w:r>
        <w:rPr>
          <w:sz w:val="21"/>
        </w:rPr>
        <w:t>1.</w:t>
      </w:r>
      <w:r>
        <w:rPr>
          <w:sz w:val="21"/>
        </w:rPr>
        <w:t>货物毁损、灭失的风险，在验收合格并交付前由乙方承担，在验收合格并交付后由甲方承担。</w:t>
      </w:r>
    </w:p>
    <w:p>
      <w:pPr>
        <w:ind w:firstLine="420"/>
        <w:jc w:val="both"/>
      </w:pPr>
      <w:r>
        <w:rPr>
          <w:sz w:val="21"/>
        </w:rPr>
        <w:t>2.</w:t>
      </w:r>
      <w:r>
        <w:rPr>
          <w:sz w:val="21"/>
        </w:rPr>
        <w:t>甲方因货物不符合合同约定而拒收的，或者合同解除的，货物的毁损、灭失风险均由乙方承担。</w:t>
      </w:r>
    </w:p>
    <w:p>
      <w:pPr>
        <w:ind w:firstLine="420"/>
        <w:jc w:val="both"/>
      </w:pPr>
      <w:r>
        <w:rPr>
          <w:sz w:val="21"/>
        </w:rPr>
        <w:t>3.</w:t>
      </w:r>
      <w:r>
        <w:rPr>
          <w:sz w:val="21"/>
        </w:rPr>
        <w:t>产权和风险的转移，不影响甲方追究乙方违约责任的权利。</w:t>
      </w:r>
    </w:p>
    <w:p>
      <w:pPr>
        <w:ind w:firstLine="420"/>
        <w:jc w:val="both"/>
      </w:pPr>
      <w:r>
        <w:rPr>
          <w:sz w:val="21"/>
        </w:rPr>
        <w:t>4.</w:t>
      </w:r>
      <w:r>
        <w:rPr>
          <w:sz w:val="21"/>
        </w:rPr>
        <w:t>合同两方均应保守通过签订履行本合同而获得的对方之商业及技术秘密，包括本合同文本，相关技术文件、相关数据以及其他有关信息，</w:t>
      </w:r>
      <w:r>
        <w:rPr>
          <w:sz w:val="21"/>
        </w:rPr>
        <w:t>无论以何种形式或载于何种载体，无论在披露时是否以口头、图像或以书面方式均具有保密性。</w:t>
      </w:r>
      <w:r>
        <w:rPr>
          <w:sz w:val="21"/>
        </w:rPr>
        <w:t>任何一方违反上述规定的，应赔偿合同守约方的损失。</w:t>
      </w:r>
      <w:r>
        <w:rPr>
          <w:sz w:val="21"/>
        </w:rPr>
        <w:t>合同范围内如涉及国家机密的，按照《中华人民共和国保守国家秘密法》执行，受中华人民共和国的法律管辖并按照中国的法律进行解释及处理。</w:t>
      </w:r>
      <w:r>
        <w:rPr>
          <w:sz w:val="21"/>
        </w:rPr>
        <w:t>本保密条款及保密责任不因合同解除或终止而消失。</w:t>
      </w:r>
    </w:p>
    <w:p>
      <w:pPr>
        <w:jc w:val="both"/>
      </w:pPr>
      <w:r>
        <w:rPr>
          <w:b/>
          <w:sz w:val="28"/>
        </w:rPr>
        <w:t>十一、其他约定条款</w:t>
      </w:r>
    </w:p>
    <w:p>
      <w:pPr>
        <w:ind w:firstLine="420"/>
        <w:jc w:val="both"/>
      </w:pPr>
      <w:r>
        <w:rPr>
          <w:sz w:val="21"/>
        </w:rPr>
        <w:t>1.</w:t>
      </w:r>
      <w:r>
        <w:rPr>
          <w:sz w:val="21"/>
        </w:rPr>
        <w:t>合同生效：合同经</w:t>
      </w:r>
      <w:r>
        <w:rPr>
          <w:sz w:val="21"/>
        </w:rPr>
        <w:t>各</w:t>
      </w:r>
      <w:r>
        <w:rPr>
          <w:sz w:val="21"/>
        </w:rPr>
        <w:t>方授权代表签字并经单位盖章；合同生效日期以后一个签字的日期为准。</w:t>
      </w:r>
    </w:p>
    <w:p>
      <w:pPr>
        <w:ind w:firstLine="420"/>
        <w:jc w:val="both"/>
      </w:pPr>
      <w:r>
        <w:rPr>
          <w:sz w:val="21"/>
        </w:rPr>
        <w:t>2.</w:t>
      </w:r>
      <w:r>
        <w:rPr>
          <w:sz w:val="21"/>
        </w:rPr>
        <w:t>开标结果通知书、投标文件、招标文件及本合同之所有附件均为组成部分，与本合同具有同样法律效力，解释的顺序以文件生成时间在后的为准。</w:t>
      </w:r>
    </w:p>
    <w:p>
      <w:pPr>
        <w:ind w:firstLine="420"/>
        <w:jc w:val="both"/>
      </w:pPr>
      <w:r>
        <w:rPr>
          <w:sz w:val="21"/>
        </w:rPr>
        <w:t>3.</w:t>
      </w:r>
      <w:r>
        <w:rPr>
          <w:sz w:val="21"/>
        </w:rPr>
        <w:t>在执行本合同的过程中，所有经甲乙双方签署确认的文件（包括会议纪要、补充协议、合同修改书、往来信函等）均为本合同的有效组成部分，其生效日期为双方均签字盖章或确认之日。</w:t>
      </w:r>
    </w:p>
    <w:p>
      <w:pPr>
        <w:ind w:firstLine="420"/>
        <w:jc w:val="both"/>
      </w:pPr>
      <w:r>
        <w:rPr>
          <w:sz w:val="21"/>
        </w:rPr>
        <w:t>4.</w:t>
      </w:r>
      <w:r>
        <w:rPr>
          <w:sz w:val="21"/>
        </w:rPr>
        <w:t>合同任</w:t>
      </w:r>
      <w:r>
        <w:rPr>
          <w:sz w:val="21"/>
        </w:rPr>
        <w:t>一方的名称、地址、电话、银行账号信息有变更，应在变更之日起</w:t>
      </w:r>
      <w:r>
        <w:rPr>
          <w:sz w:val="21"/>
        </w:rPr>
        <w:t>5</w:t>
      </w:r>
      <w:r>
        <w:rPr>
          <w:sz w:val="21"/>
        </w:rPr>
        <w:t>日内书面通知对方，未履行书面通知义务的，另一方按原合同信息邮寄相关材料、或通知相关信息、或支付相关款项即视为履行送达义务</w:t>
      </w:r>
      <w:r>
        <w:rPr>
          <w:sz w:val="21"/>
        </w:rPr>
        <w:t>。合同任一方因公司注销、银行账号注销或冻结等导致无法收到款项的，由该方承担相应后果。</w:t>
      </w:r>
    </w:p>
    <w:p>
      <w:pPr>
        <w:ind w:firstLine="420"/>
        <w:jc w:val="both"/>
      </w:pPr>
      <w:r>
        <w:rPr>
          <w:sz w:val="21"/>
        </w:rPr>
        <w:t>5.</w:t>
      </w:r>
      <w:r>
        <w:rPr>
          <w:sz w:val="21"/>
        </w:rPr>
        <w:t>在履行合同过程中，乙方的委托代理人、项目联系人、经办人的行为、意思表示及对甲方所作的任何承诺、回复、通知等，都对乙方直接具有约束力；甲方的通知、文书、文件、资料等送达该人时，即</w:t>
      </w:r>
      <w:r>
        <w:rPr>
          <w:sz w:val="21"/>
        </w:rPr>
        <w:t>视为送达乙方；甲方当面交付上述材料的，在交付之时视为送达；以邮寄方式交付的，寄出、发出或者投邮后即视为送达；通过电子邮件、传真、短信方式通知的，自甲方向乙方发出即视为送达。</w:t>
      </w:r>
    </w:p>
    <w:p>
      <w:pPr>
        <w:ind w:firstLine="440"/>
        <w:jc w:val="both"/>
      </w:pPr>
      <w:r>
        <w:rPr>
          <w:sz w:val="22"/>
        </w:rPr>
        <w:t>6</w:t>
      </w:r>
      <w:r>
        <w:rPr>
          <w:sz w:val="22"/>
        </w:rPr>
        <w:t>.</w:t>
      </w:r>
      <w:r>
        <w:rPr>
          <w:sz w:val="22"/>
        </w:rPr>
        <w:t>本合同项下的采购资金来源自政府财政贴息贷款，如甲方设备贴息贷款申请未通过国家相关部门的财政贴息审核，则本合同于甲方通知发出之日自动终止，甲方无须承担任何责任，双方配合签署终止本合同的协议文书，因项目招标所产生的采购代理服务费由甲方承担并支付给乙方（乙方已付给采购代理机构时适用）或采购代理机构（乙方未付给采购代理机构时适用）。</w:t>
      </w:r>
    </w:p>
    <w:p>
      <w:pPr>
        <w:ind w:firstLine="420"/>
        <w:jc w:val="both"/>
      </w:pPr>
      <w:r>
        <w:rPr>
          <w:sz w:val="21"/>
        </w:rPr>
        <w:t>7</w:t>
      </w:r>
      <w:r>
        <w:rPr>
          <w:sz w:val="21"/>
        </w:rPr>
        <w:t>.</w:t>
      </w:r>
      <w:r>
        <w:rPr>
          <w:sz w:val="21"/>
        </w:rPr>
        <w:t>本合同书一式</w:t>
      </w:r>
      <w:r>
        <w:rPr>
          <w:sz w:val="21"/>
        </w:rPr>
        <w:t>四</w:t>
      </w:r>
      <w:r>
        <w:rPr>
          <w:sz w:val="21"/>
        </w:rPr>
        <w:t>份，均为正本</w:t>
      </w:r>
      <w:r>
        <w:rPr>
          <w:sz w:val="21"/>
        </w:rPr>
        <w:t>，</w:t>
      </w:r>
      <w:r>
        <w:rPr>
          <w:sz w:val="21"/>
        </w:rPr>
        <w:t>具有同等法律效力，甲方执</w:t>
      </w:r>
      <w:r>
        <w:rPr>
          <w:sz w:val="21"/>
        </w:rPr>
        <w:t>三</w:t>
      </w:r>
      <w:r>
        <w:rPr>
          <w:sz w:val="21"/>
        </w:rPr>
        <w:t>份</w:t>
      </w:r>
      <w:r>
        <w:rPr>
          <w:sz w:val="21"/>
        </w:rPr>
        <w:t>，乙方一份。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359"/>
        <w:gridCol w:w="2265"/>
        <w:gridCol w:w="1359"/>
        <w:gridCol w:w="3322"/>
      </w:tblGrid>
      <w:tr>
        <w:tc>
          <w:tcPr>
            <w:tcW w:type="dxa" w:w="1359"/>
            <w:tcBorders>
              <w:top w:val="single" w:color="000000" w:sz="4"/>
              <w:left w:val="single" w:color="000000" w:sz="4"/>
              <w:bottom w:val="single" w:color="000000" w:sz="4"/>
              <w:right w:val="single" w:color="000000" w:sz="4"/>
            </w:tcBorders>
            <w:vAlign w:val="top"/>
          </w:tcPr>
          <w:p>
            <w:pPr>
              <w:jc w:val="both"/>
            </w:pPr>
            <w:r>
              <w:rPr>
                <w:sz w:val="21"/>
              </w:rPr>
              <w:t>甲　　　方：</w:t>
            </w:r>
          </w:p>
        </w:tc>
        <w:tc>
          <w:tcPr>
            <w:tcW w:type="dxa" w:w="2265"/>
            <w:tcBorders>
              <w:top w:val="single" w:color="000000" w:sz="4"/>
              <w:left w:val="single" w:color="000000" w:sz="4"/>
              <w:bottom w:val="single" w:color="000000" w:sz="4"/>
              <w:right w:val="single" w:color="000000" w:sz="4"/>
            </w:tcBorders>
            <w:vAlign w:val="top"/>
          </w:tcPr>
          <w:p>
            <w:pPr>
              <w:jc w:val="both"/>
            </w:pPr>
            <w:r>
              <w:rPr>
                <w:sz w:val="21"/>
              </w:rPr>
              <w:t>广东工业大学</w:t>
            </w:r>
          </w:p>
        </w:tc>
        <w:tc>
          <w:tcPr>
            <w:tcW w:type="dxa" w:w="1359"/>
            <w:tcBorders>
              <w:top w:val="single" w:color="000000" w:sz="4"/>
              <w:left w:val="single" w:color="000000" w:sz="4"/>
              <w:bottom w:val="single" w:color="000000" w:sz="4"/>
              <w:right w:val="single" w:color="000000" w:sz="4"/>
            </w:tcBorders>
            <w:vAlign w:val="top"/>
          </w:tcPr>
          <w:p>
            <w:pPr>
              <w:jc w:val="both"/>
            </w:pPr>
            <w:r>
              <w:rPr>
                <w:sz w:val="21"/>
              </w:rPr>
              <w:t>乙　　　方：</w:t>
            </w:r>
          </w:p>
        </w:tc>
        <w:tc>
          <w:tcPr>
            <w:tcW w:type="dxa" w:w="3322"/>
            <w:tcBorders>
              <w:top w:val="single" w:color="000000" w:sz="4"/>
              <w:left w:val="single" w:color="000000" w:sz="4"/>
              <w:bottom w:val="single" w:color="000000" w:sz="4"/>
              <w:right w:val="single" w:color="000000" w:sz="4"/>
            </w:tcBorders>
            <w:vAlign w:val="top"/>
          </w:tcPr>
          <w:p>
            <w:pPr>
              <w:jc w:val="both"/>
            </w:pPr>
            <w:r>
              <w:rPr>
                <w:sz w:val="21"/>
              </w:rPr>
              <w:t>****</w:t>
            </w:r>
            <w:r>
              <w:rPr>
                <w:sz w:val="21"/>
              </w:rPr>
              <w:t>有限公司</w:t>
            </w: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地　　　址：</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广州市广州大学城外环西路</w:t>
            </w:r>
            <w:r>
              <w:rPr>
                <w:sz w:val="21"/>
              </w:rPr>
              <w:t>100</w:t>
            </w:r>
            <w:r>
              <w:rPr>
                <w:sz w:val="21"/>
              </w:rPr>
              <w:t>号</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地　　　址：</w:t>
            </w:r>
          </w:p>
        </w:tc>
        <w:tc>
          <w:tcPr>
            <w:tcW w:type="dxa" w:w="3322"/>
            <w:tcBorders>
              <w:top w:val="none" w:color="000000" w:sz="4"/>
              <w:left w:val="single" w:color="000000" w:sz="4"/>
              <w:bottom w:val="single" w:color="000000" w:sz="4"/>
              <w:right w:val="single" w:color="000000" w:sz="4"/>
            </w:tcBorders>
            <w:vAlign w:val="top"/>
          </w:tcPr>
          <w:p>
            <w:pPr>
              <w:jc w:val="both"/>
            </w:pPr>
            <w:r>
              <w:rPr>
                <w:sz w:val="21"/>
              </w:rPr>
              <w:t>*****</w:t>
            </w:r>
            <w:r>
              <w:rPr>
                <w:sz w:val="21"/>
              </w:rPr>
              <w:t>市</w:t>
            </w:r>
            <w:r>
              <w:rPr>
                <w:sz w:val="21"/>
              </w:rPr>
              <w:t>*****</w:t>
            </w:r>
            <w:r>
              <w:rPr>
                <w:sz w:val="21"/>
              </w:rPr>
              <w:t>路</w:t>
            </w:r>
            <w:r>
              <w:rPr>
                <w:sz w:val="21"/>
              </w:rPr>
              <w:t>*****</w:t>
            </w:r>
            <w:r>
              <w:rPr>
                <w:sz w:val="21"/>
              </w:rPr>
              <w:t>号</w:t>
            </w:r>
            <w:r>
              <w:rPr>
                <w:sz w:val="21"/>
              </w:rPr>
              <w:t>*****</w:t>
            </w:r>
            <w:r>
              <w:rPr>
                <w:sz w:val="21"/>
              </w:rPr>
              <w:t>室</w:t>
            </w: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开户银行：</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广州市工行三支行</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开户银行：</w:t>
            </w:r>
          </w:p>
        </w:tc>
        <w:tc>
          <w:tcPr>
            <w:tcW w:type="dxa" w:w="3322"/>
            <w:tcBorders>
              <w:top w:val="none" w:color="000000" w:sz="4"/>
              <w:left w:val="single" w:color="000000" w:sz="4"/>
              <w:bottom w:val="single" w:color="000000" w:sz="4"/>
              <w:right w:val="single" w:color="000000" w:sz="4"/>
            </w:tcBorders>
            <w:vAlign w:val="top"/>
          </w:tcPr>
          <w:p>
            <w:pPr>
              <w:jc w:val="both"/>
            </w:pP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银行账号：</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3602028909000196985</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银行账号：</w:t>
            </w:r>
          </w:p>
        </w:tc>
        <w:tc>
          <w:tcPr>
            <w:tcW w:type="dxa" w:w="3322"/>
            <w:tcBorders>
              <w:top w:val="none" w:color="000000" w:sz="4"/>
              <w:left w:val="single" w:color="000000" w:sz="4"/>
              <w:bottom w:val="single" w:color="000000" w:sz="4"/>
              <w:right w:val="single" w:color="000000" w:sz="4"/>
            </w:tcBorders>
            <w:vAlign w:val="top"/>
          </w:tcPr>
          <w:p>
            <w:pPr>
              <w:jc w:val="both"/>
            </w:pP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纳税人识别号：</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12440000455860226X</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银行联行号</w:t>
            </w:r>
          </w:p>
        </w:tc>
        <w:tc>
          <w:tcPr>
            <w:tcW w:type="dxa" w:w="3322"/>
            <w:tcBorders>
              <w:top w:val="none" w:color="000000" w:sz="4"/>
              <w:left w:val="single" w:color="000000" w:sz="4"/>
              <w:bottom w:val="single" w:color="000000" w:sz="4"/>
              <w:right w:val="single" w:color="000000" w:sz="4"/>
            </w:tcBorders>
            <w:vAlign w:val="top"/>
          </w:tcPr>
          <w:p>
            <w:pPr>
              <w:jc w:val="both"/>
            </w:pPr>
            <w:r>
              <w:rPr>
                <w:sz w:val="21"/>
              </w:rPr>
              <w:t>12</w:t>
            </w:r>
            <w:r>
              <w:rPr>
                <w:sz w:val="21"/>
              </w:rPr>
              <w:t>位，必填项</w:t>
            </w: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法定代表人：</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邱学青</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法定代表人：</w:t>
            </w:r>
          </w:p>
        </w:tc>
        <w:tc>
          <w:tcPr>
            <w:tcW w:type="dxa" w:w="3322"/>
            <w:tcBorders>
              <w:top w:val="none" w:color="000000" w:sz="4"/>
              <w:left w:val="single" w:color="000000" w:sz="4"/>
              <w:bottom w:val="single" w:color="000000" w:sz="4"/>
              <w:right w:val="single" w:color="000000" w:sz="4"/>
            </w:tcBorders>
            <w:vAlign w:val="top"/>
          </w:tcPr>
          <w:p>
            <w:pPr>
              <w:jc w:val="both"/>
            </w:pP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委托代理人：</w:t>
            </w:r>
          </w:p>
        </w:tc>
        <w:tc>
          <w:tcPr>
            <w:tcW w:type="dxa" w:w="2265"/>
            <w:tcBorders>
              <w:top w:val="none" w:color="000000" w:sz="4"/>
              <w:left w:val="single" w:color="000000" w:sz="4"/>
              <w:bottom w:val="single" w:color="000000" w:sz="4"/>
              <w:right w:val="single" w:color="000000" w:sz="4"/>
            </w:tcBorders>
            <w:vAlign w:val="top"/>
          </w:tcPr>
          <w:p>
            <w:pPr>
              <w:jc w:val="both"/>
            </w:pPr>
          </w:p>
        </w:tc>
        <w:tc>
          <w:tcPr>
            <w:tcW w:type="dxa" w:w="1359"/>
            <w:tcBorders>
              <w:top w:val="none" w:color="000000" w:sz="4"/>
              <w:left w:val="single" w:color="000000" w:sz="4"/>
              <w:bottom w:val="single" w:color="000000" w:sz="4"/>
              <w:right w:val="single" w:color="000000" w:sz="4"/>
            </w:tcBorders>
            <w:vAlign w:val="top"/>
          </w:tcPr>
          <w:p>
            <w:pPr>
              <w:jc w:val="both"/>
            </w:pPr>
            <w:r>
              <w:rPr>
                <w:sz w:val="21"/>
              </w:rPr>
              <w:t>委托代理人：</w:t>
            </w:r>
          </w:p>
        </w:tc>
        <w:tc>
          <w:tcPr>
            <w:tcW w:type="dxa" w:w="3322"/>
            <w:tcBorders>
              <w:top w:val="none" w:color="000000" w:sz="4"/>
              <w:left w:val="single" w:color="000000" w:sz="4"/>
              <w:bottom w:val="single" w:color="000000" w:sz="4"/>
              <w:right w:val="single" w:color="000000" w:sz="4"/>
            </w:tcBorders>
            <w:vAlign w:val="top"/>
          </w:tcPr>
          <w:p>
            <w:pPr>
              <w:jc w:val="both"/>
            </w:pPr>
            <w:r>
              <w:rPr>
                <w:sz w:val="21"/>
              </w:rPr>
              <w:t xml:space="preserve"> </w:t>
            </w: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项目负责人：</w:t>
            </w:r>
          </w:p>
        </w:tc>
        <w:tc>
          <w:tcPr>
            <w:tcW w:type="dxa" w:w="2265"/>
            <w:tcBorders>
              <w:top w:val="none" w:color="000000" w:sz="4"/>
              <w:left w:val="single" w:color="000000" w:sz="4"/>
              <w:bottom w:val="single" w:color="000000" w:sz="4"/>
              <w:right w:val="single" w:color="000000" w:sz="4"/>
            </w:tcBorders>
            <w:vAlign w:val="top"/>
          </w:tcPr>
          <w:p>
            <w:pPr>
              <w:jc w:val="both"/>
            </w:pPr>
          </w:p>
        </w:tc>
        <w:tc>
          <w:tcPr>
            <w:tcW w:type="dxa" w:w="1359"/>
            <w:tcBorders>
              <w:top w:val="none" w:color="000000" w:sz="4"/>
              <w:left w:val="single" w:color="000000" w:sz="4"/>
              <w:bottom w:val="single" w:color="000000" w:sz="4"/>
              <w:right w:val="single" w:color="000000" w:sz="4"/>
            </w:tcBorders>
            <w:vAlign w:val="top"/>
          </w:tcPr>
          <w:p>
            <w:pPr>
              <w:jc w:val="both"/>
            </w:pPr>
            <w:r>
              <w:rPr>
                <w:sz w:val="21"/>
              </w:rPr>
              <w:t>经</w:t>
            </w:r>
            <w:r>
              <w:rPr>
                <w:sz w:val="21"/>
              </w:rPr>
              <w:t xml:space="preserve"> </w:t>
            </w:r>
            <w:r>
              <w:rPr>
                <w:sz w:val="21"/>
              </w:rPr>
              <w:t>办</w:t>
            </w:r>
            <w:r>
              <w:rPr>
                <w:sz w:val="21"/>
              </w:rPr>
              <w:t xml:space="preserve"> </w:t>
            </w:r>
            <w:r>
              <w:rPr>
                <w:sz w:val="21"/>
              </w:rPr>
              <w:t>人：</w:t>
            </w:r>
          </w:p>
        </w:tc>
        <w:tc>
          <w:tcPr>
            <w:tcW w:type="dxa" w:w="3322"/>
            <w:tcBorders>
              <w:top w:val="none" w:color="000000" w:sz="4"/>
              <w:left w:val="single" w:color="000000" w:sz="4"/>
              <w:bottom w:val="single" w:color="000000" w:sz="4"/>
              <w:right w:val="single" w:color="000000" w:sz="4"/>
            </w:tcBorders>
            <w:vAlign w:val="top"/>
          </w:tcPr>
          <w:p>
            <w:pPr>
              <w:jc w:val="both"/>
            </w:pP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经</w:t>
            </w:r>
            <w:r>
              <w:rPr>
                <w:sz w:val="21"/>
              </w:rPr>
              <w:t xml:space="preserve"> </w:t>
            </w:r>
            <w:r>
              <w:rPr>
                <w:sz w:val="21"/>
              </w:rPr>
              <w:t>办</w:t>
            </w:r>
            <w:r>
              <w:rPr>
                <w:sz w:val="21"/>
              </w:rPr>
              <w:t xml:space="preserve"> </w:t>
            </w:r>
            <w:r>
              <w:rPr>
                <w:sz w:val="21"/>
              </w:rPr>
              <w:t>人：</w:t>
            </w:r>
          </w:p>
        </w:tc>
        <w:tc>
          <w:tcPr>
            <w:tcW w:type="dxa" w:w="2265"/>
            <w:tcBorders>
              <w:top w:val="none" w:color="000000" w:sz="4"/>
              <w:left w:val="single" w:color="000000" w:sz="4"/>
              <w:bottom w:val="single" w:color="000000" w:sz="4"/>
              <w:right w:val="single" w:color="000000" w:sz="4"/>
            </w:tcBorders>
            <w:vAlign w:val="top"/>
          </w:tcPr>
          <w:p>
            <w:pPr>
              <w:jc w:val="both"/>
            </w:pPr>
          </w:p>
        </w:tc>
        <w:tc>
          <w:tcPr>
            <w:tcW w:type="dxa" w:w="1359"/>
            <w:tcBorders>
              <w:top w:val="none" w:color="000000" w:sz="4"/>
              <w:left w:val="single" w:color="000000" w:sz="4"/>
              <w:bottom w:val="single" w:color="000000" w:sz="4"/>
              <w:right w:val="single" w:color="000000" w:sz="4"/>
            </w:tcBorders>
            <w:vAlign w:val="top"/>
          </w:tcPr>
          <w:p>
            <w:pPr>
              <w:jc w:val="both"/>
            </w:pPr>
          </w:p>
        </w:tc>
        <w:tc>
          <w:tcPr>
            <w:tcW w:type="dxa" w:w="3322"/>
            <w:tcBorders>
              <w:top w:val="none" w:color="000000" w:sz="4"/>
              <w:left w:val="single" w:color="000000" w:sz="4"/>
              <w:bottom w:val="single" w:color="000000" w:sz="4"/>
              <w:right w:val="single" w:color="000000" w:sz="4"/>
            </w:tcBorders>
            <w:vAlign w:val="top"/>
          </w:tcPr>
          <w:p>
            <w:pPr>
              <w:jc w:val="both"/>
            </w:pP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电　　</w:t>
            </w:r>
            <w:r>
              <w:rPr>
                <w:sz w:val="21"/>
              </w:rPr>
              <w:t xml:space="preserve"> </w:t>
            </w:r>
            <w:r>
              <w:rPr>
                <w:sz w:val="21"/>
              </w:rPr>
              <w:t>话：</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020-39322383</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电</w:t>
            </w:r>
            <w:r>
              <w:rPr>
                <w:sz w:val="21"/>
              </w:rPr>
              <w:t xml:space="preserve">     </w:t>
            </w:r>
            <w:r>
              <w:rPr>
                <w:sz w:val="21"/>
              </w:rPr>
              <w:t>话：</w:t>
            </w:r>
          </w:p>
        </w:tc>
        <w:tc>
          <w:tcPr>
            <w:tcW w:type="dxa" w:w="3322"/>
            <w:tcBorders>
              <w:top w:val="none" w:color="000000" w:sz="4"/>
              <w:left w:val="single" w:color="000000" w:sz="4"/>
              <w:bottom w:val="single" w:color="000000" w:sz="4"/>
              <w:right w:val="single" w:color="000000" w:sz="4"/>
            </w:tcBorders>
            <w:vAlign w:val="top"/>
          </w:tcPr>
          <w:p>
            <w:pPr>
              <w:jc w:val="both"/>
            </w:pPr>
            <w:r>
              <w:rPr>
                <w:sz w:val="21"/>
              </w:rPr>
              <w:t>********</w:t>
            </w:r>
          </w:p>
        </w:tc>
      </w:tr>
      <w:tr>
        <w:tc>
          <w:tcPr>
            <w:tcW w:type="dxa" w:w="1359"/>
            <w:tcBorders>
              <w:top w:val="none" w:color="000000" w:sz="4"/>
              <w:left w:val="single" w:color="000000" w:sz="4"/>
              <w:bottom w:val="single" w:color="000000" w:sz="4"/>
              <w:right w:val="single" w:color="000000" w:sz="4"/>
            </w:tcBorders>
            <w:vAlign w:val="top"/>
          </w:tcPr>
          <w:p>
            <w:pPr>
              <w:jc w:val="both"/>
            </w:pPr>
            <w:r>
              <w:rPr>
                <w:sz w:val="21"/>
              </w:rPr>
              <w:t>签</w:t>
            </w:r>
            <w:r>
              <w:rPr>
                <w:sz w:val="21"/>
              </w:rPr>
              <w:t>订</w:t>
            </w:r>
            <w:r>
              <w:rPr>
                <w:sz w:val="21"/>
              </w:rPr>
              <w:t>时</w:t>
            </w:r>
            <w:r>
              <w:rPr>
                <w:sz w:val="21"/>
              </w:rPr>
              <w:t>间：</w:t>
            </w:r>
          </w:p>
        </w:tc>
        <w:tc>
          <w:tcPr>
            <w:tcW w:type="dxa" w:w="2265"/>
            <w:tcBorders>
              <w:top w:val="none" w:color="000000" w:sz="4"/>
              <w:left w:val="single" w:color="000000" w:sz="4"/>
              <w:bottom w:val="single" w:color="000000" w:sz="4"/>
              <w:right w:val="single" w:color="000000" w:sz="4"/>
            </w:tcBorders>
            <w:vAlign w:val="top"/>
          </w:tcPr>
          <w:p>
            <w:pPr>
              <w:jc w:val="both"/>
            </w:pPr>
            <w:r>
              <w:rPr>
                <w:sz w:val="21"/>
              </w:rPr>
              <w:t xml:space="preserve">20  </w:t>
            </w:r>
            <w:r>
              <w:rPr>
                <w:sz w:val="21"/>
              </w:rPr>
              <w:t>年   月   日</w:t>
            </w:r>
          </w:p>
        </w:tc>
        <w:tc>
          <w:tcPr>
            <w:tcW w:type="dxa" w:w="1359"/>
            <w:tcBorders>
              <w:top w:val="none" w:color="000000" w:sz="4"/>
              <w:left w:val="single" w:color="000000" w:sz="4"/>
              <w:bottom w:val="single" w:color="000000" w:sz="4"/>
              <w:right w:val="single" w:color="000000" w:sz="4"/>
            </w:tcBorders>
            <w:vAlign w:val="top"/>
          </w:tcPr>
          <w:p>
            <w:pPr>
              <w:jc w:val="both"/>
            </w:pPr>
            <w:r>
              <w:rPr>
                <w:sz w:val="21"/>
              </w:rPr>
              <w:t>签</w:t>
            </w:r>
            <w:r>
              <w:rPr>
                <w:sz w:val="21"/>
              </w:rPr>
              <w:t>订</w:t>
            </w:r>
            <w:r>
              <w:rPr>
                <w:sz w:val="21"/>
              </w:rPr>
              <w:t>时</w:t>
            </w:r>
            <w:r>
              <w:rPr>
                <w:sz w:val="21"/>
              </w:rPr>
              <w:t>间：</w:t>
            </w:r>
          </w:p>
        </w:tc>
        <w:tc>
          <w:tcPr>
            <w:tcW w:type="dxa" w:w="3322"/>
            <w:tcBorders>
              <w:top w:val="none" w:color="000000" w:sz="4"/>
              <w:left w:val="single" w:color="000000" w:sz="4"/>
              <w:bottom w:val="single" w:color="000000" w:sz="4"/>
              <w:right w:val="single" w:color="000000" w:sz="4"/>
            </w:tcBorders>
            <w:vAlign w:val="top"/>
          </w:tcPr>
          <w:p>
            <w:pPr>
              <w:jc w:val="both"/>
            </w:pPr>
            <w:r>
              <w:rPr>
                <w:sz w:val="21"/>
              </w:rPr>
              <w:t xml:space="preserve">20  </w:t>
            </w:r>
            <w:r>
              <w:rPr>
                <w:sz w:val="21"/>
              </w:rPr>
              <w:t>年   月   日</w:t>
            </w:r>
          </w:p>
        </w:tc>
      </w:tr>
    </w:tbl>
    <w:p/>
    <w:p>
      <w:pPr>
        <w:jc w:val="both"/>
      </w:pPr>
      <w:r>
        <w:rPr>
          <w:b/>
          <w:sz w:val="28"/>
        </w:rPr>
        <w:t>附件</w:t>
      </w:r>
      <w:r>
        <w:rPr>
          <w:b/>
          <w:sz w:val="28"/>
        </w:rPr>
        <w:t>.</w:t>
      </w:r>
      <w:r>
        <w:rPr>
          <w:b/>
          <w:sz w:val="28"/>
        </w:rPr>
        <w:t>详细配置清单及技术指标</w:t>
      </w:r>
    </w:p>
    <w:tbl>
      <w:tblPr>
        <w:tblW w:w="0" w:type="auto"/>
        <w:tblBorders>
          <w:top w:val="none" w:color="000000" w:sz="4"/>
          <w:left w:val="none" w:color="000000" w:sz="4"/>
          <w:bottom w:val="none" w:color="000000" w:sz="4"/>
          <w:right w:val="none" w:color="000000" w:sz="4"/>
          <w:insideH w:val="none"/>
          <w:insideV w:val="none"/>
        </w:tblBorders>
      </w:tblPr>
      <w:tblGrid>
        <w:gridCol w:w="683"/>
        <w:gridCol w:w="2291"/>
        <w:gridCol w:w="5317"/>
      </w:tblGrid>
      <w:tr>
        <w:tc>
          <w:tcPr>
            <w:tcW w:type="dxa" w:w="683"/>
            <w:tcBorders>
              <w:top w:val="single" w:color="000000" w:sz="4"/>
              <w:left w:val="single" w:color="000000" w:sz="4"/>
              <w:bottom w:val="single" w:color="000000" w:sz="4"/>
              <w:right w:val="single" w:color="000000" w:sz="4"/>
            </w:tcBorders>
            <w:vAlign w:val="top"/>
          </w:tcPr>
          <w:p>
            <w:pPr>
              <w:jc w:val="center"/>
            </w:pPr>
            <w:r>
              <w:rPr>
                <w:b/>
                <w:sz w:val="24"/>
              </w:rPr>
              <w:t>序号</w:t>
            </w:r>
          </w:p>
        </w:tc>
        <w:tc>
          <w:tcPr>
            <w:tcW w:type="dxa" w:w="2291"/>
            <w:tcBorders>
              <w:top w:val="single" w:color="000000" w:sz="4"/>
              <w:left w:val="single" w:color="000000" w:sz="4"/>
              <w:bottom w:val="single" w:color="000000" w:sz="4"/>
              <w:right w:val="single" w:color="000000" w:sz="4"/>
            </w:tcBorders>
            <w:vAlign w:val="top"/>
          </w:tcPr>
          <w:p>
            <w:pPr>
              <w:jc w:val="center"/>
            </w:pPr>
            <w:r>
              <w:rPr>
                <w:b/>
                <w:sz w:val="24"/>
              </w:rPr>
              <w:t>名称</w:t>
            </w:r>
          </w:p>
        </w:tc>
        <w:tc>
          <w:tcPr>
            <w:tcW w:type="dxa" w:w="5317"/>
            <w:tcBorders>
              <w:top w:val="single" w:color="000000" w:sz="4"/>
              <w:left w:val="single" w:color="000000" w:sz="4"/>
              <w:bottom w:val="single" w:color="000000" w:sz="4"/>
              <w:right w:val="single" w:color="000000" w:sz="4"/>
            </w:tcBorders>
            <w:vAlign w:val="top"/>
          </w:tcPr>
          <w:p>
            <w:pPr>
              <w:jc w:val="center"/>
            </w:pPr>
            <w:r>
              <w:rPr>
                <w:b/>
                <w:sz w:val="24"/>
              </w:rPr>
              <w:t>详细配置清单及技术指标</w:t>
            </w: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1</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both"/>
            </w:pP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2</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center"/>
            </w:pP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3</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center"/>
            </w:pP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4</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center"/>
            </w:pP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5</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center"/>
            </w:pPr>
          </w:p>
        </w:tc>
      </w:tr>
      <w:tr>
        <w:tc>
          <w:tcPr>
            <w:tcW w:type="dxa" w:w="683"/>
            <w:tcBorders>
              <w:top w:val="single" w:color="000000" w:sz="4"/>
              <w:left w:val="single" w:color="000000" w:sz="4"/>
              <w:bottom w:val="single" w:color="000000" w:sz="4"/>
              <w:right w:val="single" w:color="000000" w:sz="4"/>
            </w:tcBorders>
            <w:vAlign w:val="top"/>
          </w:tcPr>
          <w:p>
            <w:pPr>
              <w:jc w:val="center"/>
            </w:pPr>
            <w:r>
              <w:rPr>
                <w:sz w:val="21"/>
              </w:rPr>
              <w:t>6</w:t>
            </w:r>
          </w:p>
        </w:tc>
        <w:tc>
          <w:tcPr>
            <w:tcW w:type="dxa" w:w="2291"/>
            <w:tcBorders>
              <w:top w:val="single" w:color="000000" w:sz="4"/>
              <w:left w:val="single" w:color="000000" w:sz="4"/>
              <w:bottom w:val="single" w:color="000000" w:sz="4"/>
              <w:right w:val="single" w:color="000000" w:sz="4"/>
            </w:tcBorders>
            <w:vAlign w:val="top"/>
          </w:tcPr>
          <w:p>
            <w:pPr>
              <w:jc w:val="both"/>
            </w:pPr>
          </w:p>
        </w:tc>
        <w:tc>
          <w:tcPr>
            <w:tcW w:type="dxa" w:w="5317"/>
            <w:tcBorders>
              <w:top w:val="single" w:color="000000" w:sz="4"/>
              <w:left w:val="single" w:color="000000" w:sz="4"/>
              <w:bottom w:val="single" w:color="000000" w:sz="4"/>
              <w:right w:val="single" w:color="000000" w:sz="4"/>
            </w:tcBorders>
            <w:vAlign w:val="top"/>
          </w:tcPr>
          <w:p>
            <w:pPr>
              <w:jc w:val="center"/>
            </w:pPr>
          </w:p>
        </w:tc>
      </w:tr>
    </w:tbl>
    <w:p>
      <w:pPr>
        <w:ind w:firstLine="420"/>
        <w:jc w:val="center"/>
      </w:pPr>
      <w:r>
        <w:rPr>
          <w:b/>
          <w:sz w:val="21"/>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440001-2022-55704</w:t>
      </w:r>
    </w:p>
    <w:p>
      <w:pPr>
        <w:jc w:val="center"/>
      </w:pPr>
      <w:r>
        <w:rPr>
          <w:b/>
          <w:sz w:val="24"/>
        </w:rPr>
        <w:t>采购项目编号：</w:t>
      </w:r>
      <w:r>
        <w:rPr>
          <w:b/>
          <w:sz w:val="24"/>
        </w:rPr>
        <w:t>0809-2241GDG12235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液压与气压传动实验室和智能制造实验室采购</w:t>
      </w:r>
      <w:r>
        <w:rPr>
          <w:u w:val="single"/>
        </w:rPr>
        <w:t>”</w:t>
      </w:r>
      <w:r>
        <w:rPr/>
        <w:t>项目的招标[采购项目编号为：</w:t>
      </w:r>
      <w:r>
        <w:rPr>
          <w:u w:val="single"/>
        </w:rPr>
        <w:t>0809-2241GDG12235</w:t>
      </w:r>
      <w:r>
        <w:rPr/>
        <w:t>]，我方愿参与投标。</w:t>
      </w:r>
    </w:p>
    <w:p>
      <w:pPr>
        <w:ind w:firstLine="480"/>
      </w:pPr>
      <w:r>
        <w:rPr/>
        <w:t>我方确认收到贵方提供的</w:t>
      </w:r>
      <w:r>
        <w:rPr>
          <w:u w:val="single"/>
        </w:rPr>
        <w:t>“</w:t>
      </w:r>
      <w:r>
        <w:rPr>
          <w:u w:val="single"/>
        </w:rPr>
        <w:t>液压与气压传动实验室和智能制造实验室采购</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液压与气压传动实验室和智能制造实验室采购</w:t>
      </w:r>
      <w:r>
        <w:rPr/>
        <w:t>”项目采购[采购项目编号为</w:t>
      </w:r>
      <w:r>
        <w:rPr/>
        <w:t>0809-2241GDG12235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广东工业大学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液压与气压传动实验室和智能制造实验室采购</w:t>
      </w:r>
      <w:r>
        <w:rPr/>
        <w:t>招标中获中标（采购项目编号：</w:t>
      </w:r>
      <w:r>
        <w:rPr/>
        <w:t>0809-2241GDG12235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液压与气压传动实验室和智能制造实验室采购</w:t>
      </w:r>
      <w:r>
        <w:rPr/>
        <w:t>”项目（采购项目编号：</w:t>
      </w:r>
      <w:r>
        <w:rPr/>
        <w:t>0809-2241GDG12235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