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23518">
      <w:pPr>
        <w:pStyle w:val="12"/>
        <w:jc w:val="center"/>
        <w:outlineLvl w:val="1"/>
      </w:pPr>
      <w:r>
        <w:rPr>
          <w:b/>
          <w:sz w:val="36"/>
        </w:rPr>
        <w:t>第二章 采购需求</w:t>
      </w:r>
    </w:p>
    <w:p w14:paraId="33B9D776">
      <w:pPr>
        <w:pStyle w:val="12"/>
        <w:outlineLvl w:val="2"/>
      </w:pPr>
      <w:r>
        <w:rPr>
          <w:b/>
          <w:sz w:val="28"/>
        </w:rPr>
        <w:t>一、项目概况：</w:t>
      </w:r>
    </w:p>
    <w:p w14:paraId="4E9B79A6">
      <w:pPr>
        <w:pStyle w:val="12"/>
        <w:ind w:firstLine="420"/>
        <w:rPr>
          <w:rFonts w:hint="eastAsia"/>
          <w:color w:val="auto"/>
          <w:lang w:val="en-US" w:eastAsia="zh-CN"/>
        </w:rPr>
      </w:pPr>
      <w:r>
        <w:rPr>
          <w:rFonts w:hint="eastAsia"/>
          <w:color w:val="auto"/>
        </w:rPr>
        <w:t>本项目为</w:t>
      </w:r>
      <w:r>
        <w:rPr>
          <w:rFonts w:hint="eastAsia"/>
          <w:color w:val="auto"/>
          <w:lang w:eastAsia="zh-CN"/>
        </w:rPr>
        <w:t>佛山市精细气象服务系统</w:t>
      </w:r>
      <w:r>
        <w:rPr>
          <w:rFonts w:hint="eastAsia"/>
          <w:color w:val="auto"/>
        </w:rPr>
        <w:t>，主要内容为</w:t>
      </w:r>
      <w:r>
        <w:rPr>
          <w:rFonts w:hint="eastAsia"/>
          <w:color w:val="auto"/>
          <w:lang w:val="en-US" w:eastAsia="zh-CN"/>
        </w:rPr>
        <w:t>数据采集与共享子系统、公众服务子系统、决策服务子系统、精细化气象服务子系统的开发。</w:t>
      </w:r>
    </w:p>
    <w:p w14:paraId="12CA207E">
      <w:pPr>
        <w:pStyle w:val="12"/>
        <w:ind w:firstLine="420"/>
        <w:rPr>
          <w:rFonts w:hint="eastAsia"/>
          <w:color w:val="auto"/>
          <w:highlight w:val="none"/>
          <w:lang w:eastAsia="zh-CN"/>
        </w:rPr>
      </w:pPr>
      <w:r>
        <w:rPr>
          <w:rFonts w:hint="eastAsia"/>
          <w:color w:val="auto"/>
          <w:highlight w:val="none"/>
        </w:rPr>
        <w:t>项目为集约化项目，</w:t>
      </w:r>
      <w:r>
        <w:rPr>
          <w:rFonts w:hint="eastAsia"/>
          <w:color w:val="auto"/>
          <w:highlight w:val="none"/>
          <w:lang w:eastAsia="zh-CN"/>
        </w:rPr>
        <w:t>将对佛山市气象官网等10个现有系统进行深度整合，依托佛山市精细气象服务系统的建设，构建精细化、分众化、多渠道的气象预报预警服务体系，全面提升决策服务、专业服务和公共服务能力。项目建成后，将实现气象公众服务满意度提升至90%以上、预警信息覆盖率超过95%的目标，显著增强佛山市防灾减灾综合能力，为城市安全运行和经济社会发展提供更精准、高效的气象保障。</w:t>
      </w:r>
    </w:p>
    <w:p w14:paraId="1E186F0A">
      <w:pPr>
        <w:pStyle w:val="12"/>
      </w:pPr>
    </w:p>
    <w:p w14:paraId="00994404">
      <w:pPr>
        <w:pStyle w:val="12"/>
      </w:pPr>
      <w:r>
        <w:t>采购包1（</w:t>
      </w:r>
      <w:r>
        <w:rPr>
          <w:rFonts w:hint="eastAsia"/>
          <w:lang w:eastAsia="zh-CN"/>
        </w:rPr>
        <w:t>佛山市精细气象服务系统</w:t>
      </w:r>
      <w:r>
        <w:t>）</w:t>
      </w:r>
    </w:p>
    <w:p w14:paraId="333E6E05">
      <w:pPr>
        <w:pStyle w:val="12"/>
      </w:pPr>
      <w:r>
        <w:rPr>
          <w:b/>
        </w:rPr>
        <w:t>1.主要商务要求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4"/>
        <w:gridCol w:w="6552"/>
      </w:tblGrid>
      <w:tr w14:paraId="54D58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4" w:type="dxa"/>
            <w:vAlign w:val="center"/>
          </w:tcPr>
          <w:p w14:paraId="36EA288F">
            <w:pPr>
              <w:pStyle w:val="12"/>
              <w:jc w:val="center"/>
              <w:rPr>
                <w:color w:val="auto"/>
                <w:highlight w:val="none"/>
              </w:rPr>
            </w:pPr>
            <w:r>
              <w:rPr>
                <w:color w:val="auto"/>
                <w:highlight w:val="none"/>
              </w:rPr>
              <w:t>标的提供的时间</w:t>
            </w:r>
          </w:p>
        </w:tc>
        <w:tc>
          <w:tcPr>
            <w:tcW w:w="6552" w:type="dxa"/>
          </w:tcPr>
          <w:p w14:paraId="7CCEBF65">
            <w:pPr>
              <w:pStyle w:val="12"/>
              <w:rPr>
                <w:color w:val="auto"/>
                <w:highlight w:val="none"/>
              </w:rPr>
            </w:pPr>
            <w:r>
              <w:rPr>
                <w:color w:val="auto"/>
                <w:highlight w:val="none"/>
              </w:rPr>
              <w:t>合同签订之日起</w:t>
            </w:r>
            <w:r>
              <w:rPr>
                <w:rFonts w:hint="eastAsia"/>
                <w:color w:val="auto"/>
                <w:highlight w:val="none"/>
                <w:lang w:val="en-US" w:eastAsia="zh-CN"/>
              </w:rPr>
              <w:t>1年</w:t>
            </w:r>
            <w:r>
              <w:rPr>
                <w:color w:val="auto"/>
                <w:highlight w:val="none"/>
              </w:rPr>
              <w:t>内完成采购人合同验收，采购人验收合格后，协助采购人完成政数部门符合性验收。</w:t>
            </w:r>
          </w:p>
        </w:tc>
      </w:tr>
      <w:tr w14:paraId="79A7D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4" w:type="dxa"/>
            <w:vAlign w:val="center"/>
          </w:tcPr>
          <w:p w14:paraId="35806FE3">
            <w:pPr>
              <w:pStyle w:val="12"/>
              <w:jc w:val="center"/>
              <w:rPr>
                <w:color w:val="auto"/>
                <w:highlight w:val="none"/>
              </w:rPr>
            </w:pPr>
            <w:r>
              <w:rPr>
                <w:color w:val="auto"/>
                <w:highlight w:val="none"/>
              </w:rPr>
              <w:t>标的提供的地点</w:t>
            </w:r>
          </w:p>
        </w:tc>
        <w:tc>
          <w:tcPr>
            <w:tcW w:w="6552" w:type="dxa"/>
          </w:tcPr>
          <w:p w14:paraId="05315AA9">
            <w:pPr>
              <w:pStyle w:val="12"/>
              <w:rPr>
                <w:color w:val="auto"/>
                <w:highlight w:val="none"/>
              </w:rPr>
            </w:pPr>
            <w:r>
              <w:rPr>
                <w:color w:val="auto"/>
                <w:highlight w:val="none"/>
              </w:rPr>
              <w:t>采购人指定地点。</w:t>
            </w:r>
          </w:p>
        </w:tc>
      </w:tr>
      <w:tr w14:paraId="04ECB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4" w:type="dxa"/>
            <w:vAlign w:val="center"/>
          </w:tcPr>
          <w:p w14:paraId="2C7DF4CB">
            <w:pPr>
              <w:pStyle w:val="12"/>
              <w:jc w:val="center"/>
              <w:rPr>
                <w:color w:val="auto"/>
                <w:highlight w:val="none"/>
              </w:rPr>
            </w:pPr>
            <w:r>
              <w:rPr>
                <w:color w:val="auto"/>
                <w:highlight w:val="none"/>
              </w:rPr>
              <w:t>付款方式</w:t>
            </w:r>
          </w:p>
        </w:tc>
        <w:tc>
          <w:tcPr>
            <w:tcW w:w="6552" w:type="dxa"/>
          </w:tcPr>
          <w:p w14:paraId="7942C540">
            <w:pPr>
              <w:pStyle w:val="12"/>
              <w:rPr>
                <w:color w:val="auto"/>
                <w:highlight w:val="none"/>
              </w:rPr>
            </w:pPr>
            <w:r>
              <w:rPr>
                <w:color w:val="auto"/>
                <w:highlight w:val="none"/>
              </w:rPr>
              <w:t>1期：支付比例</w:t>
            </w:r>
            <w:r>
              <w:rPr>
                <w:rFonts w:hint="eastAsia"/>
                <w:color w:val="auto"/>
                <w:highlight w:val="none"/>
                <w:lang w:val="en-US" w:eastAsia="zh-CN"/>
              </w:rPr>
              <w:t>35</w:t>
            </w:r>
            <w:r>
              <w:rPr>
                <w:color w:val="auto"/>
                <w:highlight w:val="none"/>
              </w:rPr>
              <w:t>%,</w:t>
            </w:r>
            <w:r>
              <w:rPr>
                <w:rFonts w:hint="eastAsia"/>
                <w:color w:val="auto"/>
                <w:highlight w:val="none"/>
                <w:lang w:val="en-US" w:eastAsia="zh-CN"/>
              </w:rPr>
              <w:t xml:space="preserve">  </w:t>
            </w:r>
            <w:r>
              <w:rPr>
                <w:color w:val="auto"/>
                <w:highlight w:val="none"/>
              </w:rPr>
              <w:t>合同签订生效后，</w:t>
            </w:r>
            <w:r>
              <w:rPr>
                <w:rFonts w:hint="eastAsia"/>
                <w:color w:val="auto"/>
                <w:highlight w:val="none"/>
                <w:lang w:eastAsia="zh-CN"/>
              </w:rPr>
              <w:t>中标人</w:t>
            </w:r>
            <w:r>
              <w:rPr>
                <w:color w:val="auto"/>
                <w:highlight w:val="none"/>
              </w:rPr>
              <w:t>向采购人提交实施方案，实施方案经采购人确认后，采购人向</w:t>
            </w:r>
            <w:r>
              <w:rPr>
                <w:rFonts w:hint="eastAsia"/>
                <w:color w:val="auto"/>
                <w:highlight w:val="none"/>
                <w:lang w:eastAsia="zh-CN"/>
              </w:rPr>
              <w:t>中标人</w:t>
            </w:r>
            <w:r>
              <w:rPr>
                <w:color w:val="auto"/>
                <w:highlight w:val="none"/>
              </w:rPr>
              <w:t>支付合同总价的</w:t>
            </w:r>
            <w:r>
              <w:rPr>
                <w:rFonts w:hint="eastAsia"/>
                <w:color w:val="auto"/>
                <w:highlight w:val="none"/>
                <w:lang w:val="en-US" w:eastAsia="zh-CN"/>
              </w:rPr>
              <w:t>35</w:t>
            </w:r>
            <w:r>
              <w:rPr>
                <w:color w:val="auto"/>
                <w:highlight w:val="none"/>
              </w:rPr>
              <w:t>%；</w:t>
            </w:r>
          </w:p>
          <w:p w14:paraId="163AF331">
            <w:pPr>
              <w:pStyle w:val="12"/>
              <w:rPr>
                <w:color w:val="auto"/>
                <w:highlight w:val="none"/>
              </w:rPr>
            </w:pPr>
            <w:r>
              <w:rPr>
                <w:color w:val="auto"/>
                <w:highlight w:val="none"/>
              </w:rPr>
              <w:t>2期：支付比例</w:t>
            </w:r>
            <w:r>
              <w:rPr>
                <w:rFonts w:hint="eastAsia"/>
                <w:color w:val="auto"/>
                <w:highlight w:val="none"/>
                <w:lang w:val="en-US" w:eastAsia="zh-CN"/>
              </w:rPr>
              <w:t>45</w:t>
            </w:r>
            <w:r>
              <w:rPr>
                <w:color w:val="auto"/>
                <w:highlight w:val="none"/>
              </w:rPr>
              <w:t>%,</w:t>
            </w:r>
            <w:r>
              <w:rPr>
                <w:rFonts w:hint="eastAsia"/>
                <w:color w:val="auto"/>
                <w:highlight w:val="none"/>
                <w:lang w:val="en-US" w:eastAsia="zh-CN"/>
              </w:rPr>
              <w:t xml:space="preserve">  项目实施完毕并通过初步验收后</w:t>
            </w:r>
            <w:r>
              <w:rPr>
                <w:color w:val="auto"/>
                <w:highlight w:val="none"/>
              </w:rPr>
              <w:t>，采购人向</w:t>
            </w:r>
            <w:r>
              <w:rPr>
                <w:rFonts w:hint="eastAsia"/>
                <w:color w:val="auto"/>
                <w:highlight w:val="none"/>
                <w:lang w:eastAsia="zh-CN"/>
              </w:rPr>
              <w:t>中标人</w:t>
            </w:r>
            <w:r>
              <w:rPr>
                <w:color w:val="auto"/>
                <w:highlight w:val="none"/>
              </w:rPr>
              <w:t>支付合同总价的</w:t>
            </w:r>
            <w:r>
              <w:rPr>
                <w:rFonts w:hint="eastAsia"/>
                <w:color w:val="auto"/>
                <w:highlight w:val="none"/>
                <w:lang w:val="en-US" w:eastAsia="zh-CN"/>
              </w:rPr>
              <w:t>45</w:t>
            </w:r>
            <w:r>
              <w:rPr>
                <w:color w:val="auto"/>
                <w:highlight w:val="none"/>
              </w:rPr>
              <w:t>%。</w:t>
            </w:r>
          </w:p>
          <w:p w14:paraId="7FA5C55D">
            <w:pPr>
              <w:pStyle w:val="12"/>
              <w:rPr>
                <w:color w:val="auto"/>
                <w:highlight w:val="none"/>
              </w:rPr>
            </w:pPr>
            <w:r>
              <w:rPr>
                <w:rFonts w:hint="eastAsia"/>
                <w:color w:val="auto"/>
                <w:highlight w:val="none"/>
                <w:lang w:val="en-US" w:eastAsia="zh-CN"/>
              </w:rPr>
              <w:t>3</w:t>
            </w:r>
            <w:r>
              <w:rPr>
                <w:color w:val="auto"/>
                <w:highlight w:val="none"/>
              </w:rPr>
              <w:t>期：支付比例</w:t>
            </w:r>
            <w:r>
              <w:rPr>
                <w:rFonts w:hint="eastAsia"/>
                <w:color w:val="auto"/>
                <w:highlight w:val="none"/>
                <w:lang w:val="en-US" w:eastAsia="zh-CN"/>
              </w:rPr>
              <w:t>2</w:t>
            </w:r>
            <w:r>
              <w:rPr>
                <w:color w:val="auto"/>
                <w:highlight w:val="none"/>
              </w:rPr>
              <w:t>0%,</w:t>
            </w:r>
            <w:r>
              <w:rPr>
                <w:rFonts w:hint="eastAsia"/>
                <w:color w:val="auto"/>
                <w:highlight w:val="none"/>
                <w:lang w:val="en-US" w:eastAsia="zh-CN"/>
              </w:rPr>
              <w:t xml:space="preserve">  </w:t>
            </w:r>
            <w:r>
              <w:rPr>
                <w:color w:val="auto"/>
                <w:highlight w:val="none"/>
              </w:rPr>
              <w:t>项目通过</w:t>
            </w:r>
            <w:r>
              <w:rPr>
                <w:rFonts w:hint="eastAsia"/>
                <w:color w:val="auto"/>
                <w:highlight w:val="none"/>
                <w:lang w:eastAsia="zh-CN"/>
              </w:rPr>
              <w:t>最终</w:t>
            </w:r>
            <w:r>
              <w:rPr>
                <w:color w:val="auto"/>
                <w:highlight w:val="none"/>
              </w:rPr>
              <w:t>验收后，采购人向</w:t>
            </w:r>
            <w:r>
              <w:rPr>
                <w:rFonts w:hint="eastAsia"/>
                <w:color w:val="auto"/>
                <w:highlight w:val="none"/>
                <w:lang w:eastAsia="zh-CN"/>
              </w:rPr>
              <w:t>中标人</w:t>
            </w:r>
            <w:r>
              <w:rPr>
                <w:color w:val="auto"/>
                <w:highlight w:val="none"/>
              </w:rPr>
              <w:t>支付合同总价的</w:t>
            </w:r>
            <w:r>
              <w:rPr>
                <w:rFonts w:hint="eastAsia"/>
                <w:color w:val="auto"/>
                <w:highlight w:val="none"/>
                <w:lang w:val="en-US" w:eastAsia="zh-CN"/>
              </w:rPr>
              <w:t>2</w:t>
            </w:r>
            <w:r>
              <w:rPr>
                <w:color w:val="auto"/>
                <w:highlight w:val="none"/>
              </w:rPr>
              <w:t>0%。</w:t>
            </w:r>
          </w:p>
          <w:p w14:paraId="788A0694">
            <w:pPr>
              <w:pStyle w:val="12"/>
              <w:rPr>
                <w:color w:val="auto"/>
                <w:highlight w:val="none"/>
              </w:rPr>
            </w:pPr>
            <w:r>
              <w:rPr>
                <w:color w:val="auto"/>
                <w:highlight w:val="none"/>
              </w:rPr>
              <w:t>如项目发生合同融资，采购人需将合同款项支付到合同约定收款账户</w:t>
            </w:r>
          </w:p>
        </w:tc>
      </w:tr>
      <w:tr w14:paraId="755D8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4" w:type="dxa"/>
            <w:vAlign w:val="center"/>
          </w:tcPr>
          <w:p w14:paraId="29674514">
            <w:pPr>
              <w:pStyle w:val="12"/>
              <w:jc w:val="center"/>
              <w:rPr>
                <w:color w:val="auto"/>
                <w:highlight w:val="none"/>
              </w:rPr>
            </w:pPr>
            <w:r>
              <w:rPr>
                <w:color w:val="auto"/>
                <w:highlight w:val="none"/>
              </w:rPr>
              <w:t>验收要求</w:t>
            </w:r>
          </w:p>
        </w:tc>
        <w:tc>
          <w:tcPr>
            <w:tcW w:w="6552" w:type="dxa"/>
          </w:tcPr>
          <w:p w14:paraId="5C8470AF">
            <w:pPr>
              <w:pStyle w:val="12"/>
              <w:rPr>
                <w:color w:val="auto"/>
                <w:highlight w:val="none"/>
              </w:rPr>
            </w:pPr>
            <w:r>
              <w:rPr>
                <w:color w:val="auto"/>
                <w:highlight w:val="none"/>
              </w:rPr>
              <w:t>1期：</w:t>
            </w:r>
          </w:p>
          <w:p w14:paraId="0221B9B8">
            <w:pPr>
              <w:pStyle w:val="12"/>
              <w:rPr>
                <w:color w:val="auto"/>
                <w:highlight w:val="none"/>
              </w:rPr>
            </w:pPr>
            <w:r>
              <w:rPr>
                <w:color w:val="auto"/>
                <w:highlight w:val="none"/>
              </w:rPr>
              <w:t>1.采购人在收到</w:t>
            </w:r>
            <w:r>
              <w:rPr>
                <w:rFonts w:hint="eastAsia"/>
                <w:color w:val="auto"/>
                <w:highlight w:val="none"/>
                <w:lang w:eastAsia="zh-CN"/>
              </w:rPr>
              <w:t>中标人</w:t>
            </w:r>
            <w:r>
              <w:rPr>
                <w:color w:val="auto"/>
                <w:highlight w:val="none"/>
              </w:rPr>
              <w:t>项目验收申请之日起7个工作日内按照合同的约定对履约情况进行验收。</w:t>
            </w:r>
            <w:r>
              <w:rPr>
                <w:rFonts w:hint="eastAsia"/>
                <w:color w:val="auto"/>
                <w:highlight w:val="none"/>
                <w:lang w:eastAsia="zh-CN"/>
              </w:rPr>
              <w:t>中标人</w:t>
            </w:r>
            <w:r>
              <w:rPr>
                <w:color w:val="auto"/>
                <w:highlight w:val="none"/>
              </w:rPr>
              <w:t>需为验收提供必需的一切条件及相关费用，积极配合采购人完成验收工作。</w:t>
            </w:r>
          </w:p>
          <w:p w14:paraId="3D6C5A39">
            <w:pPr>
              <w:pStyle w:val="12"/>
              <w:rPr>
                <w:color w:val="auto"/>
                <w:highlight w:val="none"/>
              </w:rPr>
            </w:pPr>
            <w:r>
              <w:rPr>
                <w:color w:val="auto"/>
                <w:highlight w:val="none"/>
              </w:rPr>
              <w:t>2.验收标准：验收的主要依据包括本招标需求书、响应文件、合同文件以及用户需求说明书和设计方案。</w:t>
            </w:r>
          </w:p>
          <w:p w14:paraId="14991871">
            <w:pPr>
              <w:pStyle w:val="12"/>
              <w:rPr>
                <w:color w:val="auto"/>
                <w:highlight w:val="none"/>
              </w:rPr>
            </w:pPr>
            <w:r>
              <w:rPr>
                <w:color w:val="auto"/>
                <w:highlight w:val="none"/>
              </w:rPr>
              <w:t>3.验收要求： 1）合同验收：以本项目内所有应用系统开发完成并安装使用、相关技术文档均已提交并通过审核、所有系统均通过测试合格并至少试运行一个月为标志。合同验收将依据项目合同、系统需求说明书的要求进行验收，合同验收方案必须经由采购人、</w:t>
            </w:r>
            <w:r>
              <w:rPr>
                <w:rFonts w:hint="eastAsia"/>
                <w:color w:val="auto"/>
                <w:highlight w:val="none"/>
                <w:lang w:eastAsia="zh-CN"/>
              </w:rPr>
              <w:t>中标人</w:t>
            </w:r>
            <w:r>
              <w:rPr>
                <w:color w:val="auto"/>
                <w:highlight w:val="none"/>
              </w:rPr>
              <w:t>及监理公司的技术人员三方审定通过，三方对系统进行项目合同验收，采购人、</w:t>
            </w:r>
            <w:r>
              <w:rPr>
                <w:rFonts w:hint="eastAsia"/>
                <w:color w:val="auto"/>
                <w:highlight w:val="none"/>
                <w:lang w:eastAsia="zh-CN"/>
              </w:rPr>
              <w:t>中标人</w:t>
            </w:r>
            <w:r>
              <w:rPr>
                <w:color w:val="auto"/>
                <w:highlight w:val="none"/>
              </w:rPr>
              <w:t>、监理方共同签署《项目验收报告》。 2）项目符合性验收：以合同验收合格1个月内，采购人向政数部门提出符合性验收申请。</w:t>
            </w:r>
            <w:r>
              <w:rPr>
                <w:rFonts w:hint="eastAsia"/>
                <w:color w:val="auto"/>
                <w:highlight w:val="none"/>
                <w:lang w:eastAsia="zh-CN"/>
              </w:rPr>
              <w:t>中标人</w:t>
            </w:r>
            <w:r>
              <w:rPr>
                <w:color w:val="auto"/>
                <w:highlight w:val="none"/>
              </w:rPr>
              <w:t>须积极配合本项目的符合性验收工作，确保符合性验收能顺利通过。如由于</w:t>
            </w:r>
            <w:r>
              <w:rPr>
                <w:rFonts w:hint="eastAsia"/>
                <w:color w:val="auto"/>
                <w:highlight w:val="none"/>
                <w:lang w:eastAsia="zh-CN"/>
              </w:rPr>
              <w:t>中标人</w:t>
            </w:r>
            <w:r>
              <w:rPr>
                <w:color w:val="auto"/>
                <w:highlight w:val="none"/>
              </w:rPr>
              <w:t>原因导致符合性验收未能提供的，由</w:t>
            </w:r>
            <w:r>
              <w:rPr>
                <w:rFonts w:hint="eastAsia"/>
                <w:color w:val="auto"/>
                <w:highlight w:val="none"/>
                <w:lang w:eastAsia="zh-CN"/>
              </w:rPr>
              <w:t>中标人</w:t>
            </w:r>
            <w:r>
              <w:rPr>
                <w:color w:val="auto"/>
                <w:highlight w:val="none"/>
              </w:rPr>
              <w:t>负责完善，直至符合性验收通过为止。</w:t>
            </w:r>
          </w:p>
        </w:tc>
      </w:tr>
      <w:tr w14:paraId="5C094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4" w:type="dxa"/>
            <w:vAlign w:val="center"/>
          </w:tcPr>
          <w:p w14:paraId="79CC8714">
            <w:pPr>
              <w:pStyle w:val="12"/>
              <w:jc w:val="center"/>
              <w:rPr>
                <w:color w:val="auto"/>
                <w:highlight w:val="none"/>
              </w:rPr>
            </w:pPr>
            <w:r>
              <w:rPr>
                <w:color w:val="auto"/>
                <w:highlight w:val="none"/>
              </w:rPr>
              <w:t>履约保证金</w:t>
            </w:r>
          </w:p>
        </w:tc>
        <w:tc>
          <w:tcPr>
            <w:tcW w:w="6552" w:type="dxa"/>
          </w:tcPr>
          <w:p w14:paraId="44862D96">
            <w:pPr>
              <w:pStyle w:val="12"/>
              <w:rPr>
                <w:color w:val="auto"/>
                <w:highlight w:val="none"/>
              </w:rPr>
            </w:pPr>
            <w:r>
              <w:rPr>
                <w:color w:val="auto"/>
                <w:highlight w:val="none"/>
              </w:rPr>
              <w:t>不收取</w:t>
            </w:r>
          </w:p>
        </w:tc>
      </w:tr>
      <w:tr w14:paraId="55C47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4" w:type="dxa"/>
            <w:vAlign w:val="center"/>
          </w:tcPr>
          <w:p w14:paraId="6FA0B83F">
            <w:pPr>
              <w:pStyle w:val="12"/>
              <w:jc w:val="center"/>
              <w:rPr>
                <w:color w:val="auto"/>
                <w:highlight w:val="none"/>
              </w:rPr>
            </w:pPr>
            <w:r>
              <w:rPr>
                <w:color w:val="auto"/>
                <w:highlight w:val="none"/>
              </w:rPr>
              <w:t>其他</w:t>
            </w:r>
          </w:p>
        </w:tc>
        <w:tc>
          <w:tcPr>
            <w:tcW w:w="6552" w:type="dxa"/>
          </w:tcPr>
          <w:p w14:paraId="4FDEEBEA">
            <w:pPr>
              <w:pStyle w:val="12"/>
              <w:rPr>
                <w:color w:val="auto"/>
                <w:highlight w:val="none"/>
              </w:rPr>
            </w:pPr>
          </w:p>
        </w:tc>
      </w:tr>
    </w:tbl>
    <w:p w14:paraId="183F5BD7">
      <w:pPr>
        <w:pStyle w:val="12"/>
        <w:rPr>
          <w:color w:val="auto"/>
          <w:highlight w:val="none"/>
        </w:rPr>
      </w:pPr>
      <w:r>
        <w:rPr>
          <w:color w:val="auto"/>
          <w:highlight w:val="none"/>
        </w:rPr>
        <w:t>其他商务需求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691"/>
        <w:gridCol w:w="1186"/>
        <w:gridCol w:w="5698"/>
        <w:gridCol w:w="3"/>
      </w:tblGrid>
      <w:tr w14:paraId="01252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09555930">
            <w:pPr>
              <w:pStyle w:val="12"/>
              <w:jc w:val="center"/>
            </w:pPr>
            <w:r>
              <w:t>参数性质</w:t>
            </w:r>
          </w:p>
        </w:tc>
        <w:tc>
          <w:tcPr>
            <w:tcW w:w="691" w:type="dxa"/>
            <w:vAlign w:val="center"/>
          </w:tcPr>
          <w:p w14:paraId="717C8D17">
            <w:pPr>
              <w:pStyle w:val="12"/>
              <w:jc w:val="center"/>
            </w:pPr>
            <w:r>
              <w:t>编号</w:t>
            </w:r>
          </w:p>
        </w:tc>
        <w:tc>
          <w:tcPr>
            <w:tcW w:w="1186" w:type="dxa"/>
            <w:vAlign w:val="center"/>
          </w:tcPr>
          <w:p w14:paraId="1F749789">
            <w:pPr>
              <w:pStyle w:val="12"/>
              <w:jc w:val="center"/>
            </w:pPr>
            <w:r>
              <w:t>内容明细</w:t>
            </w:r>
          </w:p>
        </w:tc>
        <w:tc>
          <w:tcPr>
            <w:tcW w:w="5698" w:type="dxa"/>
          </w:tcPr>
          <w:p w14:paraId="4E6D59A7">
            <w:pPr>
              <w:pStyle w:val="12"/>
              <w:jc w:val="center"/>
            </w:pPr>
            <w:r>
              <w:t>内容说明</w:t>
            </w:r>
          </w:p>
        </w:tc>
      </w:tr>
      <w:tr w14:paraId="07225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4225AD20">
            <w:pPr>
              <w:jc w:val="center"/>
            </w:pPr>
          </w:p>
        </w:tc>
        <w:tc>
          <w:tcPr>
            <w:tcW w:w="691" w:type="dxa"/>
            <w:vAlign w:val="center"/>
          </w:tcPr>
          <w:p w14:paraId="76F40FFA">
            <w:pPr>
              <w:pStyle w:val="12"/>
              <w:jc w:val="center"/>
            </w:pPr>
            <w:r>
              <w:t>1</w:t>
            </w:r>
          </w:p>
        </w:tc>
        <w:tc>
          <w:tcPr>
            <w:tcW w:w="1186" w:type="dxa"/>
            <w:vAlign w:val="center"/>
          </w:tcPr>
          <w:p w14:paraId="6058D3CF">
            <w:pPr>
              <w:pStyle w:val="12"/>
              <w:jc w:val="center"/>
            </w:pPr>
            <w:r>
              <w:t>报价要求</w:t>
            </w:r>
          </w:p>
        </w:tc>
        <w:tc>
          <w:tcPr>
            <w:tcW w:w="5698" w:type="dxa"/>
          </w:tcPr>
          <w:p w14:paraId="6B1B3285">
            <w:pPr>
              <w:pStyle w:val="12"/>
              <w:jc w:val="left"/>
            </w:pPr>
            <w:r>
              <w:t>1.本项目报价为广东省佛山市目的地交付价。</w:t>
            </w:r>
          </w:p>
          <w:p w14:paraId="505FCE19">
            <w:pPr>
              <w:pStyle w:val="12"/>
              <w:jc w:val="left"/>
            </w:pPr>
            <w:r>
              <w:t>2.</w:t>
            </w:r>
            <w:r>
              <w:rPr>
                <w:rFonts w:hint="eastAsia"/>
                <w:lang w:eastAsia="zh-CN"/>
              </w:rPr>
              <w:t>投标报价</w:t>
            </w:r>
            <w:r>
              <w:t>指</w:t>
            </w:r>
            <w:r>
              <w:rPr>
                <w:rFonts w:hint="eastAsia"/>
                <w:lang w:val="en-US" w:eastAsia="zh-CN"/>
              </w:rPr>
              <w:t>投标人</w:t>
            </w:r>
            <w:r>
              <w:t>为完成本项目所收取的全部费用，包含但不限于以下费用：设计深化、系统开发、</w:t>
            </w:r>
            <w:r>
              <w:rPr>
                <w:rFonts w:hint="eastAsia"/>
                <w:lang w:val="en-US" w:eastAsia="zh-CN"/>
              </w:rPr>
              <w:t>国内技术改造、适配整合费用、</w:t>
            </w:r>
            <w:r>
              <w:t>成本费、劳务费、交通费、场地费、</w:t>
            </w:r>
            <w:r>
              <w:rPr>
                <w:rFonts w:hint="eastAsia"/>
                <w:lang w:val="en-US" w:eastAsia="zh-CN"/>
              </w:rPr>
              <w:t>验收、</w:t>
            </w:r>
            <w:r>
              <w:t>税金（全额含税发票）、雇员费用、如涉及软件许可使用或技术指导、人员培训的，还应包括软件许可费以及一切技术服务费、人员培训费、项目实施过程中其它应预见和不可预见费用等完成本采购项目、达到采购人目的的一切费用及企业利润，以及本项目的招标代理服务费（即中标服务费），但此费用无需单列，包含在各子项中。</w:t>
            </w:r>
          </w:p>
          <w:p w14:paraId="3358034E">
            <w:pPr>
              <w:pStyle w:val="12"/>
              <w:jc w:val="left"/>
            </w:pPr>
            <w:r>
              <w:t>3.</w:t>
            </w:r>
            <w:r>
              <w:rPr>
                <w:rFonts w:hint="eastAsia"/>
                <w:lang w:val="en-US" w:eastAsia="zh-CN"/>
              </w:rPr>
              <w:t>投标人</w:t>
            </w:r>
            <w:r>
              <w:t>须考虑本项目在实施期间的一切可能产生的费用。</w:t>
            </w:r>
          </w:p>
          <w:p w14:paraId="7DA185FA">
            <w:pPr>
              <w:pStyle w:val="12"/>
              <w:jc w:val="left"/>
            </w:pPr>
            <w:r>
              <w:t>4.报价不得高于本项目的预算金额，否则视为无效报价，作无效投标处理。</w:t>
            </w:r>
          </w:p>
          <w:p w14:paraId="569DC32F">
            <w:pPr>
              <w:pStyle w:val="12"/>
              <w:jc w:val="left"/>
            </w:pPr>
            <w:r>
              <w:t>5.报价合理性：根据《政府采购货物和服务招标投标管理办法》第六十条的规定：评标委员会认为</w:t>
            </w:r>
            <w:r>
              <w:rPr>
                <w:rFonts w:hint="eastAsia"/>
                <w:lang w:val="en-US" w:eastAsia="zh-CN"/>
              </w:rPr>
              <w:t>投标人</w:t>
            </w:r>
            <w:r>
              <w:t>的报价明显低于其他通过符合性审查</w:t>
            </w:r>
            <w:r>
              <w:rPr>
                <w:rFonts w:hint="eastAsia"/>
                <w:lang w:val="en-US" w:eastAsia="zh-CN"/>
              </w:rPr>
              <w:t>投标人</w:t>
            </w:r>
            <w:r>
              <w:t>的报价，有可能影响产品质量或者不能诚信履约的，应当要求其在评标现场合理的时间内提供书面说明，必要时提交相关证明材料；</w:t>
            </w:r>
            <w:r>
              <w:rPr>
                <w:rFonts w:hint="eastAsia"/>
                <w:lang w:val="en-US" w:eastAsia="zh-CN"/>
              </w:rPr>
              <w:t>投标人</w:t>
            </w:r>
            <w:r>
              <w:t>不能证明其报价合理性的，评标委员会应当将其作为无效投标处理。</w:t>
            </w:r>
          </w:p>
          <w:p w14:paraId="2E12D22A">
            <w:pPr>
              <w:pStyle w:val="12"/>
              <w:jc w:val="left"/>
            </w:pPr>
          </w:p>
        </w:tc>
      </w:tr>
      <w:tr w14:paraId="398AC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23E3FC3B">
            <w:pPr>
              <w:jc w:val="center"/>
            </w:pPr>
          </w:p>
        </w:tc>
        <w:tc>
          <w:tcPr>
            <w:tcW w:w="691" w:type="dxa"/>
            <w:vAlign w:val="center"/>
          </w:tcPr>
          <w:p w14:paraId="7E8DE5B0">
            <w:pPr>
              <w:pStyle w:val="12"/>
              <w:jc w:val="center"/>
              <w:rPr>
                <w:rFonts w:hint="eastAsia" w:eastAsiaTheme="minorEastAsia"/>
                <w:lang w:val="en-US" w:eastAsia="zh-CN"/>
              </w:rPr>
            </w:pPr>
            <w:r>
              <w:rPr>
                <w:rFonts w:hint="eastAsia"/>
                <w:lang w:val="en-US" w:eastAsia="zh-CN"/>
              </w:rPr>
              <w:t>2</w:t>
            </w:r>
          </w:p>
        </w:tc>
        <w:tc>
          <w:tcPr>
            <w:tcW w:w="1186" w:type="dxa"/>
            <w:vAlign w:val="center"/>
          </w:tcPr>
          <w:p w14:paraId="2EF60217">
            <w:pPr>
              <w:pStyle w:val="12"/>
              <w:jc w:val="center"/>
              <w:rPr>
                <w:rFonts w:hint="default" w:eastAsiaTheme="minorEastAsia"/>
                <w:lang w:val="en-US" w:eastAsia="zh-CN"/>
              </w:rPr>
            </w:pPr>
            <w:r>
              <w:rPr>
                <w:rFonts w:hint="eastAsia"/>
                <w:lang w:val="en-US" w:eastAsia="zh-CN"/>
              </w:rPr>
              <w:t>合同款项支付补充说明：</w:t>
            </w:r>
          </w:p>
        </w:tc>
        <w:tc>
          <w:tcPr>
            <w:tcW w:w="5698" w:type="dxa"/>
          </w:tcPr>
          <w:p w14:paraId="3EE9470D">
            <w:pPr>
              <w:pStyle w:val="12"/>
              <w:jc w:val="both"/>
            </w:pPr>
            <w:r>
              <w:rPr>
                <w:sz w:val="21"/>
              </w:rPr>
              <w:t>1</w:t>
            </w:r>
            <w:r>
              <w:rPr>
                <w:rFonts w:hint="eastAsia"/>
                <w:sz w:val="21"/>
                <w:lang w:val="en-US" w:eastAsia="zh-CN"/>
              </w:rPr>
              <w:t>.</w:t>
            </w:r>
            <w:r>
              <w:rPr>
                <w:sz w:val="21"/>
              </w:rPr>
              <w:t>合同款项的支付方式：转账结算（银行转账）。</w:t>
            </w:r>
          </w:p>
          <w:p w14:paraId="4D6D83B7">
            <w:pPr>
              <w:pStyle w:val="12"/>
              <w:jc w:val="both"/>
            </w:pPr>
            <w:r>
              <w:rPr>
                <w:sz w:val="21"/>
              </w:rPr>
              <w:t>2</w:t>
            </w:r>
            <w:r>
              <w:rPr>
                <w:rFonts w:hint="eastAsia"/>
                <w:sz w:val="21"/>
                <w:lang w:val="en-US" w:eastAsia="zh-CN"/>
              </w:rPr>
              <w:t>.</w:t>
            </w:r>
            <w:r>
              <w:rPr>
                <w:sz w:val="21"/>
              </w:rPr>
              <w:t>付款方：</w:t>
            </w:r>
            <w:r>
              <w:rPr>
                <w:rFonts w:hint="eastAsia"/>
                <w:sz w:val="21"/>
                <w:lang w:val="en-US" w:eastAsia="zh-CN"/>
              </w:rPr>
              <w:t>采购人</w:t>
            </w:r>
            <w:r>
              <w:rPr>
                <w:sz w:val="21"/>
              </w:rPr>
              <w:t>；收款方：</w:t>
            </w:r>
            <w:r>
              <w:rPr>
                <w:rFonts w:hint="eastAsia"/>
                <w:sz w:val="21"/>
                <w:lang w:val="en-US" w:eastAsia="zh-CN"/>
              </w:rPr>
              <w:t>中标人</w:t>
            </w:r>
            <w:r>
              <w:rPr>
                <w:sz w:val="21"/>
              </w:rPr>
              <w:t>。</w:t>
            </w:r>
          </w:p>
          <w:p w14:paraId="756B8901">
            <w:pPr>
              <w:pStyle w:val="12"/>
              <w:jc w:val="both"/>
            </w:pPr>
            <w:r>
              <w:rPr>
                <w:sz w:val="21"/>
              </w:rPr>
              <w:t>3</w:t>
            </w:r>
            <w:r>
              <w:rPr>
                <w:rFonts w:hint="eastAsia"/>
                <w:sz w:val="21"/>
                <w:lang w:val="en-US" w:eastAsia="zh-CN"/>
              </w:rPr>
              <w:t>.</w:t>
            </w:r>
            <w:r>
              <w:rPr>
                <w:sz w:val="21"/>
              </w:rPr>
              <w:t>开具发票：</w:t>
            </w:r>
            <w:r>
              <w:rPr>
                <w:rFonts w:hint="eastAsia"/>
                <w:sz w:val="21"/>
                <w:lang w:val="en-US" w:eastAsia="zh-CN"/>
              </w:rPr>
              <w:t>中标人</w:t>
            </w:r>
            <w:r>
              <w:rPr>
                <w:sz w:val="21"/>
              </w:rPr>
              <w:t>收款时必须持有效发票。收款方、出具发票方、合同乙方均必须与</w:t>
            </w:r>
            <w:r>
              <w:rPr>
                <w:rFonts w:hint="eastAsia"/>
                <w:sz w:val="21"/>
                <w:lang w:val="en-US" w:eastAsia="zh-CN"/>
              </w:rPr>
              <w:t>中标人</w:t>
            </w:r>
            <w:r>
              <w:rPr>
                <w:sz w:val="21"/>
              </w:rPr>
              <w:t>名称一致。</w:t>
            </w:r>
          </w:p>
          <w:p w14:paraId="5FFDA53D">
            <w:pPr>
              <w:pStyle w:val="12"/>
              <w:jc w:val="both"/>
            </w:pPr>
            <w:r>
              <w:rPr>
                <w:sz w:val="21"/>
              </w:rPr>
              <w:t>4</w:t>
            </w:r>
            <w:r>
              <w:rPr>
                <w:rFonts w:hint="eastAsia"/>
                <w:sz w:val="21"/>
                <w:lang w:val="en-US" w:eastAsia="zh-CN"/>
              </w:rPr>
              <w:t>.</w:t>
            </w:r>
            <w:r>
              <w:rPr>
                <w:sz w:val="21"/>
              </w:rPr>
              <w:t>对于满足合同支付条件的，甲方原则上在收到发票后10个工作日内按照采购合同约定办理支付手续。</w:t>
            </w:r>
            <w:r>
              <w:rPr>
                <w:rFonts w:hint="eastAsia"/>
                <w:sz w:val="21"/>
                <w:lang w:val="en-US" w:eastAsia="zh-CN"/>
              </w:rPr>
              <w:t>采购人</w:t>
            </w:r>
            <w:r>
              <w:rPr>
                <w:sz w:val="21"/>
              </w:rPr>
              <w:t>从中小企业采购货物、工程、服务，应当自货物、工程、服务交付之日起30日内支付款项。</w:t>
            </w:r>
          </w:p>
          <w:p w14:paraId="338F41E0">
            <w:pPr>
              <w:pStyle w:val="12"/>
              <w:jc w:val="left"/>
              <w:rPr>
                <w:rFonts w:hint="eastAsia"/>
                <w:b/>
                <w:bCs/>
                <w:lang w:val="en-US" w:eastAsia="zh-CN"/>
              </w:rPr>
            </w:pPr>
            <w:r>
              <w:rPr>
                <w:sz w:val="21"/>
              </w:rPr>
              <w:t>5</w:t>
            </w:r>
            <w:r>
              <w:rPr>
                <w:rFonts w:hint="eastAsia"/>
                <w:sz w:val="21"/>
                <w:lang w:val="en-US" w:eastAsia="zh-CN"/>
              </w:rPr>
              <w:t>.</w:t>
            </w:r>
            <w:r>
              <w:rPr>
                <w:sz w:val="21"/>
              </w:rPr>
              <w:t>付款期间如因特殊情况需调整，由双方协商处理。</w:t>
            </w:r>
          </w:p>
          <w:p w14:paraId="48C0BCB0">
            <w:pPr>
              <w:pStyle w:val="12"/>
              <w:jc w:val="left"/>
              <w:rPr>
                <w:rFonts w:hint="eastAsia"/>
                <w:b/>
                <w:bCs/>
                <w:lang w:val="en-US" w:eastAsia="zh-CN"/>
              </w:rPr>
            </w:pPr>
            <w:r>
              <w:rPr>
                <w:rFonts w:hint="eastAsia"/>
                <w:b/>
                <w:bCs/>
                <w:lang w:val="en-US" w:eastAsia="zh-CN"/>
              </w:rPr>
              <w:t>6.</w:t>
            </w:r>
            <w:r>
              <w:rPr>
                <w:rFonts w:hint="eastAsia"/>
                <w:b/>
                <w:bCs/>
              </w:rPr>
              <w:t>财政资金支付特别约定：鉴于本</w:t>
            </w:r>
            <w:r>
              <w:rPr>
                <w:rFonts w:hint="eastAsia"/>
                <w:b/>
                <w:bCs/>
                <w:lang w:val="en-US" w:eastAsia="zh-CN"/>
              </w:rPr>
              <w:t>项目</w:t>
            </w:r>
            <w:r>
              <w:rPr>
                <w:rFonts w:hint="eastAsia"/>
                <w:b/>
                <w:bCs/>
              </w:rPr>
              <w:t>款项来源于财政资金，</w:t>
            </w:r>
            <w:r>
              <w:rPr>
                <w:rFonts w:hint="eastAsia"/>
                <w:b/>
                <w:bCs/>
                <w:lang w:val="en-US" w:eastAsia="zh-CN"/>
              </w:rPr>
              <w:t>采购人</w:t>
            </w:r>
            <w:r>
              <w:rPr>
                <w:rFonts w:hint="eastAsia"/>
                <w:b/>
                <w:bCs/>
              </w:rPr>
              <w:t>在上述条款规定的付款时限内，向政府采购支付部门提交合规的支付申请及相关材料，即视为</w:t>
            </w:r>
            <w:r>
              <w:rPr>
                <w:rFonts w:hint="eastAsia"/>
                <w:b/>
                <w:bCs/>
                <w:lang w:val="en-US" w:eastAsia="zh-CN"/>
              </w:rPr>
              <w:t>采购人</w:t>
            </w:r>
            <w:r>
              <w:rPr>
                <w:rFonts w:hint="eastAsia"/>
                <w:b/>
                <w:bCs/>
              </w:rPr>
              <w:t>已履行合同约定的付款义务。本</w:t>
            </w:r>
            <w:r>
              <w:rPr>
                <w:rFonts w:hint="eastAsia"/>
                <w:b/>
                <w:bCs/>
                <w:lang w:val="en-US" w:eastAsia="zh-CN"/>
              </w:rPr>
              <w:t>项目</w:t>
            </w:r>
            <w:r>
              <w:rPr>
                <w:rFonts w:hint="eastAsia"/>
                <w:b/>
                <w:bCs/>
              </w:rPr>
              <w:t>下的最终支付金额及实际拨付时间，均以财政部门的预算批复、财政审批及国库集中支付系统的审核结果及拨款进度为准。</w:t>
            </w:r>
            <w:r>
              <w:rPr>
                <w:rFonts w:hint="eastAsia"/>
                <w:b/>
                <w:bCs/>
                <w:lang w:val="en-US" w:eastAsia="zh-CN"/>
              </w:rPr>
              <w:t>中标人</w:t>
            </w:r>
            <w:r>
              <w:rPr>
                <w:rFonts w:hint="eastAsia"/>
                <w:b/>
                <w:bCs/>
              </w:rPr>
              <w:t>充分理解并认可上述资金支付条款，并不得以最终付款金额、支付进度与合同约定不符为由主张</w:t>
            </w:r>
            <w:r>
              <w:rPr>
                <w:rFonts w:hint="eastAsia"/>
                <w:b/>
                <w:bCs/>
                <w:lang w:val="en-US" w:eastAsia="zh-CN"/>
              </w:rPr>
              <w:t>采购人</w:t>
            </w:r>
            <w:r>
              <w:rPr>
                <w:rFonts w:hint="eastAsia"/>
                <w:b/>
                <w:bCs/>
              </w:rPr>
              <w:t>违约并承担违约责任。</w:t>
            </w:r>
          </w:p>
        </w:tc>
      </w:tr>
      <w:tr w14:paraId="00D22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3B0741F5">
            <w:pPr>
              <w:jc w:val="center"/>
            </w:pPr>
          </w:p>
        </w:tc>
        <w:tc>
          <w:tcPr>
            <w:tcW w:w="691" w:type="dxa"/>
            <w:vAlign w:val="center"/>
          </w:tcPr>
          <w:p w14:paraId="00375875">
            <w:pPr>
              <w:pStyle w:val="12"/>
              <w:jc w:val="center"/>
              <w:rPr>
                <w:rFonts w:hint="eastAsia" w:eastAsiaTheme="minorEastAsia"/>
                <w:lang w:eastAsia="zh-CN"/>
              </w:rPr>
            </w:pPr>
            <w:r>
              <w:rPr>
                <w:rFonts w:hint="eastAsia"/>
                <w:lang w:val="en-US" w:eastAsia="zh-CN"/>
              </w:rPr>
              <w:t>3</w:t>
            </w:r>
          </w:p>
        </w:tc>
        <w:tc>
          <w:tcPr>
            <w:tcW w:w="1186" w:type="dxa"/>
            <w:vAlign w:val="center"/>
          </w:tcPr>
          <w:p w14:paraId="08C6A33B">
            <w:pPr>
              <w:pStyle w:val="12"/>
              <w:jc w:val="center"/>
            </w:pPr>
            <w:r>
              <w:t>项目实施人员管理</w:t>
            </w:r>
          </w:p>
        </w:tc>
        <w:tc>
          <w:tcPr>
            <w:tcW w:w="5698" w:type="dxa"/>
          </w:tcPr>
          <w:p w14:paraId="166677D7">
            <w:pPr>
              <w:pStyle w:val="12"/>
              <w:jc w:val="left"/>
            </w:pPr>
            <w:r>
              <w:t>1.</w:t>
            </w:r>
            <w:r>
              <w:rPr>
                <w:rFonts w:hint="eastAsia"/>
                <w:lang w:val="en-US" w:eastAsia="zh-CN"/>
              </w:rPr>
              <w:t>投标人</w:t>
            </w:r>
            <w:r>
              <w:t>需有成熟的内部质量、环境、职业健康管理体系和相关管理制度，确保为采购人提供专业服务。</w:t>
            </w:r>
          </w:p>
          <w:p w14:paraId="393C3E81">
            <w:pPr>
              <w:pStyle w:val="12"/>
              <w:jc w:val="left"/>
            </w:pPr>
            <w:r>
              <w:t>2.在项目实施期间，</w:t>
            </w:r>
            <w:r>
              <w:rPr>
                <w:rFonts w:hint="eastAsia"/>
                <w:lang w:eastAsia="zh-CN"/>
              </w:rPr>
              <w:t>中标人</w:t>
            </w:r>
            <w:r>
              <w:t>须投入专业团队为采购人提供服务，具体各岗位分配包含但不限于需求分析、系统架构、软件开发、软件测试等。</w:t>
            </w:r>
          </w:p>
          <w:p w14:paraId="724A978D">
            <w:pPr>
              <w:pStyle w:val="12"/>
              <w:jc w:val="left"/>
            </w:pPr>
            <w:r>
              <w:t>3.未经采购人同意，</w:t>
            </w:r>
            <w:r>
              <w:rPr>
                <w:rFonts w:hint="eastAsia"/>
                <w:lang w:eastAsia="zh-CN"/>
              </w:rPr>
              <w:t>中标人</w:t>
            </w:r>
            <w:r>
              <w:t>不得调整在响应文件中所承诺投入的项目实施人员，否则</w:t>
            </w:r>
            <w:r>
              <w:rPr>
                <w:rFonts w:hint="eastAsia"/>
                <w:lang w:eastAsia="zh-CN"/>
              </w:rPr>
              <w:t>中标人</w:t>
            </w:r>
            <w:r>
              <w:t>赔偿由此给采购人造成的全部损失。采购人有权以书面形式要求</w:t>
            </w:r>
            <w:r>
              <w:rPr>
                <w:rFonts w:hint="eastAsia"/>
                <w:lang w:eastAsia="zh-CN"/>
              </w:rPr>
              <w:t>中标人</w:t>
            </w:r>
            <w:r>
              <w:t>更换不能按规定履行合同的人员。即使是采购人要求或同意更换的人员，其代替人员的资质仍应得到采购人的认可，且其资历和经验均不低于被更换人员。由此产生的费用由</w:t>
            </w:r>
            <w:r>
              <w:rPr>
                <w:rFonts w:hint="eastAsia"/>
                <w:lang w:eastAsia="zh-CN"/>
              </w:rPr>
              <w:t>中标人</w:t>
            </w:r>
            <w:r>
              <w:t>承担。</w:t>
            </w:r>
          </w:p>
          <w:p w14:paraId="5EB66CFF">
            <w:pPr>
              <w:pStyle w:val="12"/>
              <w:jc w:val="left"/>
            </w:pPr>
            <w:r>
              <w:t>4.</w:t>
            </w:r>
            <w:r>
              <w:rPr>
                <w:rFonts w:hint="eastAsia"/>
                <w:lang w:eastAsia="zh-CN"/>
              </w:rPr>
              <w:t>中标人</w:t>
            </w:r>
            <w:r>
              <w:t>对其雇员的人身安全负全部责任。</w:t>
            </w:r>
          </w:p>
        </w:tc>
      </w:tr>
      <w:tr w14:paraId="2706B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69E34460">
            <w:pPr>
              <w:jc w:val="center"/>
            </w:pPr>
          </w:p>
        </w:tc>
        <w:tc>
          <w:tcPr>
            <w:tcW w:w="691" w:type="dxa"/>
            <w:vAlign w:val="center"/>
          </w:tcPr>
          <w:p w14:paraId="53FDE139">
            <w:pPr>
              <w:pStyle w:val="12"/>
              <w:jc w:val="center"/>
              <w:rPr>
                <w:rFonts w:hint="eastAsia" w:eastAsiaTheme="minorEastAsia"/>
                <w:lang w:val="en-US" w:eastAsia="zh-CN"/>
              </w:rPr>
            </w:pPr>
            <w:r>
              <w:rPr>
                <w:rFonts w:hint="eastAsia"/>
                <w:lang w:val="en-US" w:eastAsia="zh-CN"/>
              </w:rPr>
              <w:t>4</w:t>
            </w:r>
          </w:p>
        </w:tc>
        <w:tc>
          <w:tcPr>
            <w:tcW w:w="1186" w:type="dxa"/>
            <w:vAlign w:val="center"/>
          </w:tcPr>
          <w:p w14:paraId="7E282312">
            <w:pPr>
              <w:pStyle w:val="12"/>
              <w:jc w:val="center"/>
            </w:pPr>
            <w:r>
              <w:rPr>
                <w:sz w:val="21"/>
              </w:rPr>
              <w:t>系统软件优化期（质保期）</w:t>
            </w:r>
          </w:p>
        </w:tc>
        <w:tc>
          <w:tcPr>
            <w:tcW w:w="5698" w:type="dxa"/>
            <w:vAlign w:val="center"/>
          </w:tcPr>
          <w:p w14:paraId="7287202C">
            <w:pPr>
              <w:pStyle w:val="12"/>
              <w:jc w:val="both"/>
            </w:pPr>
            <w:r>
              <w:rPr>
                <w:sz w:val="21"/>
              </w:rPr>
              <w:t>系统软件优化期（质保期）：系统软件优化期为项目合同验收合格之日起一年。</w:t>
            </w:r>
          </w:p>
        </w:tc>
      </w:tr>
      <w:tr w14:paraId="76769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54A48A5B">
            <w:pPr>
              <w:jc w:val="center"/>
            </w:pPr>
          </w:p>
        </w:tc>
        <w:tc>
          <w:tcPr>
            <w:tcW w:w="691" w:type="dxa"/>
            <w:vAlign w:val="center"/>
          </w:tcPr>
          <w:p w14:paraId="47E61AF0">
            <w:pPr>
              <w:pStyle w:val="12"/>
              <w:jc w:val="center"/>
              <w:rPr>
                <w:rFonts w:hint="eastAsia" w:eastAsiaTheme="minorEastAsia"/>
                <w:lang w:eastAsia="zh-CN"/>
              </w:rPr>
            </w:pPr>
            <w:r>
              <w:rPr>
                <w:rFonts w:hint="eastAsia"/>
                <w:lang w:val="en-US" w:eastAsia="zh-CN"/>
              </w:rPr>
              <w:t>5</w:t>
            </w:r>
          </w:p>
        </w:tc>
        <w:tc>
          <w:tcPr>
            <w:tcW w:w="1186" w:type="dxa"/>
            <w:vAlign w:val="center"/>
          </w:tcPr>
          <w:p w14:paraId="40E78175">
            <w:pPr>
              <w:pStyle w:val="12"/>
              <w:jc w:val="center"/>
            </w:pPr>
            <w:r>
              <w:t>售后服务</w:t>
            </w:r>
          </w:p>
        </w:tc>
        <w:tc>
          <w:tcPr>
            <w:tcW w:w="5698" w:type="dxa"/>
          </w:tcPr>
          <w:p w14:paraId="64E34D7C">
            <w:pPr>
              <w:pStyle w:val="12"/>
              <w:jc w:val="left"/>
            </w:pPr>
            <w:r>
              <w:t>1.在系统软件</w:t>
            </w:r>
            <w:r>
              <w:rPr>
                <w:rFonts w:hint="eastAsia"/>
                <w:lang w:eastAsia="zh-CN"/>
              </w:rPr>
              <w:t>优化期间</w:t>
            </w:r>
            <w:r>
              <w:t>，</w:t>
            </w:r>
            <w:r>
              <w:rPr>
                <w:rFonts w:hint="eastAsia"/>
                <w:lang w:eastAsia="zh-CN"/>
              </w:rPr>
              <w:t>中标人</w:t>
            </w:r>
            <w:r>
              <w:t>应为本项目成立专门的维护服务和技术支持小组，解决采购人使用中的问题。</w:t>
            </w:r>
          </w:p>
          <w:p w14:paraId="47B8304D">
            <w:pPr>
              <w:pStyle w:val="12"/>
              <w:jc w:val="left"/>
            </w:pPr>
            <w:r>
              <w:t>2.</w:t>
            </w:r>
            <w:r>
              <w:rPr>
                <w:rFonts w:hint="eastAsia"/>
                <w:lang w:eastAsia="zh-CN"/>
              </w:rPr>
              <w:t>中标人</w:t>
            </w:r>
            <w:r>
              <w:t>须提供常设每周7天×24小时服务专线和长期的免费技术支持。对采购人的服务通知，</w:t>
            </w:r>
            <w:r>
              <w:rPr>
                <w:rFonts w:hint="eastAsia"/>
                <w:lang w:eastAsia="zh-CN"/>
              </w:rPr>
              <w:t>中标人</w:t>
            </w:r>
            <w:r>
              <w:t>必须在接报后30分钟内根据采购人要求提供远程服务或现场服务响应，协助采购人解决问题。（技术要求中有特别要求的，以特别要求为准）</w:t>
            </w:r>
          </w:p>
          <w:p w14:paraId="04C48161">
            <w:pPr>
              <w:pStyle w:val="12"/>
              <w:jc w:val="left"/>
            </w:pPr>
            <w:r>
              <w:t>3.</w:t>
            </w:r>
            <w:r>
              <w:rPr>
                <w:rFonts w:hint="eastAsia"/>
                <w:lang w:val="en-US" w:eastAsia="zh-CN"/>
              </w:rPr>
              <w:t>投标人</w:t>
            </w:r>
            <w:r>
              <w:t>应充分考虑满足项目的维护要求，编写项目计划，提出完整的项目管理、项目实施、项目维护、培训、项目验收方案以及</w:t>
            </w:r>
            <w:r>
              <w:rPr>
                <w:rFonts w:hint="eastAsia"/>
                <w:lang w:eastAsia="zh-CN"/>
              </w:rPr>
              <w:t>中标人</w:t>
            </w:r>
            <w:r>
              <w:t>人员安排及工作安排。</w:t>
            </w:r>
          </w:p>
          <w:p w14:paraId="2EEE9494">
            <w:pPr>
              <w:pStyle w:val="12"/>
              <w:jc w:val="left"/>
            </w:pPr>
            <w:r>
              <w:t>4.</w:t>
            </w:r>
            <w:r>
              <w:rPr>
                <w:rFonts w:hint="eastAsia"/>
                <w:lang w:eastAsia="zh-CN"/>
              </w:rPr>
              <w:t>中标人</w:t>
            </w:r>
            <w:r>
              <w:t>在项目实施过程中出现资源、进度、质量协调控制不力的情况，采购人有权要求更换项目负责人，</w:t>
            </w:r>
            <w:r>
              <w:rPr>
                <w:rFonts w:hint="eastAsia"/>
                <w:lang w:eastAsia="zh-CN"/>
              </w:rPr>
              <w:t>中标人</w:t>
            </w:r>
            <w:r>
              <w:t>必须无条件予以配合，并确保不影响项目维护进度和质量。</w:t>
            </w:r>
          </w:p>
          <w:p w14:paraId="4474DB46">
            <w:pPr>
              <w:pStyle w:val="12"/>
              <w:jc w:val="left"/>
            </w:pPr>
            <w:r>
              <w:t>5.采购人有权在项目实施周期内、依据项目建设内容对投标项目进行巡检、故障应急、现场调优等各项工作的监督和管理。双方在中间过程中涉及到的具体工作内容上取得一致的情况下，</w:t>
            </w:r>
            <w:r>
              <w:rPr>
                <w:rFonts w:hint="eastAsia"/>
                <w:lang w:eastAsia="zh-CN"/>
              </w:rPr>
              <w:t>中标人</w:t>
            </w:r>
            <w:r>
              <w:t>必须接受并服从采购人的监督、管理要求，无条件提供中间过程工作成果。</w:t>
            </w:r>
          </w:p>
        </w:tc>
      </w:tr>
      <w:tr w14:paraId="63015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0BAA96F0">
            <w:pPr>
              <w:jc w:val="center"/>
            </w:pPr>
          </w:p>
        </w:tc>
        <w:tc>
          <w:tcPr>
            <w:tcW w:w="691" w:type="dxa"/>
            <w:vAlign w:val="center"/>
          </w:tcPr>
          <w:p w14:paraId="02543234">
            <w:pPr>
              <w:pStyle w:val="12"/>
              <w:jc w:val="center"/>
              <w:rPr>
                <w:rFonts w:hint="eastAsia" w:eastAsiaTheme="minorEastAsia"/>
                <w:lang w:eastAsia="zh-CN"/>
              </w:rPr>
            </w:pPr>
            <w:r>
              <w:rPr>
                <w:rFonts w:hint="eastAsia"/>
                <w:lang w:val="en-US" w:eastAsia="zh-CN"/>
              </w:rPr>
              <w:t>6</w:t>
            </w:r>
          </w:p>
        </w:tc>
        <w:tc>
          <w:tcPr>
            <w:tcW w:w="1186" w:type="dxa"/>
            <w:vAlign w:val="center"/>
          </w:tcPr>
          <w:p w14:paraId="2CC4C16A">
            <w:pPr>
              <w:pStyle w:val="12"/>
              <w:jc w:val="center"/>
            </w:pPr>
            <w:r>
              <w:t>培训要求</w:t>
            </w:r>
          </w:p>
        </w:tc>
        <w:tc>
          <w:tcPr>
            <w:tcW w:w="5698" w:type="dxa"/>
          </w:tcPr>
          <w:p w14:paraId="744F3338">
            <w:pPr>
              <w:pStyle w:val="12"/>
              <w:jc w:val="left"/>
            </w:pPr>
            <w:r>
              <w:t>1.</w:t>
            </w:r>
            <w:r>
              <w:rPr>
                <w:rFonts w:hint="eastAsia"/>
                <w:lang w:eastAsia="zh-CN"/>
              </w:rPr>
              <w:t>中标人</w:t>
            </w:r>
            <w:r>
              <w:t>须为采购人系统使用人员提供业务培训。</w:t>
            </w:r>
          </w:p>
          <w:p w14:paraId="6D642793">
            <w:pPr>
              <w:pStyle w:val="12"/>
              <w:jc w:val="left"/>
            </w:pPr>
            <w:r>
              <w:t>2.培训内容：包括但不限于系统管理、系统使用、系统维护等内容。</w:t>
            </w:r>
          </w:p>
          <w:p w14:paraId="33CADF9B">
            <w:pPr>
              <w:pStyle w:val="12"/>
              <w:jc w:val="left"/>
            </w:pPr>
            <w:r>
              <w:t>3.</w:t>
            </w:r>
            <w:r>
              <w:rPr>
                <w:rFonts w:hint="eastAsia"/>
                <w:lang w:val="en-US" w:eastAsia="zh-CN"/>
              </w:rPr>
              <w:t>投标人</w:t>
            </w:r>
            <w:r>
              <w:t>须提供培训用文字资料和讲义等相关用品。所有的资料必须是中文书写。</w:t>
            </w:r>
          </w:p>
          <w:p w14:paraId="625CFC87">
            <w:pPr>
              <w:pStyle w:val="12"/>
              <w:jc w:val="left"/>
            </w:pPr>
            <w:r>
              <w:t>4.所有的培训费用包括差旅、食宿、教材、资料等由</w:t>
            </w:r>
            <w:r>
              <w:rPr>
                <w:rFonts w:hint="eastAsia"/>
                <w:lang w:eastAsia="zh-CN"/>
              </w:rPr>
              <w:t>中标人</w:t>
            </w:r>
            <w:r>
              <w:t>负责，均计入投标报价。</w:t>
            </w:r>
          </w:p>
        </w:tc>
      </w:tr>
      <w:tr w14:paraId="1B89C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12E4B0D4">
            <w:pPr>
              <w:jc w:val="center"/>
            </w:pPr>
          </w:p>
        </w:tc>
        <w:tc>
          <w:tcPr>
            <w:tcW w:w="691" w:type="dxa"/>
            <w:vAlign w:val="center"/>
          </w:tcPr>
          <w:p w14:paraId="6258C274">
            <w:pPr>
              <w:pStyle w:val="12"/>
              <w:jc w:val="center"/>
              <w:rPr>
                <w:rFonts w:hint="eastAsia" w:eastAsiaTheme="minorEastAsia"/>
                <w:lang w:eastAsia="zh-CN"/>
              </w:rPr>
            </w:pPr>
            <w:r>
              <w:rPr>
                <w:rFonts w:hint="eastAsia"/>
                <w:lang w:val="en-US" w:eastAsia="zh-CN"/>
              </w:rPr>
              <w:t>7</w:t>
            </w:r>
          </w:p>
        </w:tc>
        <w:tc>
          <w:tcPr>
            <w:tcW w:w="1186" w:type="dxa"/>
            <w:vAlign w:val="center"/>
          </w:tcPr>
          <w:p w14:paraId="250C76B7">
            <w:pPr>
              <w:pStyle w:val="12"/>
              <w:jc w:val="center"/>
            </w:pPr>
            <w:r>
              <w:t>著作权归属</w:t>
            </w:r>
          </w:p>
        </w:tc>
        <w:tc>
          <w:tcPr>
            <w:tcW w:w="5698" w:type="dxa"/>
          </w:tcPr>
          <w:p w14:paraId="4C6E014D">
            <w:pPr>
              <w:pStyle w:val="12"/>
              <w:jc w:val="left"/>
            </w:pPr>
            <w:r>
              <w:t>1.本项目严格执行《佛山市政务信息化项目管理办法》和《佛山市政务信息化项目验收实施细则》工作要求，项目合同验收通过后，本项目相关的源代码、编译环境参数、数据设计说明等技术材料与其他符合性验收材料一并通过市信息化项目管理系统报政数部门备份。</w:t>
            </w:r>
          </w:p>
          <w:p w14:paraId="12A21096">
            <w:pPr>
              <w:pStyle w:val="12"/>
              <w:jc w:val="left"/>
            </w:pPr>
            <w:r>
              <w:t>2.基于本项目新开发的产品的著作权、知识产权成果归采购人所有，包括但不限于：发表权、署名权、修改权、保护作品完整权、使用权、许可使用权、转让权。</w:t>
            </w:r>
          </w:p>
          <w:p w14:paraId="48F42A64">
            <w:pPr>
              <w:pStyle w:val="12"/>
              <w:jc w:val="left"/>
            </w:pPr>
            <w:r>
              <w:t>3.根据国务院令第339号《计算机软件保护条例》，</w:t>
            </w:r>
            <w:r>
              <w:rPr>
                <w:rFonts w:hint="eastAsia"/>
                <w:lang w:eastAsia="zh-CN"/>
              </w:rPr>
              <w:t>中标人</w:t>
            </w:r>
            <w:r>
              <w:t>受采购人的委托，为本项目独立开发的系统软件（包括计算机程序和文档）在正式交付使用时，采购人即作为唯一著作权拥有其著作权，并依法享有下列权利和权益： (1)发表权，即决定软件是否公这于众的权利； (2)署名权，即表明著作权人的身份，在软件上署名有权利； (3)修改权，即对软件进行增补、删节，或者改变指令、语句顺序的权利； (4)复制权，即将软件制作一份或者多份的权利； (5)发行权，即以出售或者赠与方式向公众提供软件的原件或者复制件的权利； (6)出租权，即有偿许可他人临时使用软件的权利，但是软件不是出租的主要标的的除外； (7)信息网络传播权，即以有线或者无线方式向公众提供软件，使公众可以在其个人选定的时间和地点获得软件的权利； (8)翻译权，即将原软件从一种自然语言文字转换成另一种自然语言方字的权利； (9)应当由软件著作权人享有的其他权利。</w:t>
            </w:r>
          </w:p>
          <w:p w14:paraId="6792FA67">
            <w:pPr>
              <w:pStyle w:val="12"/>
              <w:jc w:val="left"/>
            </w:pPr>
            <w:r>
              <w:t>4.软件著作权的保护期为50年。在保护期内，著作权人可以许可他人行使其软件著作权，或授权转让其软件著作权。</w:t>
            </w:r>
          </w:p>
          <w:p w14:paraId="2227C03F">
            <w:pPr>
              <w:pStyle w:val="12"/>
              <w:jc w:val="left"/>
            </w:pPr>
            <w:r>
              <w:t>5.</w:t>
            </w:r>
            <w:r>
              <w:rPr>
                <w:rFonts w:hint="eastAsia"/>
                <w:lang w:eastAsia="zh-CN"/>
              </w:rPr>
              <w:t>中标人</w:t>
            </w:r>
            <w:r>
              <w:t>未经采购人同意不得对软件进行复制、向公众发行、出租、转让、网络传播、改变软件的电子信息和属性等。</w:t>
            </w:r>
          </w:p>
          <w:p w14:paraId="2C4C8BB6">
            <w:pPr>
              <w:pStyle w:val="12"/>
              <w:jc w:val="left"/>
            </w:pPr>
            <w:r>
              <w:t>6.软件系统内所有涉及知识产权的产品设计，</w:t>
            </w:r>
            <w:r>
              <w:rPr>
                <w:rFonts w:hint="eastAsia"/>
                <w:lang w:eastAsia="zh-CN"/>
              </w:rPr>
              <w:t>中标人</w:t>
            </w:r>
            <w:r>
              <w:t>必须确保采购人拥有其合法的、不受限制的无偿使用权，并免受任何侵权索偿或诉讼。</w:t>
            </w:r>
          </w:p>
        </w:tc>
      </w:tr>
      <w:tr w14:paraId="53EED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0364BE3E">
            <w:pPr>
              <w:jc w:val="center"/>
            </w:pPr>
          </w:p>
        </w:tc>
        <w:tc>
          <w:tcPr>
            <w:tcW w:w="691" w:type="dxa"/>
            <w:vAlign w:val="center"/>
          </w:tcPr>
          <w:p w14:paraId="14EDF2B7">
            <w:pPr>
              <w:pStyle w:val="12"/>
              <w:jc w:val="center"/>
              <w:rPr>
                <w:rFonts w:hint="eastAsia" w:eastAsiaTheme="minorEastAsia"/>
                <w:lang w:eastAsia="zh-CN"/>
              </w:rPr>
            </w:pPr>
            <w:r>
              <w:rPr>
                <w:rFonts w:hint="eastAsia"/>
                <w:lang w:val="en-US" w:eastAsia="zh-CN"/>
              </w:rPr>
              <w:t>8</w:t>
            </w:r>
          </w:p>
        </w:tc>
        <w:tc>
          <w:tcPr>
            <w:tcW w:w="1186" w:type="dxa"/>
            <w:vAlign w:val="center"/>
          </w:tcPr>
          <w:p w14:paraId="5EE073BF">
            <w:pPr>
              <w:pStyle w:val="12"/>
              <w:jc w:val="center"/>
            </w:pPr>
            <w:r>
              <w:t>保密要求</w:t>
            </w:r>
          </w:p>
        </w:tc>
        <w:tc>
          <w:tcPr>
            <w:tcW w:w="5698" w:type="dxa"/>
          </w:tcPr>
          <w:p w14:paraId="65D7E246">
            <w:pPr>
              <w:pStyle w:val="12"/>
              <w:jc w:val="left"/>
            </w:pPr>
            <w:r>
              <w:t>1.</w:t>
            </w:r>
            <w:r>
              <w:rPr>
                <w:rFonts w:hint="eastAsia"/>
                <w:lang w:eastAsia="zh-CN"/>
              </w:rPr>
              <w:t>中标人</w:t>
            </w:r>
            <w:r>
              <w:t>在项目实施过程中，对采购人所提供的所有相关资料、数据，未经采购人书面同意不得向任何第三人泄露，且保密责任不因合同的终止或解除失效。如采购人提出要求，</w:t>
            </w:r>
            <w:r>
              <w:rPr>
                <w:rFonts w:hint="eastAsia"/>
                <w:lang w:eastAsia="zh-CN"/>
              </w:rPr>
              <w:t>中标人</w:t>
            </w:r>
            <w:r>
              <w:t>须无条件与采购人签定保密协议。</w:t>
            </w:r>
          </w:p>
          <w:p w14:paraId="012E7ACD">
            <w:pPr>
              <w:pStyle w:val="12"/>
              <w:jc w:val="left"/>
            </w:pPr>
            <w:r>
              <w:t>2.</w:t>
            </w:r>
            <w:r>
              <w:rPr>
                <w:rFonts w:hint="eastAsia"/>
                <w:lang w:eastAsia="zh-CN"/>
              </w:rPr>
              <w:t>中标人</w:t>
            </w:r>
            <w:r>
              <w:t>必须严格遵守国家、省、市档案保安制度及国家其它相关保密法规，必须采取措施对本项目加工过程中的档案实体和数据的保密，并保证安全。</w:t>
            </w:r>
            <w:r>
              <w:rPr>
                <w:rFonts w:hint="eastAsia"/>
                <w:lang w:eastAsia="zh-CN"/>
              </w:rPr>
              <w:t>中标人</w:t>
            </w:r>
            <w:r>
              <w:t>不得截留和向第三方泄露所涉及的档案、资料的范围、内容及最终形成的各类数据，确保档案信息的安全保密，如有违反，依法追究责任。由于</w:t>
            </w:r>
            <w:r>
              <w:rPr>
                <w:rFonts w:hint="eastAsia"/>
                <w:lang w:eastAsia="zh-CN"/>
              </w:rPr>
              <w:t>中标人</w:t>
            </w:r>
            <w:r>
              <w:t>过错导致的资料泄密，</w:t>
            </w:r>
            <w:r>
              <w:rPr>
                <w:rFonts w:hint="eastAsia"/>
                <w:lang w:eastAsia="zh-CN"/>
              </w:rPr>
              <w:t>中标人</w:t>
            </w:r>
            <w:r>
              <w:t>必须承担一切责任。 3.未尽事宜详见“第五章 合同文本”中《保密协议书》。</w:t>
            </w:r>
          </w:p>
        </w:tc>
      </w:tr>
      <w:tr w14:paraId="44FA5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9" w:type="dxa"/>
            <w:vAlign w:val="center"/>
          </w:tcPr>
          <w:p w14:paraId="4DE38925">
            <w:pPr>
              <w:jc w:val="center"/>
            </w:pPr>
          </w:p>
        </w:tc>
        <w:tc>
          <w:tcPr>
            <w:tcW w:w="691" w:type="dxa"/>
            <w:vAlign w:val="center"/>
          </w:tcPr>
          <w:p w14:paraId="46B494C3">
            <w:pPr>
              <w:pStyle w:val="12"/>
              <w:jc w:val="center"/>
              <w:rPr>
                <w:rFonts w:hint="eastAsia" w:eastAsiaTheme="minorEastAsia"/>
                <w:lang w:eastAsia="zh-CN"/>
              </w:rPr>
            </w:pPr>
            <w:r>
              <w:rPr>
                <w:rFonts w:hint="eastAsia"/>
                <w:lang w:val="en-US" w:eastAsia="zh-CN"/>
              </w:rPr>
              <w:t>9</w:t>
            </w:r>
          </w:p>
        </w:tc>
        <w:tc>
          <w:tcPr>
            <w:tcW w:w="1186" w:type="dxa"/>
            <w:vAlign w:val="center"/>
          </w:tcPr>
          <w:p w14:paraId="4A0986A3">
            <w:pPr>
              <w:pStyle w:val="12"/>
              <w:jc w:val="center"/>
            </w:pPr>
            <w:r>
              <w:t>其他要求</w:t>
            </w:r>
          </w:p>
        </w:tc>
        <w:tc>
          <w:tcPr>
            <w:tcW w:w="5698" w:type="dxa"/>
          </w:tcPr>
          <w:p w14:paraId="6EEAB4F5">
            <w:pPr>
              <w:pStyle w:val="12"/>
              <w:jc w:val="left"/>
            </w:pPr>
            <w:r>
              <w:t>其他未尽事宜详见“第五章 合同文本”。</w:t>
            </w:r>
          </w:p>
        </w:tc>
      </w:tr>
      <w:tr w14:paraId="67DEB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E50C257">
            <w:pPr>
              <w:pStyle w:val="12"/>
            </w:pPr>
            <w:r>
              <w:t>说明</w:t>
            </w:r>
          </w:p>
        </w:tc>
        <w:tc>
          <w:tcPr>
            <w:tcW w:w="7578" w:type="dxa"/>
            <w:gridSpan w:val="4"/>
          </w:tcPr>
          <w:p w14:paraId="54D87CC8">
            <w:pPr>
              <w:pStyle w:val="12"/>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677972E9">
      <w:pPr>
        <w:pStyle w:val="12"/>
        <w:rPr>
          <w:color w:val="auto"/>
          <w:highlight w:val="none"/>
        </w:rPr>
      </w:pPr>
      <w:bookmarkStart w:id="9" w:name="_GoBack"/>
      <w:bookmarkEnd w:id="9"/>
      <w:r>
        <w:rPr>
          <w:b/>
          <w:color w:val="auto"/>
          <w:highlight w:val="none"/>
        </w:rPr>
        <w:t>2.技术标准与要求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733"/>
        <w:gridCol w:w="733"/>
        <w:gridCol w:w="733"/>
        <w:gridCol w:w="770"/>
        <w:gridCol w:w="1279"/>
        <w:gridCol w:w="1279"/>
        <w:gridCol w:w="794"/>
        <w:gridCol w:w="734"/>
        <w:gridCol w:w="536"/>
      </w:tblGrid>
      <w:tr w14:paraId="7CDBC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vAlign w:val="center"/>
          </w:tcPr>
          <w:p w14:paraId="43DAA51E">
            <w:pPr>
              <w:pStyle w:val="12"/>
              <w:jc w:val="center"/>
              <w:rPr>
                <w:color w:val="auto"/>
                <w:highlight w:val="none"/>
              </w:rPr>
            </w:pPr>
            <w:r>
              <w:rPr>
                <w:color w:val="auto"/>
                <w:highlight w:val="none"/>
              </w:rPr>
              <w:t>序号</w:t>
            </w:r>
          </w:p>
        </w:tc>
        <w:tc>
          <w:tcPr>
            <w:tcW w:w="733" w:type="dxa"/>
            <w:vAlign w:val="center"/>
          </w:tcPr>
          <w:p w14:paraId="21108054">
            <w:pPr>
              <w:pStyle w:val="12"/>
              <w:jc w:val="center"/>
              <w:rPr>
                <w:color w:val="auto"/>
                <w:highlight w:val="none"/>
              </w:rPr>
            </w:pPr>
            <w:r>
              <w:rPr>
                <w:color w:val="auto"/>
                <w:highlight w:val="none"/>
              </w:rPr>
              <w:t>品目名称</w:t>
            </w:r>
          </w:p>
        </w:tc>
        <w:tc>
          <w:tcPr>
            <w:tcW w:w="733" w:type="dxa"/>
            <w:vAlign w:val="center"/>
          </w:tcPr>
          <w:p w14:paraId="77073E99">
            <w:pPr>
              <w:pStyle w:val="12"/>
              <w:jc w:val="center"/>
              <w:rPr>
                <w:color w:val="auto"/>
                <w:highlight w:val="none"/>
              </w:rPr>
            </w:pPr>
            <w:r>
              <w:rPr>
                <w:color w:val="auto"/>
                <w:highlight w:val="none"/>
              </w:rPr>
              <w:t>标的名称</w:t>
            </w:r>
          </w:p>
        </w:tc>
        <w:tc>
          <w:tcPr>
            <w:tcW w:w="733" w:type="dxa"/>
            <w:vAlign w:val="center"/>
          </w:tcPr>
          <w:p w14:paraId="62C65B91">
            <w:pPr>
              <w:pStyle w:val="12"/>
              <w:jc w:val="center"/>
              <w:rPr>
                <w:color w:val="auto"/>
                <w:highlight w:val="none"/>
              </w:rPr>
            </w:pPr>
            <w:r>
              <w:rPr>
                <w:color w:val="auto"/>
                <w:highlight w:val="none"/>
              </w:rPr>
              <w:t>单位</w:t>
            </w:r>
          </w:p>
        </w:tc>
        <w:tc>
          <w:tcPr>
            <w:tcW w:w="770" w:type="dxa"/>
            <w:vAlign w:val="center"/>
          </w:tcPr>
          <w:p w14:paraId="1ACEC200">
            <w:pPr>
              <w:pStyle w:val="12"/>
              <w:jc w:val="center"/>
              <w:rPr>
                <w:color w:val="auto"/>
                <w:highlight w:val="none"/>
              </w:rPr>
            </w:pPr>
            <w:r>
              <w:rPr>
                <w:color w:val="auto"/>
                <w:highlight w:val="none"/>
              </w:rPr>
              <w:t>数量</w:t>
            </w:r>
          </w:p>
        </w:tc>
        <w:tc>
          <w:tcPr>
            <w:tcW w:w="1279" w:type="dxa"/>
            <w:vAlign w:val="center"/>
          </w:tcPr>
          <w:p w14:paraId="562D8984">
            <w:pPr>
              <w:pStyle w:val="12"/>
              <w:jc w:val="center"/>
              <w:rPr>
                <w:color w:val="auto"/>
                <w:highlight w:val="none"/>
              </w:rPr>
            </w:pPr>
            <w:r>
              <w:rPr>
                <w:color w:val="auto"/>
                <w:highlight w:val="none"/>
              </w:rPr>
              <w:t>分项预算单价（元）</w:t>
            </w:r>
          </w:p>
        </w:tc>
        <w:tc>
          <w:tcPr>
            <w:tcW w:w="1279" w:type="dxa"/>
            <w:vAlign w:val="center"/>
          </w:tcPr>
          <w:p w14:paraId="2CD843FE">
            <w:pPr>
              <w:pStyle w:val="12"/>
              <w:jc w:val="center"/>
              <w:rPr>
                <w:color w:val="auto"/>
                <w:highlight w:val="none"/>
              </w:rPr>
            </w:pPr>
            <w:r>
              <w:rPr>
                <w:color w:val="auto"/>
                <w:highlight w:val="none"/>
              </w:rPr>
              <w:t>分项预算总价（元）</w:t>
            </w:r>
          </w:p>
        </w:tc>
        <w:tc>
          <w:tcPr>
            <w:tcW w:w="794" w:type="dxa"/>
            <w:vAlign w:val="center"/>
          </w:tcPr>
          <w:p w14:paraId="1DE2568E">
            <w:pPr>
              <w:pStyle w:val="12"/>
              <w:jc w:val="center"/>
              <w:rPr>
                <w:color w:val="auto"/>
                <w:highlight w:val="none"/>
              </w:rPr>
            </w:pPr>
            <w:r>
              <w:rPr>
                <w:color w:val="auto"/>
                <w:highlight w:val="none"/>
              </w:rPr>
              <w:t>权重%</w:t>
            </w:r>
          </w:p>
        </w:tc>
        <w:tc>
          <w:tcPr>
            <w:tcW w:w="734" w:type="dxa"/>
            <w:vAlign w:val="center"/>
          </w:tcPr>
          <w:p w14:paraId="65762D18">
            <w:pPr>
              <w:pStyle w:val="12"/>
              <w:jc w:val="center"/>
              <w:rPr>
                <w:color w:val="auto"/>
                <w:highlight w:val="none"/>
              </w:rPr>
            </w:pPr>
            <w:r>
              <w:rPr>
                <w:color w:val="auto"/>
                <w:highlight w:val="none"/>
              </w:rPr>
              <w:t>所属行业</w:t>
            </w:r>
          </w:p>
        </w:tc>
        <w:tc>
          <w:tcPr>
            <w:tcW w:w="536" w:type="dxa"/>
            <w:vAlign w:val="center"/>
          </w:tcPr>
          <w:p w14:paraId="5A626A10">
            <w:pPr>
              <w:pStyle w:val="12"/>
              <w:jc w:val="center"/>
              <w:rPr>
                <w:color w:val="auto"/>
                <w:highlight w:val="none"/>
              </w:rPr>
            </w:pPr>
            <w:r>
              <w:rPr>
                <w:color w:val="auto"/>
                <w:highlight w:val="none"/>
              </w:rPr>
              <w:t>技术要求</w:t>
            </w:r>
          </w:p>
        </w:tc>
      </w:tr>
      <w:tr w14:paraId="7CC82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vAlign w:val="center"/>
          </w:tcPr>
          <w:p w14:paraId="4881778E">
            <w:pPr>
              <w:pStyle w:val="12"/>
              <w:jc w:val="center"/>
              <w:rPr>
                <w:color w:val="auto"/>
                <w:highlight w:val="none"/>
              </w:rPr>
            </w:pPr>
            <w:r>
              <w:rPr>
                <w:color w:val="auto"/>
                <w:highlight w:val="none"/>
              </w:rPr>
              <w:t>1</w:t>
            </w:r>
          </w:p>
        </w:tc>
        <w:tc>
          <w:tcPr>
            <w:tcW w:w="733" w:type="dxa"/>
            <w:vAlign w:val="center"/>
          </w:tcPr>
          <w:p w14:paraId="5C0157B4">
            <w:pPr>
              <w:pStyle w:val="12"/>
              <w:jc w:val="center"/>
              <w:rPr>
                <w:rFonts w:hint="eastAsia" w:eastAsiaTheme="minorEastAsia"/>
                <w:color w:val="auto"/>
                <w:highlight w:val="none"/>
                <w:lang w:eastAsia="zh-CN"/>
              </w:rPr>
            </w:pPr>
            <w:r>
              <w:rPr>
                <w:rFonts w:hint="eastAsia"/>
                <w:color w:val="auto"/>
                <w:highlight w:val="none"/>
                <w:lang w:eastAsia="zh-CN"/>
              </w:rPr>
              <w:t>行业应用软件开发服务</w:t>
            </w:r>
          </w:p>
        </w:tc>
        <w:tc>
          <w:tcPr>
            <w:tcW w:w="733" w:type="dxa"/>
            <w:vAlign w:val="center"/>
          </w:tcPr>
          <w:p w14:paraId="35598B9A">
            <w:pPr>
              <w:pStyle w:val="12"/>
              <w:jc w:val="center"/>
              <w:rPr>
                <w:rFonts w:hint="eastAsia" w:eastAsiaTheme="minorEastAsia"/>
                <w:color w:val="auto"/>
                <w:highlight w:val="none"/>
                <w:lang w:eastAsia="zh-CN"/>
              </w:rPr>
            </w:pPr>
            <w:r>
              <w:rPr>
                <w:rFonts w:hint="eastAsia"/>
                <w:color w:val="auto"/>
                <w:highlight w:val="none"/>
                <w:lang w:eastAsia="zh-CN"/>
              </w:rPr>
              <w:t>佛山市精细气象服务系统</w:t>
            </w:r>
          </w:p>
        </w:tc>
        <w:tc>
          <w:tcPr>
            <w:tcW w:w="733" w:type="dxa"/>
            <w:vAlign w:val="center"/>
          </w:tcPr>
          <w:p w14:paraId="55F4A4AE">
            <w:pPr>
              <w:pStyle w:val="12"/>
              <w:jc w:val="center"/>
              <w:rPr>
                <w:color w:val="auto"/>
                <w:highlight w:val="none"/>
              </w:rPr>
            </w:pPr>
            <w:r>
              <w:rPr>
                <w:color w:val="auto"/>
                <w:highlight w:val="none"/>
              </w:rPr>
              <w:t>项</w:t>
            </w:r>
          </w:p>
        </w:tc>
        <w:tc>
          <w:tcPr>
            <w:tcW w:w="770" w:type="dxa"/>
            <w:vAlign w:val="center"/>
          </w:tcPr>
          <w:p w14:paraId="307E4B8F">
            <w:pPr>
              <w:pStyle w:val="12"/>
              <w:jc w:val="center"/>
              <w:rPr>
                <w:color w:val="auto"/>
                <w:highlight w:val="none"/>
              </w:rPr>
            </w:pPr>
            <w:r>
              <w:rPr>
                <w:color w:val="auto"/>
                <w:highlight w:val="none"/>
              </w:rPr>
              <w:t>1.00</w:t>
            </w:r>
          </w:p>
        </w:tc>
        <w:tc>
          <w:tcPr>
            <w:tcW w:w="1279" w:type="dxa"/>
            <w:vAlign w:val="center"/>
          </w:tcPr>
          <w:p w14:paraId="138ADE16">
            <w:pPr>
              <w:pStyle w:val="12"/>
              <w:jc w:val="center"/>
              <w:rPr>
                <w:rFonts w:hint="eastAsia" w:eastAsiaTheme="minorEastAsia"/>
                <w:color w:val="auto"/>
                <w:highlight w:val="none"/>
                <w:lang w:eastAsia="zh-CN"/>
              </w:rPr>
            </w:pP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9</w:t>
            </w:r>
            <w:r>
              <w:rPr>
                <w:rFonts w:hint="eastAsia"/>
                <w:color w:val="auto"/>
                <w:highlight w:val="none"/>
                <w:lang w:val="en-US" w:eastAsia="zh-CN"/>
              </w:rPr>
              <w:t>8</w:t>
            </w:r>
            <w:r>
              <w:rPr>
                <w:rFonts w:hint="eastAsia"/>
                <w:color w:val="auto"/>
                <w:highlight w:val="none"/>
                <w:lang w:eastAsia="zh-CN"/>
              </w:rPr>
              <w:t>,500.00</w:t>
            </w:r>
          </w:p>
        </w:tc>
        <w:tc>
          <w:tcPr>
            <w:tcW w:w="1279" w:type="dxa"/>
            <w:vAlign w:val="center"/>
          </w:tcPr>
          <w:p w14:paraId="74789C0D">
            <w:pPr>
              <w:pStyle w:val="12"/>
              <w:jc w:val="center"/>
              <w:rPr>
                <w:rFonts w:hint="eastAsia" w:eastAsiaTheme="minorEastAsia"/>
                <w:color w:val="auto"/>
                <w:highlight w:val="none"/>
                <w:lang w:eastAsia="zh-CN"/>
              </w:rPr>
            </w:pP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9</w:t>
            </w:r>
            <w:r>
              <w:rPr>
                <w:rFonts w:hint="eastAsia"/>
                <w:color w:val="auto"/>
                <w:highlight w:val="none"/>
                <w:lang w:val="en-US" w:eastAsia="zh-CN"/>
              </w:rPr>
              <w:t>8</w:t>
            </w:r>
            <w:r>
              <w:rPr>
                <w:rFonts w:hint="eastAsia"/>
                <w:color w:val="auto"/>
                <w:highlight w:val="none"/>
                <w:lang w:eastAsia="zh-CN"/>
              </w:rPr>
              <w:t>,500.00</w:t>
            </w:r>
          </w:p>
        </w:tc>
        <w:tc>
          <w:tcPr>
            <w:tcW w:w="794" w:type="dxa"/>
            <w:vAlign w:val="center"/>
          </w:tcPr>
          <w:p w14:paraId="708429F8">
            <w:pPr>
              <w:pStyle w:val="12"/>
              <w:jc w:val="center"/>
              <w:rPr>
                <w:color w:val="auto"/>
                <w:highlight w:val="none"/>
              </w:rPr>
            </w:pPr>
            <w:r>
              <w:rPr>
                <w:color w:val="auto"/>
                <w:highlight w:val="none"/>
              </w:rPr>
              <w:t>100.0</w:t>
            </w:r>
          </w:p>
        </w:tc>
        <w:tc>
          <w:tcPr>
            <w:tcW w:w="734" w:type="dxa"/>
            <w:vAlign w:val="center"/>
          </w:tcPr>
          <w:p w14:paraId="1A69EE27">
            <w:pPr>
              <w:pStyle w:val="12"/>
              <w:jc w:val="center"/>
              <w:rPr>
                <w:rFonts w:hint="eastAsia" w:eastAsiaTheme="minorEastAsia"/>
                <w:color w:val="auto"/>
                <w:highlight w:val="none"/>
                <w:lang w:eastAsia="zh-CN"/>
              </w:rPr>
            </w:pPr>
            <w:r>
              <w:rPr>
                <w:rFonts w:hint="eastAsia"/>
                <w:color w:val="auto"/>
                <w:highlight w:val="none"/>
                <w:lang w:eastAsia="zh-CN"/>
              </w:rPr>
              <w:t>软件和信息技术服务业</w:t>
            </w:r>
          </w:p>
        </w:tc>
        <w:tc>
          <w:tcPr>
            <w:tcW w:w="536" w:type="dxa"/>
            <w:vAlign w:val="center"/>
          </w:tcPr>
          <w:p w14:paraId="72DAA199">
            <w:pPr>
              <w:pStyle w:val="12"/>
              <w:jc w:val="center"/>
              <w:rPr>
                <w:color w:val="auto"/>
                <w:highlight w:val="none"/>
              </w:rPr>
            </w:pPr>
            <w:r>
              <w:rPr>
                <w:color w:val="auto"/>
                <w:highlight w:val="none"/>
              </w:rPr>
              <w:t>详见附表一</w:t>
            </w:r>
          </w:p>
        </w:tc>
      </w:tr>
    </w:tbl>
    <w:p w14:paraId="474F74F0">
      <w:pPr>
        <w:pStyle w:val="12"/>
        <w:rPr>
          <w:color w:val="auto"/>
          <w:highlight w:val="none"/>
        </w:rPr>
      </w:pPr>
      <w:r>
        <w:rPr>
          <w:color w:val="auto"/>
          <w:highlight w:val="none"/>
        </w:rPr>
        <w:t>备注：最终综合总报价=（各产品报价×各项产品权重）的相加值</w:t>
      </w:r>
    </w:p>
    <w:p w14:paraId="41198272">
      <w:pPr>
        <w:pStyle w:val="12"/>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佛山市精细气象服务系统</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9"/>
        <w:gridCol w:w="828"/>
        <w:gridCol w:w="6723"/>
      </w:tblGrid>
      <w:tr w14:paraId="08DC9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vAlign w:val="center"/>
          </w:tcPr>
          <w:p w14:paraId="178337BC">
            <w:pPr>
              <w:pStyle w:val="12"/>
              <w:jc w:val="center"/>
              <w:rPr>
                <w:color w:val="auto"/>
                <w:highlight w:val="none"/>
              </w:rPr>
            </w:pPr>
            <w:r>
              <w:rPr>
                <w:color w:val="auto"/>
                <w:highlight w:val="none"/>
              </w:rPr>
              <w:t>参数性质</w:t>
            </w:r>
          </w:p>
        </w:tc>
        <w:tc>
          <w:tcPr>
            <w:tcW w:w="828" w:type="dxa"/>
            <w:vAlign w:val="center"/>
          </w:tcPr>
          <w:p w14:paraId="398C5180">
            <w:pPr>
              <w:pStyle w:val="12"/>
              <w:jc w:val="center"/>
              <w:rPr>
                <w:color w:val="auto"/>
                <w:highlight w:val="none"/>
              </w:rPr>
            </w:pPr>
            <w:r>
              <w:rPr>
                <w:color w:val="auto"/>
                <w:highlight w:val="none"/>
              </w:rPr>
              <w:t>序号</w:t>
            </w:r>
          </w:p>
        </w:tc>
        <w:tc>
          <w:tcPr>
            <w:tcW w:w="6644" w:type="dxa"/>
            <w:vAlign w:val="center"/>
          </w:tcPr>
          <w:p w14:paraId="01A51803">
            <w:pPr>
              <w:pStyle w:val="12"/>
              <w:jc w:val="center"/>
              <w:rPr>
                <w:color w:val="auto"/>
                <w:highlight w:val="none"/>
              </w:rPr>
            </w:pPr>
            <w:r>
              <w:rPr>
                <w:color w:val="auto"/>
                <w:highlight w:val="none"/>
              </w:rPr>
              <w:t>具体技术(参数)要求</w:t>
            </w:r>
          </w:p>
        </w:tc>
      </w:tr>
      <w:tr w14:paraId="242EF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32914855">
            <w:pPr>
              <w:rPr>
                <w:color w:val="auto"/>
                <w:highlight w:val="none"/>
              </w:rPr>
            </w:pPr>
          </w:p>
        </w:tc>
        <w:tc>
          <w:tcPr>
            <w:tcW w:w="828" w:type="dxa"/>
          </w:tcPr>
          <w:p w14:paraId="75BAA43B">
            <w:pPr>
              <w:pStyle w:val="12"/>
              <w:rPr>
                <w:color w:val="auto"/>
                <w:highlight w:val="none"/>
              </w:rPr>
            </w:pPr>
            <w:r>
              <w:rPr>
                <w:color w:val="auto"/>
                <w:highlight w:val="none"/>
              </w:rPr>
              <w:t>1</w:t>
            </w:r>
          </w:p>
        </w:tc>
        <w:tc>
          <w:tcPr>
            <w:tcW w:w="6644" w:type="dxa"/>
          </w:tcPr>
          <w:p w14:paraId="2CE30C75">
            <w:pPr>
              <w:pStyle w:val="12"/>
              <w:jc w:val="left"/>
              <w:rPr>
                <w:color w:val="auto"/>
                <w:highlight w:val="none"/>
              </w:rPr>
            </w:pPr>
            <w:r>
              <w:rPr>
                <w:b/>
                <w:color w:val="auto"/>
                <w:sz w:val="21"/>
                <w:highlight w:val="none"/>
              </w:rPr>
              <w:t>一、项目内容</w:t>
            </w:r>
          </w:p>
          <w:p w14:paraId="00A6821B">
            <w:pPr>
              <w:pStyle w:val="12"/>
              <w:ind w:firstLine="400" w:firstLineChars="200"/>
              <w:rPr>
                <w:rFonts w:hint="eastAsia"/>
                <w:color w:val="auto"/>
                <w:highlight w:val="none"/>
                <w:lang w:val="en-US" w:eastAsia="zh-CN"/>
              </w:rPr>
            </w:pPr>
            <w:r>
              <w:rPr>
                <w:rFonts w:hint="eastAsia"/>
                <w:color w:val="auto"/>
                <w:highlight w:val="none"/>
              </w:rPr>
              <w:t>本项目为</w:t>
            </w:r>
            <w:r>
              <w:rPr>
                <w:rFonts w:hint="eastAsia"/>
                <w:color w:val="auto"/>
                <w:highlight w:val="none"/>
                <w:lang w:eastAsia="zh-CN"/>
              </w:rPr>
              <w:t>佛山市精细气象服务系统</w:t>
            </w:r>
            <w:r>
              <w:rPr>
                <w:rFonts w:hint="eastAsia"/>
                <w:color w:val="auto"/>
                <w:highlight w:val="none"/>
              </w:rPr>
              <w:t>，主要内容为</w:t>
            </w:r>
            <w:r>
              <w:rPr>
                <w:rFonts w:hint="eastAsia"/>
                <w:color w:val="auto"/>
                <w:highlight w:val="none"/>
                <w:lang w:val="en-US" w:eastAsia="zh-CN"/>
              </w:rPr>
              <w:t>数据采集与共享子系统、公众服务子系统、决策服务子系统、精细化气象服务子系统的开发。</w:t>
            </w:r>
            <w:r>
              <w:rPr>
                <w:rFonts w:hint="eastAsia"/>
                <w:color w:val="auto"/>
                <w:highlight w:val="none"/>
                <w:lang w:val="en-US" w:eastAsia="zh-CN"/>
              </w:rPr>
              <w:t>建立</w:t>
            </w:r>
            <w:r>
              <w:rPr>
                <w:rFonts w:hint="eastAsia"/>
                <w:color w:val="auto"/>
                <w:highlight w:val="none"/>
              </w:rPr>
              <w:t>全</w:t>
            </w:r>
            <w:r>
              <w:rPr>
                <w:rFonts w:hint="eastAsia"/>
                <w:color w:val="auto"/>
                <w:highlight w:val="none"/>
                <w:lang w:val="en-US" w:eastAsia="zh-CN"/>
              </w:rPr>
              <w:t>市</w:t>
            </w:r>
            <w:r>
              <w:rPr>
                <w:rFonts w:hint="eastAsia"/>
                <w:color w:val="auto"/>
                <w:highlight w:val="none"/>
              </w:rPr>
              <w:t>气象监测网络，实时显示气象数据，为预报预警、防灾救灾工作提供数据支撑，为其他部门工作提供气象决策参考；满足日常预报预警工作，更精准精确快捷地发布预报预警信息；补齐公共气象服务短板，建设公共气象服务平台，优化公共服务供给</w:t>
            </w:r>
            <w:r>
              <w:rPr>
                <w:rFonts w:hint="eastAsia"/>
                <w:color w:val="auto"/>
                <w:highlight w:val="none"/>
                <w:lang w:eastAsia="zh-CN"/>
              </w:rPr>
              <w:t>。</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9"/>
              <w:gridCol w:w="4503"/>
            </w:tblGrid>
            <w:tr w14:paraId="2379F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439" w:type="dxa"/>
                  <w:shd w:val="clear" w:color="auto" w:fill="F1F1F1" w:themeFill="background1" w:themeFillShade="F2"/>
                  <w:noWrap w:val="0"/>
                  <w:vAlign w:val="center"/>
                </w:tcPr>
                <w:p w14:paraId="44C04381">
                  <w:pPr>
                    <w:pStyle w:val="14"/>
                    <w:spacing w:before="36"/>
                    <w:ind w:left="488" w:right="477"/>
                    <w:jc w:val="center"/>
                    <w:rPr>
                      <w:rFonts w:hint="eastAsia" w:asciiTheme="minorHAnsi" w:hAnsiTheme="minorHAnsi" w:eastAsiaTheme="minorEastAsia" w:cstheme="minorBidi"/>
                      <w:b/>
                      <w:bCs/>
                      <w:color w:val="auto"/>
                      <w:kern w:val="0"/>
                      <w:sz w:val="20"/>
                      <w:highlight w:val="none"/>
                      <w:lang w:val="en-US" w:eastAsia="zh-CN"/>
                    </w:rPr>
                  </w:pPr>
                  <w:r>
                    <w:rPr>
                      <w:rFonts w:hint="eastAsia" w:asciiTheme="minorHAnsi" w:hAnsiTheme="minorHAnsi" w:eastAsiaTheme="minorEastAsia" w:cstheme="minorBidi"/>
                      <w:b/>
                      <w:bCs/>
                      <w:color w:val="auto"/>
                      <w:kern w:val="0"/>
                      <w:sz w:val="20"/>
                      <w:highlight w:val="none"/>
                      <w:lang w:val="en-US" w:eastAsia="zh-CN"/>
                    </w:rPr>
                    <w:t>序号</w:t>
                  </w:r>
                </w:p>
              </w:tc>
              <w:tc>
                <w:tcPr>
                  <w:tcW w:w="4503" w:type="dxa"/>
                  <w:shd w:val="clear" w:color="auto" w:fill="F1F1F1" w:themeFill="background1" w:themeFillShade="F2"/>
                  <w:noWrap w:val="0"/>
                  <w:vAlign w:val="center"/>
                </w:tcPr>
                <w:p w14:paraId="1C62CE86">
                  <w:pPr>
                    <w:pStyle w:val="14"/>
                    <w:jc w:val="center"/>
                    <w:rPr>
                      <w:rFonts w:hint="eastAsia" w:asciiTheme="minorHAnsi" w:hAnsiTheme="minorHAnsi" w:eastAsiaTheme="minorEastAsia" w:cstheme="minorBidi"/>
                      <w:b/>
                      <w:bCs/>
                      <w:color w:val="auto"/>
                      <w:kern w:val="0"/>
                      <w:sz w:val="20"/>
                      <w:highlight w:val="none"/>
                      <w:lang w:val="en-US" w:eastAsia="zh-CN"/>
                    </w:rPr>
                  </w:pPr>
                  <w:r>
                    <w:rPr>
                      <w:rFonts w:hint="eastAsia" w:asciiTheme="minorHAnsi" w:hAnsiTheme="minorHAnsi" w:eastAsiaTheme="minorEastAsia" w:cstheme="minorBidi"/>
                      <w:b/>
                      <w:bCs/>
                      <w:color w:val="auto"/>
                      <w:kern w:val="0"/>
                      <w:sz w:val="20"/>
                      <w:highlight w:val="none"/>
                      <w:lang w:val="en-US" w:eastAsia="zh-CN"/>
                    </w:rPr>
                    <w:t>内容</w:t>
                  </w:r>
                </w:p>
              </w:tc>
            </w:tr>
            <w:tr w14:paraId="231C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439" w:type="dxa"/>
                  <w:shd w:val="clear" w:color="auto" w:fill="auto"/>
                  <w:noWrap w:val="0"/>
                  <w:vAlign w:val="center"/>
                </w:tcPr>
                <w:p w14:paraId="1D3EA7D0">
                  <w:pPr>
                    <w:pStyle w:val="14"/>
                    <w:spacing w:before="36"/>
                    <w:ind w:left="488" w:leftChars="0" w:right="477" w:rightChars="0"/>
                    <w:jc w:val="center"/>
                    <w:rPr>
                      <w:rFonts w:hint="eastAsia" w:asciiTheme="minorHAnsi" w:hAnsiTheme="minorHAnsi" w:eastAsiaTheme="minorEastAsia" w:cstheme="minorBidi"/>
                      <w:color w:val="auto"/>
                      <w:kern w:val="0"/>
                      <w:sz w:val="20"/>
                      <w:highlight w:val="none"/>
                      <w:lang w:val="zh-CN" w:eastAsia="zh-CN"/>
                    </w:rPr>
                  </w:pPr>
                  <w:r>
                    <w:rPr>
                      <w:rFonts w:hint="eastAsia" w:asciiTheme="minorHAnsi" w:hAnsiTheme="minorHAnsi" w:eastAsiaTheme="minorEastAsia" w:cstheme="minorBidi"/>
                      <w:color w:val="auto"/>
                      <w:kern w:val="0"/>
                      <w:sz w:val="20"/>
                      <w:highlight w:val="none"/>
                      <w:lang w:val="en-US" w:eastAsia="zh-CN"/>
                    </w:rPr>
                    <w:t>1</w:t>
                  </w:r>
                </w:p>
              </w:tc>
              <w:tc>
                <w:tcPr>
                  <w:tcW w:w="4503" w:type="dxa"/>
                  <w:shd w:val="clear" w:color="auto" w:fill="auto"/>
                  <w:noWrap w:val="0"/>
                  <w:vAlign w:val="center"/>
                </w:tcPr>
                <w:p w14:paraId="59129E1B">
                  <w:pPr>
                    <w:pStyle w:val="14"/>
                    <w:spacing w:before="36"/>
                    <w:ind w:left="107" w:leftChars="0"/>
                    <w:jc w:val="center"/>
                    <w:rPr>
                      <w:rFonts w:hint="eastAsia" w:asciiTheme="minorHAnsi" w:hAnsiTheme="minorHAnsi" w:eastAsiaTheme="minorEastAsia" w:cstheme="minorBidi"/>
                      <w:color w:val="auto"/>
                      <w:kern w:val="0"/>
                      <w:sz w:val="20"/>
                      <w:highlight w:val="none"/>
                      <w:lang w:val="zh-CN" w:eastAsia="zh-CN"/>
                    </w:rPr>
                  </w:pPr>
                  <w:r>
                    <w:rPr>
                      <w:rFonts w:hint="eastAsia" w:asciiTheme="minorHAnsi" w:hAnsiTheme="minorHAnsi" w:eastAsiaTheme="minorEastAsia" w:cstheme="minorBidi"/>
                      <w:color w:val="auto"/>
                      <w:kern w:val="0"/>
                      <w:sz w:val="20"/>
                      <w:highlight w:val="none"/>
                      <w:lang w:val="en-US" w:eastAsia="zh-CN"/>
                    </w:rPr>
                    <w:t>定制软件开发</w:t>
                  </w:r>
                </w:p>
              </w:tc>
            </w:tr>
            <w:tr w14:paraId="7E44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439" w:type="dxa"/>
                  <w:noWrap w:val="0"/>
                  <w:vAlign w:val="center"/>
                </w:tcPr>
                <w:p w14:paraId="4BA0959B">
                  <w:pPr>
                    <w:jc w:val="center"/>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2</w:t>
                  </w:r>
                </w:p>
              </w:tc>
              <w:tc>
                <w:tcPr>
                  <w:tcW w:w="4503" w:type="dxa"/>
                  <w:noWrap w:val="0"/>
                  <w:vAlign w:val="center"/>
                </w:tcPr>
                <w:p w14:paraId="43709F18">
                  <w:pPr>
                    <w:pStyle w:val="14"/>
                    <w:jc w:val="center"/>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定制软件升级服务（国内技术改造、适配整合）</w:t>
                  </w:r>
                </w:p>
              </w:tc>
            </w:tr>
          </w:tbl>
          <w:p w14:paraId="4EDD87E6">
            <w:pPr>
              <w:pStyle w:val="12"/>
              <w:ind w:firstLine="400" w:firstLineChars="200"/>
              <w:rPr>
                <w:rFonts w:hint="eastAsia"/>
                <w:color w:val="auto"/>
                <w:highlight w:val="none"/>
                <w:lang w:val="en-US" w:eastAsia="zh-CN"/>
              </w:rPr>
            </w:pPr>
          </w:p>
        </w:tc>
      </w:tr>
      <w:tr w14:paraId="2A6FE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59AB45A7">
            <w:pPr>
              <w:rPr>
                <w:color w:val="auto"/>
                <w:highlight w:val="none"/>
              </w:rPr>
            </w:pPr>
          </w:p>
        </w:tc>
        <w:tc>
          <w:tcPr>
            <w:tcW w:w="828" w:type="dxa"/>
          </w:tcPr>
          <w:p w14:paraId="601CEDA1">
            <w:pPr>
              <w:pStyle w:val="12"/>
              <w:rPr>
                <w:color w:val="auto"/>
                <w:highlight w:val="none"/>
              </w:rPr>
            </w:pPr>
            <w:r>
              <w:rPr>
                <w:color w:val="auto"/>
                <w:highlight w:val="none"/>
              </w:rPr>
              <w:t>2</w:t>
            </w:r>
          </w:p>
        </w:tc>
        <w:tc>
          <w:tcPr>
            <w:tcW w:w="6644" w:type="dxa"/>
          </w:tcPr>
          <w:p w14:paraId="529703EC">
            <w:pPr>
              <w:pStyle w:val="12"/>
              <w:jc w:val="left"/>
              <w:rPr>
                <w:color w:val="auto"/>
                <w:highlight w:val="none"/>
              </w:rPr>
            </w:pPr>
            <w:r>
              <w:rPr>
                <w:b/>
                <w:color w:val="auto"/>
                <w:sz w:val="21"/>
                <w:highlight w:val="none"/>
              </w:rPr>
              <w:t>二、项目依据</w:t>
            </w:r>
          </w:p>
          <w:p w14:paraId="46BDEA31">
            <w:pPr>
              <w:pStyle w:val="12"/>
              <w:rPr>
                <w:rFonts w:hint="eastAsia"/>
                <w:color w:val="auto"/>
                <w:highlight w:val="none"/>
              </w:rPr>
            </w:pPr>
            <w:r>
              <w:rPr>
                <w:rFonts w:hint="eastAsia"/>
                <w:color w:val="auto"/>
                <w:highlight w:val="none"/>
                <w:lang w:eastAsia="zh-CN"/>
              </w:rPr>
              <w:t>‌</w:t>
            </w:r>
            <w:r>
              <w:rPr>
                <w:rFonts w:hint="eastAsia"/>
                <w:color w:val="auto"/>
                <w:highlight w:val="none"/>
              </w:rPr>
              <w:t>（1）GB8567-88计算机软件产品开发文件编制指南。</w:t>
            </w:r>
          </w:p>
          <w:p w14:paraId="66645920">
            <w:pPr>
              <w:pStyle w:val="12"/>
              <w:rPr>
                <w:rFonts w:hint="eastAsia"/>
                <w:color w:val="auto"/>
                <w:highlight w:val="none"/>
              </w:rPr>
            </w:pPr>
            <w:r>
              <w:rPr>
                <w:rFonts w:hint="eastAsia"/>
                <w:color w:val="auto"/>
                <w:highlight w:val="none"/>
              </w:rPr>
              <w:t>（2）GB/T12505-90计算机软件配置管理计划规范。</w:t>
            </w:r>
          </w:p>
          <w:p w14:paraId="2611A5AE">
            <w:pPr>
              <w:pStyle w:val="12"/>
              <w:rPr>
                <w:rFonts w:hint="eastAsia"/>
                <w:color w:val="auto"/>
                <w:highlight w:val="none"/>
              </w:rPr>
            </w:pPr>
            <w:r>
              <w:rPr>
                <w:rFonts w:hint="eastAsia"/>
                <w:color w:val="auto"/>
                <w:highlight w:val="none"/>
              </w:rPr>
              <w:t>（3）GB/T12504-90计算机软件质量保证计划规范。</w:t>
            </w:r>
          </w:p>
          <w:p w14:paraId="4D9AF6AD">
            <w:pPr>
              <w:pStyle w:val="12"/>
              <w:rPr>
                <w:rFonts w:hint="eastAsia"/>
                <w:color w:val="auto"/>
                <w:highlight w:val="none"/>
              </w:rPr>
            </w:pPr>
            <w:r>
              <w:rPr>
                <w:rFonts w:hint="eastAsia"/>
                <w:color w:val="auto"/>
                <w:highlight w:val="none"/>
              </w:rPr>
              <w:t>（4）GB/T19487-2004电子政务业务流程设计方法通用规范。</w:t>
            </w:r>
          </w:p>
          <w:p w14:paraId="11585F15">
            <w:pPr>
              <w:pStyle w:val="12"/>
              <w:rPr>
                <w:rFonts w:hint="eastAsia"/>
                <w:color w:val="auto"/>
                <w:highlight w:val="none"/>
              </w:rPr>
            </w:pPr>
            <w:r>
              <w:rPr>
                <w:rFonts w:hint="eastAsia"/>
                <w:color w:val="auto"/>
                <w:highlight w:val="none"/>
              </w:rPr>
              <w:t>（5）《转发关于加强国家电子政务工程建设项目信息安全风险评估工作的通知》（穗发改高技[2009]14号）。</w:t>
            </w:r>
          </w:p>
          <w:p w14:paraId="7A532813">
            <w:pPr>
              <w:pStyle w:val="12"/>
              <w:rPr>
                <w:rFonts w:hint="eastAsia"/>
                <w:color w:val="auto"/>
                <w:highlight w:val="none"/>
              </w:rPr>
            </w:pPr>
            <w:r>
              <w:rPr>
                <w:rFonts w:hint="eastAsia"/>
                <w:color w:val="auto"/>
                <w:highlight w:val="none"/>
              </w:rPr>
              <w:t>（6）《国家信息化领导小组关于我国电子建设指导意见的通知》（中办发[2002]17号文）。</w:t>
            </w:r>
          </w:p>
          <w:p w14:paraId="42A2561C">
            <w:pPr>
              <w:pStyle w:val="12"/>
              <w:rPr>
                <w:rFonts w:hint="eastAsia"/>
                <w:color w:val="auto"/>
                <w:highlight w:val="none"/>
              </w:rPr>
            </w:pPr>
            <w:r>
              <w:rPr>
                <w:rFonts w:hint="eastAsia"/>
                <w:color w:val="auto"/>
                <w:highlight w:val="none"/>
              </w:rPr>
              <w:t>（7）《2006——2020年国家信息化发展战略》。</w:t>
            </w:r>
          </w:p>
          <w:p w14:paraId="7FF0F1B6">
            <w:pPr>
              <w:pStyle w:val="12"/>
              <w:rPr>
                <w:rFonts w:hint="eastAsia"/>
                <w:color w:val="auto"/>
                <w:highlight w:val="none"/>
              </w:rPr>
            </w:pPr>
            <w:r>
              <w:rPr>
                <w:rFonts w:hint="eastAsia"/>
                <w:color w:val="auto"/>
                <w:highlight w:val="none"/>
              </w:rPr>
              <w:t>（8）GB/T《信息技术可扩展置标语言（XM1）》。</w:t>
            </w:r>
          </w:p>
          <w:p w14:paraId="122452E1">
            <w:pPr>
              <w:pStyle w:val="12"/>
              <w:rPr>
                <w:rFonts w:hint="eastAsia"/>
                <w:color w:val="auto"/>
                <w:highlight w:val="none"/>
              </w:rPr>
            </w:pPr>
            <w:r>
              <w:rPr>
                <w:rFonts w:hint="eastAsia"/>
                <w:color w:val="auto"/>
                <w:highlight w:val="none"/>
              </w:rPr>
              <w:t>（9）《XML在电子政务中的应用指南》（参考W3CXML系列标准）。</w:t>
            </w:r>
          </w:p>
          <w:p w14:paraId="429E646E">
            <w:pPr>
              <w:pStyle w:val="12"/>
              <w:rPr>
                <w:rFonts w:hint="eastAsia"/>
                <w:color w:val="auto"/>
                <w:highlight w:val="none"/>
              </w:rPr>
            </w:pPr>
            <w:r>
              <w:rPr>
                <w:rFonts w:hint="eastAsia"/>
                <w:color w:val="auto"/>
                <w:highlight w:val="none"/>
              </w:rPr>
              <w:t>（10）Web服务技术要求（参考UDDI、OA、WSDL等国际标准）。</w:t>
            </w:r>
          </w:p>
          <w:p w14:paraId="24FAEF2E">
            <w:pPr>
              <w:pStyle w:val="12"/>
              <w:rPr>
                <w:rFonts w:hint="eastAsia"/>
                <w:color w:val="auto"/>
                <w:highlight w:val="none"/>
              </w:rPr>
            </w:pPr>
            <w:r>
              <w:rPr>
                <w:rFonts w:hint="eastAsia"/>
                <w:color w:val="auto"/>
                <w:highlight w:val="none"/>
              </w:rPr>
              <w:t>（11）GB/T19000族标准系列。</w:t>
            </w:r>
          </w:p>
          <w:p w14:paraId="64599D43">
            <w:pPr>
              <w:pStyle w:val="12"/>
              <w:rPr>
                <w:rFonts w:hint="eastAsia"/>
                <w:color w:val="auto"/>
                <w:highlight w:val="none"/>
              </w:rPr>
            </w:pPr>
            <w:r>
              <w:rPr>
                <w:rFonts w:hint="eastAsia"/>
                <w:color w:val="auto"/>
                <w:highlight w:val="none"/>
              </w:rPr>
              <w:t>（12）国际标准ISO9000、国际标准ISO9001、国际标准ISO14000。</w:t>
            </w:r>
          </w:p>
          <w:p w14:paraId="394CFA53">
            <w:pPr>
              <w:pStyle w:val="12"/>
              <w:rPr>
                <w:rFonts w:hint="eastAsia"/>
                <w:color w:val="auto"/>
                <w:highlight w:val="none"/>
              </w:rPr>
            </w:pPr>
            <w:r>
              <w:rPr>
                <w:rFonts w:hint="eastAsia"/>
                <w:color w:val="auto"/>
                <w:highlight w:val="none"/>
              </w:rPr>
              <w:t>（13）GB8566-88《软件开发规范》。</w:t>
            </w:r>
          </w:p>
          <w:p w14:paraId="5FDCEBAD">
            <w:pPr>
              <w:pStyle w:val="12"/>
              <w:rPr>
                <w:rFonts w:hint="eastAsia"/>
                <w:color w:val="auto"/>
                <w:highlight w:val="none"/>
              </w:rPr>
            </w:pPr>
            <w:r>
              <w:rPr>
                <w:rFonts w:hint="eastAsia"/>
                <w:color w:val="auto"/>
                <w:highlight w:val="none"/>
              </w:rPr>
              <w:t>（14）GB17859-1999《计算机信息系统安全保护等级划分准则》。</w:t>
            </w:r>
          </w:p>
          <w:p w14:paraId="51799DE4">
            <w:pPr>
              <w:pStyle w:val="12"/>
              <w:rPr>
                <w:rFonts w:hint="eastAsia"/>
                <w:color w:val="auto"/>
                <w:highlight w:val="none"/>
              </w:rPr>
            </w:pPr>
            <w:r>
              <w:rPr>
                <w:rFonts w:hint="eastAsia"/>
                <w:color w:val="auto"/>
                <w:highlight w:val="none"/>
              </w:rPr>
              <w:t>（15）GB12504-90(ANSI/IEEE730)《计算机软件质量保证计划规范》。</w:t>
            </w:r>
          </w:p>
          <w:p w14:paraId="226ACDFD">
            <w:pPr>
              <w:pStyle w:val="12"/>
              <w:rPr>
                <w:rFonts w:hint="eastAsia"/>
                <w:color w:val="auto"/>
                <w:highlight w:val="none"/>
              </w:rPr>
            </w:pPr>
            <w:r>
              <w:rPr>
                <w:rFonts w:hint="eastAsia"/>
                <w:color w:val="auto"/>
                <w:highlight w:val="none"/>
              </w:rPr>
              <w:t>（16）GB/T16260-1996（ISO/IEC9126.1991）信息技术软件产品质量特性及其使用指南。</w:t>
            </w:r>
          </w:p>
          <w:p w14:paraId="01507740">
            <w:pPr>
              <w:pStyle w:val="12"/>
              <w:rPr>
                <w:rFonts w:hint="eastAsia"/>
                <w:color w:val="auto"/>
                <w:highlight w:val="none"/>
              </w:rPr>
            </w:pPr>
            <w:r>
              <w:rPr>
                <w:rFonts w:hint="eastAsia"/>
                <w:color w:val="auto"/>
                <w:highlight w:val="none"/>
              </w:rPr>
              <w:t>（17）ISO9000-3：1997质量管理和质量保证标准第三部分。</w:t>
            </w:r>
          </w:p>
          <w:p w14:paraId="224780D3">
            <w:pPr>
              <w:pStyle w:val="12"/>
              <w:rPr>
                <w:rFonts w:hint="eastAsia"/>
                <w:color w:val="auto"/>
                <w:highlight w:val="none"/>
              </w:rPr>
            </w:pPr>
            <w:r>
              <w:rPr>
                <w:rFonts w:hint="eastAsia"/>
                <w:color w:val="auto"/>
                <w:highlight w:val="none"/>
              </w:rPr>
              <w:t>（18）ISO9001-1994在计算机软件开发、供应、安装和维护总的应用指南。</w:t>
            </w:r>
          </w:p>
          <w:p w14:paraId="48A38E41">
            <w:pPr>
              <w:pStyle w:val="12"/>
              <w:rPr>
                <w:rFonts w:hint="eastAsia"/>
                <w:color w:val="auto"/>
                <w:highlight w:val="none"/>
              </w:rPr>
            </w:pPr>
            <w:r>
              <w:rPr>
                <w:rFonts w:hint="eastAsia"/>
                <w:color w:val="auto"/>
                <w:highlight w:val="none"/>
              </w:rPr>
              <w:t>（19）GB9385-88计算机软件需求说明编写指南。</w:t>
            </w:r>
          </w:p>
          <w:p w14:paraId="326BBCF5">
            <w:pPr>
              <w:pStyle w:val="12"/>
              <w:rPr>
                <w:rFonts w:hint="eastAsia"/>
                <w:color w:val="auto"/>
                <w:highlight w:val="none"/>
              </w:rPr>
            </w:pPr>
            <w:r>
              <w:rPr>
                <w:rFonts w:hint="eastAsia"/>
                <w:color w:val="auto"/>
                <w:highlight w:val="none"/>
              </w:rPr>
              <w:t>（20）GB9386-88计算机软件测试文件编制规范。</w:t>
            </w:r>
          </w:p>
          <w:p w14:paraId="746E7CC0">
            <w:pPr>
              <w:pStyle w:val="12"/>
              <w:rPr>
                <w:rFonts w:hint="eastAsia"/>
                <w:color w:val="auto"/>
                <w:highlight w:val="none"/>
              </w:rPr>
            </w:pPr>
            <w:r>
              <w:rPr>
                <w:rFonts w:hint="eastAsia"/>
                <w:color w:val="auto"/>
                <w:highlight w:val="none"/>
              </w:rPr>
              <w:t>（21）GB/T12504-90计算机软件质量标准保证计划规范。</w:t>
            </w:r>
          </w:p>
          <w:p w14:paraId="7E87C215">
            <w:pPr>
              <w:pStyle w:val="12"/>
              <w:rPr>
                <w:rFonts w:hint="eastAsia"/>
                <w:color w:val="auto"/>
                <w:highlight w:val="none"/>
              </w:rPr>
            </w:pPr>
            <w:r>
              <w:rPr>
                <w:rFonts w:hint="eastAsia"/>
                <w:color w:val="auto"/>
                <w:highlight w:val="none"/>
              </w:rPr>
              <w:t>（22）GB/T11457-1995软件工程术语。</w:t>
            </w:r>
          </w:p>
          <w:p w14:paraId="78DC71C9">
            <w:pPr>
              <w:pStyle w:val="12"/>
              <w:rPr>
                <w:rFonts w:hint="eastAsia"/>
                <w:color w:val="auto"/>
                <w:highlight w:val="none"/>
              </w:rPr>
            </w:pPr>
            <w:r>
              <w:rPr>
                <w:rFonts w:hint="eastAsia"/>
                <w:color w:val="auto"/>
                <w:highlight w:val="none"/>
              </w:rPr>
              <w:t>（2</w:t>
            </w:r>
            <w:r>
              <w:rPr>
                <w:rFonts w:hint="eastAsia"/>
                <w:color w:val="auto"/>
                <w:highlight w:val="none"/>
                <w:lang w:val="en-US" w:eastAsia="zh-CN"/>
              </w:rPr>
              <w:t>3</w:t>
            </w:r>
            <w:r>
              <w:rPr>
                <w:rFonts w:hint="eastAsia"/>
                <w:color w:val="auto"/>
                <w:highlight w:val="none"/>
              </w:rPr>
              <w:t>）GB/T15532-95计算机软件单元测试。</w:t>
            </w:r>
          </w:p>
          <w:p w14:paraId="6F1A82BF">
            <w:pPr>
              <w:pStyle w:val="12"/>
              <w:rPr>
                <w:rFonts w:hint="eastAsia"/>
                <w:color w:val="auto"/>
                <w:highlight w:val="none"/>
              </w:rPr>
            </w:pPr>
            <w:r>
              <w:rPr>
                <w:rFonts w:hint="eastAsia"/>
                <w:color w:val="auto"/>
                <w:highlight w:val="none"/>
              </w:rPr>
              <w:t>（24）通用技术标准：PortletJSR168 RMI、 XML、IIOP、JSR286、HTML。</w:t>
            </w:r>
          </w:p>
          <w:p w14:paraId="6C838D9D">
            <w:pPr>
              <w:pStyle w:val="12"/>
              <w:rPr>
                <w:rFonts w:hint="eastAsia"/>
                <w:color w:val="auto"/>
                <w:highlight w:val="none"/>
                <w:lang w:val="en-US" w:eastAsia="zh-CN"/>
              </w:rPr>
            </w:pPr>
            <w:r>
              <w:rPr>
                <w:rFonts w:hint="eastAsia"/>
                <w:color w:val="auto"/>
                <w:highlight w:val="none"/>
                <w:lang w:val="en-US" w:eastAsia="zh-CN"/>
              </w:rPr>
              <w:t>（25）GB/T 27962—2011 气象灾害预警信号图标。</w:t>
            </w:r>
          </w:p>
          <w:p w14:paraId="208FCCD1">
            <w:pPr>
              <w:pStyle w:val="12"/>
              <w:rPr>
                <w:rFonts w:hint="eastAsia"/>
                <w:color w:val="auto"/>
                <w:highlight w:val="none"/>
                <w:lang w:val="en-US" w:eastAsia="zh-CN"/>
              </w:rPr>
            </w:pPr>
            <w:r>
              <w:rPr>
                <w:rFonts w:hint="eastAsia"/>
                <w:color w:val="auto"/>
                <w:highlight w:val="none"/>
                <w:lang w:val="en-US" w:eastAsia="zh-CN"/>
              </w:rPr>
              <w:t>（26）GB/T 28591—2012 风力等级。</w:t>
            </w:r>
          </w:p>
          <w:p w14:paraId="4E987ACE">
            <w:pPr>
              <w:pStyle w:val="12"/>
              <w:rPr>
                <w:rFonts w:hint="eastAsia"/>
                <w:color w:val="auto"/>
                <w:highlight w:val="none"/>
                <w:lang w:val="en-US" w:eastAsia="zh-CN"/>
              </w:rPr>
            </w:pPr>
            <w:r>
              <w:rPr>
                <w:rFonts w:hint="eastAsia"/>
                <w:color w:val="auto"/>
                <w:highlight w:val="none"/>
                <w:lang w:val="en-US" w:eastAsia="zh-CN"/>
              </w:rPr>
              <w:t>（27）GB/T 28592—2012 降水量等级。</w:t>
            </w:r>
          </w:p>
          <w:p w14:paraId="3D0D1CA7">
            <w:pPr>
              <w:pStyle w:val="12"/>
              <w:rPr>
                <w:rFonts w:hint="default"/>
                <w:color w:val="auto"/>
                <w:highlight w:val="none"/>
                <w:lang w:val="en-US" w:eastAsia="zh-CN"/>
              </w:rPr>
            </w:pPr>
            <w:r>
              <w:rPr>
                <w:rFonts w:hint="eastAsia"/>
                <w:color w:val="auto"/>
                <w:highlight w:val="none"/>
                <w:lang w:val="en-US" w:eastAsia="zh-CN"/>
              </w:rPr>
              <w:t>如有新发布的，以新发布的为准。</w:t>
            </w:r>
          </w:p>
        </w:tc>
      </w:tr>
      <w:tr w14:paraId="6231C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215672F5">
            <w:pPr>
              <w:rPr>
                <w:color w:val="auto"/>
                <w:highlight w:val="none"/>
              </w:rPr>
            </w:pPr>
          </w:p>
        </w:tc>
        <w:tc>
          <w:tcPr>
            <w:tcW w:w="828" w:type="dxa"/>
          </w:tcPr>
          <w:p w14:paraId="0AD95906">
            <w:pPr>
              <w:pStyle w:val="12"/>
              <w:rPr>
                <w:color w:val="auto"/>
                <w:highlight w:val="none"/>
              </w:rPr>
            </w:pPr>
            <w:r>
              <w:rPr>
                <w:color w:val="auto"/>
                <w:highlight w:val="none"/>
              </w:rPr>
              <w:t>3</w:t>
            </w:r>
          </w:p>
        </w:tc>
        <w:tc>
          <w:tcPr>
            <w:tcW w:w="6644" w:type="dxa"/>
          </w:tcPr>
          <w:p w14:paraId="07FCFB75">
            <w:pPr>
              <w:pStyle w:val="12"/>
              <w:jc w:val="left"/>
              <w:rPr>
                <w:color w:val="auto"/>
                <w:highlight w:val="none"/>
              </w:rPr>
            </w:pPr>
            <w:r>
              <w:rPr>
                <w:b/>
                <w:color w:val="auto"/>
                <w:sz w:val="21"/>
                <w:highlight w:val="none"/>
              </w:rPr>
              <w:t>三、项目目标</w:t>
            </w:r>
          </w:p>
          <w:p w14:paraId="2918D0FE">
            <w:pPr>
              <w:pStyle w:val="12"/>
              <w:ind w:firstLine="400" w:firstLineChars="200"/>
              <w:rPr>
                <w:color w:val="auto"/>
                <w:highlight w:val="none"/>
              </w:rPr>
            </w:pPr>
            <w:r>
              <w:rPr>
                <w:rFonts w:hint="eastAsia"/>
                <w:color w:val="auto"/>
                <w:highlight w:val="none"/>
              </w:rPr>
              <w:t>本项目为集约化项目，</w:t>
            </w:r>
            <w:r>
              <w:rPr>
                <w:rFonts w:hint="eastAsia"/>
                <w:color w:val="auto"/>
                <w:highlight w:val="none"/>
                <w:lang w:eastAsia="zh-CN"/>
              </w:rPr>
              <w:t>将对佛山市气象官网等10个现有系统进行深度整合，依托佛山市精细气象服务系统的建设，构建精细化、分众化、多渠道的气象预报预警服务体系，全面提升决策服务、专业服务和公共服务能力。项目建成后，将实现气象公众服务满意度提升至90%以上、预警信息覆盖率超过95%的目标，显著增强佛山市防灾减灾综合能力，为城市安全运行和经济社会发展提供更精准、高效的气象保障。</w:t>
            </w:r>
          </w:p>
        </w:tc>
      </w:tr>
      <w:tr w14:paraId="41956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42DE7D3B">
            <w:pPr>
              <w:rPr>
                <w:color w:val="auto"/>
                <w:highlight w:val="none"/>
              </w:rPr>
            </w:pPr>
          </w:p>
        </w:tc>
        <w:tc>
          <w:tcPr>
            <w:tcW w:w="828" w:type="dxa"/>
          </w:tcPr>
          <w:p w14:paraId="5E530082">
            <w:pPr>
              <w:pStyle w:val="12"/>
              <w:rPr>
                <w:color w:val="auto"/>
                <w:highlight w:val="none"/>
              </w:rPr>
            </w:pPr>
            <w:r>
              <w:rPr>
                <w:color w:val="auto"/>
                <w:highlight w:val="none"/>
              </w:rPr>
              <w:t>4</w:t>
            </w:r>
          </w:p>
        </w:tc>
        <w:tc>
          <w:tcPr>
            <w:tcW w:w="6644" w:type="dxa"/>
          </w:tcPr>
          <w:p w14:paraId="5289A3AB">
            <w:pPr>
              <w:pStyle w:val="12"/>
              <w:jc w:val="left"/>
              <w:rPr>
                <w:color w:val="auto"/>
                <w:highlight w:val="none"/>
              </w:rPr>
            </w:pPr>
            <w:r>
              <w:rPr>
                <w:b/>
                <w:color w:val="auto"/>
                <w:sz w:val="21"/>
                <w:highlight w:val="none"/>
              </w:rPr>
              <w:t>四、</w:t>
            </w:r>
            <w:bookmarkStart w:id="0" w:name="_Toc65457566"/>
            <w:r>
              <w:rPr>
                <w:rFonts w:hint="eastAsia"/>
                <w:b/>
                <w:color w:val="auto"/>
                <w:sz w:val="21"/>
                <w:highlight w:val="none"/>
              </w:rPr>
              <w:t>架构设计</w:t>
            </w:r>
            <w:bookmarkEnd w:id="0"/>
          </w:p>
          <w:p w14:paraId="57EB9143">
            <w:pPr>
              <w:pStyle w:val="12"/>
              <w:rPr>
                <w:rFonts w:hint="default" w:eastAsiaTheme="minorEastAsia"/>
                <w:color w:val="auto"/>
                <w:highlight w:val="none"/>
                <w:lang w:val="en-US" w:eastAsia="zh-CN"/>
              </w:rPr>
            </w:pPr>
            <w:r>
              <w:rPr>
                <w:rFonts w:hint="eastAsia"/>
                <w:color w:val="auto"/>
                <w:highlight w:val="none"/>
                <w:lang w:val="en-US" w:eastAsia="zh-CN"/>
              </w:rPr>
              <w:t>1.</w:t>
            </w:r>
            <w:r>
              <w:rPr>
                <w:rFonts w:hint="eastAsia"/>
                <w:color w:val="auto"/>
                <w:highlight w:val="none"/>
              </w:rPr>
              <w:t>总体架构设计</w:t>
            </w:r>
          </w:p>
          <w:p w14:paraId="56F338A9">
            <w:pPr>
              <w:pStyle w:val="12"/>
              <w:ind w:firstLine="400" w:firstLineChars="200"/>
              <w:rPr>
                <w:rFonts w:hint="eastAsia"/>
                <w:color w:val="auto"/>
                <w:highlight w:val="none"/>
              </w:rPr>
            </w:pPr>
            <w:r>
              <w:rPr>
                <w:rFonts w:hint="eastAsia"/>
                <w:color w:val="auto"/>
                <w:highlight w:val="none"/>
              </w:rPr>
              <w:t>本</w:t>
            </w:r>
            <w:r>
              <w:rPr>
                <w:rFonts w:hint="eastAsia"/>
                <w:color w:val="auto"/>
                <w:highlight w:val="none"/>
                <w:lang w:val="en-US" w:eastAsia="zh-CN"/>
              </w:rPr>
              <w:t>项目</w:t>
            </w:r>
            <w:r>
              <w:rPr>
                <w:rFonts w:hint="eastAsia"/>
                <w:color w:val="auto"/>
                <w:highlight w:val="none"/>
              </w:rPr>
              <w:t>结合《“数字佛山”建设总体规划》和《气象高质量发展纲要（2022—2035年）》总体要求，围绕业务系统“云+端”改造、集约化整合、信息系统信创改造的总体目标，开展信息系统整合。整合后系统包括佛山市气象监测预报预警综合业务系统和佛山市精细气象服务系统两个系统。</w:t>
            </w:r>
          </w:p>
          <w:p w14:paraId="22896CD1">
            <w:pPr>
              <w:pStyle w:val="12"/>
              <w:ind w:firstLine="400" w:firstLineChars="200"/>
              <w:rPr>
                <w:rFonts w:hint="eastAsia"/>
                <w:color w:val="auto"/>
                <w:highlight w:val="none"/>
              </w:rPr>
            </w:pPr>
            <w:r>
              <w:rPr>
                <w:rFonts w:hint="eastAsia"/>
                <w:color w:val="auto"/>
                <w:highlight w:val="none"/>
              </w:rPr>
              <w:t>其中根据《政务信息资源共享管理暂行办法》（国发〔2016〕51号）和《气象资料共享管理办法》（中国气象局第4号令）等文件中对涉密数据管理的要求，对于涉及涉密原始气象数据处理的相关系统，统一整合为佛山市气象监测预报预警综合业务系统，部署于气象内网；而底层的内外网数据交换和信息支撑以及气象预报预警发布服务的系统统一整合为佛山市精细气象服务系统，部署在市政务外网。</w:t>
            </w:r>
          </w:p>
          <w:p w14:paraId="55E12277">
            <w:pPr>
              <w:pStyle w:val="12"/>
              <w:rPr>
                <w:rFonts w:hint="default"/>
                <w:color w:val="auto"/>
                <w:highlight w:val="none"/>
                <w:lang w:val="en-US" w:eastAsia="zh-CN"/>
              </w:rPr>
            </w:pPr>
            <w:r>
              <w:rPr>
                <w:rFonts w:hint="eastAsia"/>
                <w:color w:val="auto"/>
                <w:highlight w:val="none"/>
                <w:lang w:val="en-US" w:eastAsia="zh-CN"/>
              </w:rPr>
              <w:t>2.</w:t>
            </w:r>
            <w:bookmarkStart w:id="1" w:name="_Toc328958979"/>
            <w:r>
              <w:rPr>
                <w:rFonts w:hint="eastAsia"/>
                <w:color w:val="auto"/>
                <w:highlight w:val="none"/>
              </w:rPr>
              <w:t>业务架构设计</w:t>
            </w:r>
            <w:bookmarkEnd w:id="1"/>
          </w:p>
          <w:p w14:paraId="0E4B289F">
            <w:pPr>
              <w:pStyle w:val="12"/>
              <w:ind w:firstLine="400" w:firstLineChars="200"/>
              <w:rPr>
                <w:rFonts w:hint="eastAsia"/>
                <w:color w:val="auto"/>
                <w:highlight w:val="none"/>
                <w:lang w:eastAsia="zh-CN"/>
              </w:rPr>
            </w:pPr>
            <w:r>
              <w:rPr>
                <w:rFonts w:hint="eastAsia"/>
                <w:color w:val="auto"/>
                <w:highlight w:val="none"/>
                <w:lang w:eastAsia="zh-CN"/>
              </w:rPr>
              <w:t>本</w:t>
            </w:r>
            <w:r>
              <w:rPr>
                <w:rFonts w:hint="eastAsia"/>
                <w:color w:val="auto"/>
                <w:highlight w:val="none"/>
                <w:lang w:val="en-US" w:eastAsia="zh-CN"/>
              </w:rPr>
              <w:t>项目</w:t>
            </w:r>
            <w:r>
              <w:rPr>
                <w:rFonts w:hint="eastAsia"/>
                <w:color w:val="auto"/>
                <w:highlight w:val="none"/>
                <w:lang w:eastAsia="zh-CN"/>
              </w:rPr>
              <w:t>中所建设项目为</w:t>
            </w:r>
            <w:r>
              <w:rPr>
                <w:rFonts w:hint="eastAsia"/>
                <w:color w:val="auto"/>
                <w:highlight w:val="none"/>
              </w:rPr>
              <w:t>佛山市精细气象服务系统</w:t>
            </w:r>
            <w:r>
              <w:rPr>
                <w:rFonts w:hint="eastAsia"/>
                <w:color w:val="auto"/>
                <w:highlight w:val="none"/>
                <w:lang w:eastAsia="zh-CN"/>
              </w:rPr>
              <w:t>，主要面向公众以气象决策用户，构建精细化、分众化、多渠道的气象预报预警服务体系，全面提升气象决策服务、专业气象服务和公共气象服务能力。</w:t>
            </w:r>
          </w:p>
          <w:p w14:paraId="57899A12">
            <w:pPr>
              <w:pStyle w:val="12"/>
              <w:ind w:firstLine="400" w:firstLineChars="200"/>
              <w:rPr>
                <w:rFonts w:hint="eastAsia"/>
                <w:color w:val="auto"/>
                <w:highlight w:val="none"/>
                <w:lang w:val="en-US" w:eastAsia="zh-CN"/>
              </w:rPr>
            </w:pPr>
            <w:r>
              <w:rPr>
                <w:rFonts w:hint="eastAsia"/>
                <w:color w:val="auto"/>
                <w:highlight w:val="none"/>
                <w:lang w:val="en-US" w:eastAsia="zh-CN"/>
              </w:rPr>
              <w:t>精细化气象服务系统底座：由基础支撑模块提供规范结构化数据和、文件的规范化存储</w:t>
            </w:r>
            <w:r>
              <w:rPr>
                <w:rFonts w:hint="eastAsia"/>
                <w:color w:val="auto"/>
                <w:highlight w:val="none"/>
                <w:lang w:eastAsia="zh-CN"/>
              </w:rPr>
              <w:t>。</w:t>
            </w:r>
            <w:r>
              <w:rPr>
                <w:rFonts w:hint="eastAsia"/>
                <w:color w:val="auto"/>
                <w:highlight w:val="none"/>
                <w:lang w:val="en-US" w:eastAsia="zh-CN"/>
              </w:rPr>
              <w:t>由数据服务中台模块、实现对所有格点、站点、非结构化（文件、图片）气象数据的归集，形成标准化数据接口，同时依托数据交互模块，实现气象数据的开放共享。</w:t>
            </w:r>
          </w:p>
          <w:p w14:paraId="5E24CF3D">
            <w:pPr>
              <w:pStyle w:val="12"/>
              <w:ind w:firstLine="400" w:firstLineChars="200"/>
              <w:rPr>
                <w:rFonts w:hint="eastAsia"/>
                <w:color w:val="auto"/>
                <w:highlight w:val="none"/>
                <w:lang w:val="en-US" w:eastAsia="zh-CN"/>
              </w:rPr>
            </w:pPr>
            <w:r>
              <w:rPr>
                <w:rFonts w:hint="eastAsia"/>
                <w:color w:val="auto"/>
                <w:highlight w:val="none"/>
                <w:lang w:val="en-US" w:eastAsia="zh-CN"/>
              </w:rPr>
              <w:t>精细化格点数据融合：形成一套集实况、短临预报、中短期预报于一体的格点化气象基础数据，并转换成数据接口对外服务。为公众服务、精细化气象服务、决策服务提供精细化的服务产品。</w:t>
            </w:r>
          </w:p>
          <w:p w14:paraId="44ADFEF4">
            <w:pPr>
              <w:pStyle w:val="12"/>
              <w:ind w:firstLine="400" w:firstLineChars="200"/>
              <w:rPr>
                <w:rFonts w:hint="eastAsia"/>
                <w:color w:val="auto"/>
                <w:highlight w:val="none"/>
                <w:lang w:val="en-US" w:eastAsia="zh-CN"/>
              </w:rPr>
            </w:pPr>
            <w:r>
              <w:rPr>
                <w:rFonts w:hint="eastAsia"/>
                <w:color w:val="auto"/>
                <w:highlight w:val="none"/>
                <w:lang w:val="en-US" w:eastAsia="zh-CN"/>
              </w:rPr>
              <w:t>智能化气象产品制作模块：依托气象数据交互子系统产生的气象监测预报预警数据，对数据进行图形化、文档化处理，形成标准的气象服务产品，同时将生成的气象产品标准化编目、存储。为公众服务、精细化气象服务、决策服务提供智能化的服务产品。</w:t>
            </w:r>
          </w:p>
          <w:p w14:paraId="00661642">
            <w:pPr>
              <w:pStyle w:val="12"/>
              <w:rPr>
                <w:rFonts w:hint="eastAsia"/>
                <w:color w:val="auto"/>
                <w:highlight w:val="none"/>
              </w:rPr>
            </w:pPr>
            <w:r>
              <w:rPr>
                <w:rFonts w:hint="eastAsia"/>
                <w:color w:val="auto"/>
                <w:highlight w:val="none"/>
                <w:lang w:val="en-US" w:eastAsia="zh-CN"/>
              </w:rPr>
              <w:t>3.</w:t>
            </w:r>
            <w:bookmarkStart w:id="2" w:name="_Toc1474241816"/>
            <w:r>
              <w:rPr>
                <w:rFonts w:hint="eastAsia"/>
                <w:color w:val="auto"/>
                <w:highlight w:val="none"/>
              </w:rPr>
              <w:t>数据架构设计</w:t>
            </w:r>
            <w:bookmarkEnd w:id="2"/>
          </w:p>
          <w:p w14:paraId="770B77F4">
            <w:pPr>
              <w:pStyle w:val="12"/>
              <w:ind w:firstLine="400" w:firstLineChars="200"/>
              <w:rPr>
                <w:rFonts w:hint="default"/>
                <w:color w:val="auto"/>
                <w:highlight w:val="none"/>
                <w:lang w:val="en-US" w:eastAsia="zh-CN"/>
              </w:rPr>
            </w:pPr>
            <w:r>
              <w:rPr>
                <w:rFonts w:hint="default"/>
                <w:color w:val="auto"/>
                <w:highlight w:val="none"/>
                <w:lang w:val="en-US" w:eastAsia="zh-CN"/>
              </w:rPr>
              <w:t>经过“云+端”集约化整合后，面向预报员的气象业务数据在省气象局天擎云中传输流转；面向公众的气象服务数据由省气象局天擎云处理生成的可发布共享的气象产品推送至市信创云后，由市信创云向各服务平台及渠道提供数据支撑；而面向其他政府部门的气象共享数据则按照《佛山市人民政府办公室关于修订佛山市政务信息化项目管理办法的通知》《佛山市政务服务数据管理局关于修订佛山市政务信息化项目验收实施细则》的要求，在省一网共享平台上进行数据编目，并向各部门共享，同时产生的服务反馈数据又能回传至省气象局天擎云，实现服务数据的动态监控。</w:t>
            </w:r>
          </w:p>
          <w:p w14:paraId="30A63E9A">
            <w:pPr>
              <w:pStyle w:val="12"/>
              <w:rPr>
                <w:rFonts w:hint="eastAsia"/>
                <w:color w:val="auto"/>
                <w:highlight w:val="none"/>
                <w:lang w:val="en-US" w:eastAsia="zh-CN"/>
              </w:rPr>
            </w:pPr>
            <w:r>
              <w:rPr>
                <w:rFonts w:hint="eastAsia"/>
                <w:color w:val="auto"/>
                <w:highlight w:val="none"/>
                <w:lang w:val="en-US" w:eastAsia="zh-CN"/>
              </w:rPr>
              <w:t>4.</w:t>
            </w:r>
            <w:bookmarkStart w:id="3" w:name="_Toc1034061778"/>
            <w:r>
              <w:rPr>
                <w:rFonts w:hint="eastAsia"/>
                <w:color w:val="auto"/>
                <w:highlight w:val="none"/>
                <w:lang w:val="en-US" w:eastAsia="zh-CN"/>
              </w:rPr>
              <w:t>网络架构设计</w:t>
            </w:r>
            <w:bookmarkEnd w:id="3"/>
          </w:p>
          <w:p w14:paraId="0A194E3B">
            <w:pPr>
              <w:pStyle w:val="12"/>
              <w:ind w:firstLine="400" w:firstLineChars="200"/>
              <w:rPr>
                <w:rFonts w:hint="eastAsia"/>
                <w:color w:val="auto"/>
                <w:highlight w:val="none"/>
                <w:lang w:val="en-US" w:eastAsia="zh-CN"/>
              </w:rPr>
            </w:pPr>
            <w:r>
              <w:rPr>
                <w:rFonts w:hint="eastAsia"/>
                <w:color w:val="auto"/>
                <w:highlight w:val="none"/>
                <w:lang w:val="en-US" w:eastAsia="zh-CN"/>
              </w:rPr>
              <w:t>项目部署的网络环境涉及气象内网和政务外网。</w:t>
            </w:r>
          </w:p>
          <w:p w14:paraId="67E11800">
            <w:pPr>
              <w:pStyle w:val="12"/>
              <w:rPr>
                <w:rFonts w:hint="eastAsia"/>
                <w:color w:val="auto"/>
                <w:highlight w:val="none"/>
              </w:rPr>
            </w:pPr>
            <w:r>
              <w:rPr>
                <w:rFonts w:hint="eastAsia"/>
                <w:color w:val="auto"/>
                <w:highlight w:val="none"/>
                <w:lang w:val="en-US" w:eastAsia="zh-CN"/>
              </w:rPr>
              <w:t>5.</w:t>
            </w:r>
            <w:bookmarkStart w:id="4" w:name="_Toc752584786"/>
            <w:r>
              <w:rPr>
                <w:rFonts w:hint="eastAsia"/>
                <w:color w:val="auto"/>
                <w:highlight w:val="none"/>
              </w:rPr>
              <w:t>安全架构设计</w:t>
            </w:r>
            <w:bookmarkEnd w:id="4"/>
          </w:p>
          <w:p w14:paraId="196FD3E0">
            <w:pPr>
              <w:pStyle w:val="12"/>
              <w:ind w:firstLine="400" w:firstLineChars="200"/>
              <w:rPr>
                <w:rFonts w:hint="eastAsia"/>
                <w:color w:val="auto"/>
                <w:highlight w:val="none"/>
              </w:rPr>
            </w:pPr>
            <w:r>
              <w:rPr>
                <w:rFonts w:hint="eastAsia"/>
                <w:color w:val="auto"/>
                <w:highlight w:val="none"/>
              </w:rPr>
              <w:t>实施‌气象数据安全分类分级‌，保障业务访问安全；落实《数据安全法》要求，开展‌气象数据安全审计‌，设置事后审计方法，实现责任可追溯。</w:t>
            </w:r>
          </w:p>
          <w:p w14:paraId="6E3207BD">
            <w:pPr>
              <w:pStyle w:val="12"/>
              <w:ind w:firstLine="400" w:firstLineChars="200"/>
              <w:rPr>
                <w:rFonts w:hint="eastAsia"/>
                <w:color w:val="auto"/>
                <w:highlight w:val="none"/>
              </w:rPr>
            </w:pPr>
            <w:r>
              <w:rPr>
                <w:rFonts w:hint="eastAsia"/>
                <w:color w:val="auto"/>
                <w:highlight w:val="none"/>
              </w:rPr>
              <w:t>对业务应用系统进行‌安全开发、测试和上线审查‌，集成‌安全监控与运维体系‌，保障业务连续性‌</w:t>
            </w:r>
            <w:r>
              <w:rPr>
                <w:rFonts w:hint="eastAsia"/>
                <w:color w:val="auto"/>
                <w:highlight w:val="none"/>
                <w:lang w:eastAsia="zh-CN"/>
              </w:rPr>
              <w:t>，</w:t>
            </w:r>
            <w:r>
              <w:rPr>
                <w:rFonts w:hint="eastAsia"/>
                <w:color w:val="auto"/>
                <w:highlight w:val="none"/>
              </w:rPr>
              <w:t>建立‌应用安全监控与运维体系‌，对应用系统进行7x24小时实时监测与分析，及时发现并处置异常行为。</w:t>
            </w:r>
          </w:p>
          <w:p w14:paraId="22417E9C">
            <w:pPr>
              <w:pStyle w:val="12"/>
              <w:ind w:firstLine="400" w:firstLineChars="200"/>
              <w:rPr>
                <w:rFonts w:hint="default"/>
                <w:color w:val="auto"/>
                <w:highlight w:val="none"/>
                <w:lang w:val="en-US" w:eastAsia="zh-CN"/>
              </w:rPr>
            </w:pPr>
            <w:r>
              <w:rPr>
                <w:rFonts w:hint="eastAsia"/>
                <w:color w:val="auto"/>
                <w:highlight w:val="none"/>
              </w:rPr>
              <w:t>在主机层面部署‌安全加固措施‌（如系统补丁管理、最小化服务开放）和‌防病毒软件‌‌</w:t>
            </w:r>
            <w:r>
              <w:rPr>
                <w:rFonts w:hint="eastAsia"/>
                <w:color w:val="auto"/>
                <w:highlight w:val="none"/>
                <w:lang w:eastAsia="zh-CN"/>
              </w:rPr>
              <w:t>。</w:t>
            </w:r>
            <w:r>
              <w:rPr>
                <w:rFonts w:hint="eastAsia"/>
                <w:color w:val="auto"/>
                <w:highlight w:val="none"/>
              </w:rPr>
              <w:t>有效遏制跨网威胁与潜在网络攻击行为‌。</w:t>
            </w:r>
          </w:p>
        </w:tc>
      </w:tr>
      <w:tr w14:paraId="35F8D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3E5F63CD"/>
        </w:tc>
        <w:tc>
          <w:tcPr>
            <w:tcW w:w="828" w:type="dxa"/>
          </w:tcPr>
          <w:p w14:paraId="623C45DB">
            <w:pPr>
              <w:pStyle w:val="12"/>
            </w:pPr>
            <w:r>
              <w:t>5</w:t>
            </w:r>
          </w:p>
        </w:tc>
        <w:tc>
          <w:tcPr>
            <w:tcW w:w="6644" w:type="dxa"/>
          </w:tcPr>
          <w:p w14:paraId="3D38C6A7">
            <w:pPr>
              <w:pStyle w:val="12"/>
              <w:rPr>
                <w:rFonts w:hint="default"/>
                <w:b/>
                <w:bCs/>
                <w:lang w:val="en-US" w:eastAsia="zh-CN"/>
              </w:rPr>
            </w:pPr>
            <w:r>
              <w:rPr>
                <w:rFonts w:hint="eastAsia"/>
                <w:b/>
                <w:bCs/>
                <w:lang w:val="en-US" w:eastAsia="zh-CN"/>
              </w:rPr>
              <w:t>五、软件开发技术要求</w:t>
            </w:r>
          </w:p>
          <w:tbl>
            <w:tblPr>
              <w:tblStyle w:val="9"/>
              <w:tblW w:w="6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
              <w:gridCol w:w="500"/>
              <w:gridCol w:w="499"/>
              <w:gridCol w:w="1026"/>
              <w:gridCol w:w="3990"/>
            </w:tblGrid>
            <w:tr w14:paraId="3234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A0D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840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业务系统</w:t>
                  </w:r>
                </w:p>
              </w:tc>
              <w:tc>
                <w:tcPr>
                  <w:tcW w:w="691" w:type="dxa"/>
                  <w:tcBorders>
                    <w:top w:val="single" w:color="000000" w:sz="4" w:space="0"/>
                    <w:left w:val="single" w:color="000000" w:sz="4" w:space="0"/>
                    <w:bottom w:val="single" w:color="000000" w:sz="4" w:space="0"/>
                    <w:right w:val="nil"/>
                  </w:tcBorders>
                  <w:shd w:val="clear" w:color="auto" w:fill="FFFFFF"/>
                  <w:vAlign w:val="center"/>
                </w:tcPr>
                <w:p w14:paraId="6455E6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功能模块</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9E9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数据类名称</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87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highlight w:val="none"/>
                      <w:u w:val="none"/>
                      <w:lang w:val="en-US" w:eastAsia="zh-CN"/>
                    </w:rPr>
                  </w:pPr>
                  <w:r>
                    <w:rPr>
                      <w:rFonts w:hint="eastAsia" w:ascii="宋体" w:hAnsi="宋体" w:eastAsia="宋体" w:cs="宋体"/>
                      <w:b/>
                      <w:bCs/>
                      <w:i w:val="0"/>
                      <w:iCs w:val="0"/>
                      <w:color w:val="auto"/>
                      <w:sz w:val="18"/>
                      <w:szCs w:val="18"/>
                      <w:highlight w:val="none"/>
                      <w:u w:val="none"/>
                      <w:lang w:val="en-US" w:eastAsia="zh-CN"/>
                    </w:rPr>
                    <w:t>具体要求</w:t>
                  </w:r>
                </w:p>
              </w:tc>
            </w:tr>
            <w:tr w14:paraId="794D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89755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332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精细气象服务系统底座</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2A0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基础支撑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2B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精细化气象服务结构化核心库</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0614">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数据类型：纯结构化数据，基于国产化数据库进行表结构建模，含关系型结构化表、时序结构化表（适配气象时序数据特征）。</w:t>
                  </w:r>
                </w:p>
                <w:p w14:paraId="411B7BDB">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存储内容：精细化气象服务加工后的核心业务结构化数据，为气象服务直接使用的标准化数据，包括但不限于：精细化格点气象服务数据、气象服务产品结构化元数据、数据库自身管理结构化数据（存储配置、索引信息、数据生命周期规则、权限配置）。</w:t>
                  </w:r>
                </w:p>
                <w:p w14:paraId="2FD52782">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规范化存储要求：按气象行业数据格式进行字段定义、编码规则、数据精度、单位标准化；时序气象数据按 “时间 + 空间” 复合主键设计，适配国产化数据库的时序索引优化；所有表结构遵循三范式，建立主外键关联和业务索引，支持高效查询。</w:t>
                  </w:r>
                </w:p>
                <w:p w14:paraId="389BE97E">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核心管理能力：数据库自主完成数据的增删改查、批量导入、增量更新，适配国产化数据库的事务管理、锁机制，保证数据一致性。</w:t>
                  </w:r>
                </w:p>
              </w:tc>
            </w:tr>
            <w:tr w14:paraId="678E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9CD96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3EB1">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86C1">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8D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精细化气象服务文件资源库</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7498">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数据类型：文件类数据（含结构化文件 + 非结构化文件），基于国产化数据库的文件存储引擎 / 对象存储适配模块实现规范化存储，文件元数据结构化落地至国产化数据库，文件实体可存储于数据库本地或国产化对象存储，通过数据库实现元数据与文件实体的关联管理。</w:t>
                  </w:r>
                </w:p>
                <w:p w14:paraId="7D342AB2">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存储内容：精细化气象服务全流程的标准化文件数据，由数据库完成文件的格式、命名、存储路径、版本的规范化管理，包括但不限于：气象服务产品文件（PDF/Word 版服务报告、JSON/CSV 版服务、PNG/JPEG数据图片）、、气象服务可视化模板文件（地图模板、图表模板）、数据备份与恢复相关文件（国产化数据库备份集、增量备份文件）。</w:t>
                  </w:r>
                </w:p>
                <w:p w14:paraId="5CBF9075">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规范化存储要求：制定统一的气象服务文件命名规范（服务类型_数据日期_文件格式_版本号）、文件格式规范（优先采用开源 / 国产化标准格式）、文件元数据结构化规范（含文件 ID、文件名称、文件类型、存储路径、关联业务 ID）；文件实体按 “业务类型 + 时间” 进行目录化分区存储，元数据与文件实体建立唯一关联索引，支持通过元数据快速检索、调取文件。</w:t>
                  </w:r>
                </w:p>
                <w:p w14:paraId="1651B66E">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核心管理能力：数据库自主完成文件的上传、下载、版本控制、重命名、删除，实现文件元数据的结构化查询与统计。</w:t>
                  </w:r>
                </w:p>
              </w:tc>
            </w:tr>
            <w:tr w14:paraId="3C0D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F72E6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81A9">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43A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数据交互模块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D2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佛山智慧气象电视门户数据信息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5296">
                  <w:pPr>
                    <w:bidi w:val="0"/>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定时生成面向佛山智慧气象电视门户的产品数据（包括：七天预报、预警信号），为佛山智慧气象电视门户提供数据共享。</w:t>
                  </w:r>
                </w:p>
                <w:p w14:paraId="1CAF1425">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七天预报：发布时间、预报时效、温度、雨量、风力。</w:t>
                  </w:r>
                </w:p>
                <w:p w14:paraId="04329535">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预警信号：预警信号发布时间、预警信号类别、等级、预警信号状态。</w:t>
                  </w:r>
                </w:p>
              </w:tc>
            </w:tr>
            <w:tr w14:paraId="0AE1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68015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044A">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8B2E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2D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智慧气象预警发布系统数据信息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D1F">
                  <w:pPr>
                    <w:bidi w:val="0"/>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定时生成预警发布产品数据（包括：预警信号、风险提醒），提供数据共享。</w:t>
                  </w:r>
                </w:p>
                <w:p w14:paraId="4A706222">
                  <w:pPr>
                    <w:bidi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预警信号：预警信号发布时间、预警信号类别、等级、预警信号状态。</w:t>
                  </w:r>
                </w:p>
                <w:p w14:paraId="31AD3D2B">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提醒信息：大风提醒、降水提醒。</w:t>
                  </w:r>
                </w:p>
              </w:tc>
            </w:tr>
            <w:tr w14:paraId="2B79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D06C1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AC2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DC3A">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CF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水利、国土、气象数据共享平台对接数据信息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32B1">
                  <w:pPr>
                    <w:bidi w:val="0"/>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定时生成面向水利、国土的气象产品数据（包括站点数据、预警信号、台风信息、台风预报、短期预报），为水利、国土、气象数据共享平台提供数据共享。</w:t>
                  </w:r>
                </w:p>
                <w:p w14:paraId="36093F57">
                  <w:pPr>
                    <w:bidi w:val="0"/>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站点数据：温、湿、U风、V风、气压、降水。</w:t>
                  </w:r>
                </w:p>
                <w:p w14:paraId="290154DE">
                  <w:pPr>
                    <w:bidi w:val="0"/>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预警信号：预警信号发布时间、预警信号类别、等级、预警信号状态。</w:t>
                  </w:r>
                </w:p>
                <w:p w14:paraId="64D8EFBB">
                  <w:pPr>
                    <w:bidi w:val="0"/>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台风信息：台风编号、中英文名称、生成时间、台风中心经纬度、中心最低气压、最大风级、中心附近风速、风圈半径（7/10/12 级）。</w:t>
                  </w:r>
                </w:p>
                <w:p w14:paraId="223F1673">
                  <w:pPr>
                    <w:pStyle w:val="2"/>
                    <w:spacing w:line="240" w:lineRule="auto"/>
                    <w:ind w:left="0" w:leftChars="0"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台风预报：预报机构、预报经纬度、预报强度等级、预报风速、气压。</w:t>
                  </w:r>
                </w:p>
                <w:p w14:paraId="32F97399">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短期预报：发布时间、预报时效、预报内容。</w:t>
                  </w:r>
                </w:p>
              </w:tc>
            </w:tr>
            <w:tr w14:paraId="73BF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E7BD4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15EF">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FC0C">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C2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省“一网共享”平台的对接数据信息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AB60">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定时生成面向省“一网共享”平台的产品数据，为省“一网共享”平台提供数据共享。</w:t>
                  </w:r>
                </w:p>
                <w:p w14:paraId="7300380E">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格点实况降水：网格点信息、经纬度范围、雨量。</w:t>
                  </w:r>
                </w:p>
                <w:p w14:paraId="70DB8B89">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UV风数据：网格点信息、经纬度范围、U风、V风。</w:t>
                  </w:r>
                </w:p>
                <w:p w14:paraId="6E322941">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温度图、湿度图、风力图、气压图、降水图。</w:t>
                  </w:r>
                </w:p>
              </w:tc>
            </w:tr>
            <w:tr w14:paraId="27D7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358E0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DD4D">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CD8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数据服务中台模块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54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紫外线信息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1154">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站点基本信息：站点编号、站点位置信息。</w:t>
                  </w:r>
                </w:p>
                <w:p w14:paraId="7B73900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当前站点最新记录：时间、站号、状态号:0(正常),1(故障),2(可能故障),3(其它)、UVA强度、UVB强度、腔温、紫外线指数。</w:t>
                  </w:r>
                </w:p>
              </w:tc>
            </w:tr>
            <w:tr w14:paraId="21C5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BD6BA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BFD0">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60FB">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DF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水体温度信息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B918">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站点基本信息：站点编号、站点位置信息。</w:t>
                  </w:r>
                </w:p>
                <w:p w14:paraId="2FA5161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当前站点最新记录：观测时间、气温、第1深度水温、第2深度水温、第3深度水温、2分钟平均风向、分钟平均风速(m/s)。</w:t>
                  </w:r>
                </w:p>
              </w:tc>
            </w:tr>
            <w:tr w14:paraId="4F31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9D501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B81">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7037">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C6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国家级地面观测站数据信息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7C4A">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国家观测站数据包括：站号、所属行政区，站点经纬度、海拔高度等基本信息，和入库时间、收到时间、温度、雨量、风速、瞬时风向、瞬时风速、极大风速的风向、极大风速、相对湿度、露点温度、气压等观测数据。</w:t>
                  </w:r>
                </w:p>
                <w:p w14:paraId="5F5982E7">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通过广东省气象局“</w:t>
                  </w:r>
                  <w:r>
                    <w:rPr>
                      <w:rFonts w:hint="eastAsia" w:ascii="宋体" w:hAnsi="宋体" w:eastAsia="宋体" w:cs="宋体"/>
                      <w:color w:val="auto"/>
                      <w:sz w:val="18"/>
                      <w:szCs w:val="18"/>
                      <w:highlight w:val="none"/>
                      <w:lang w:val="en-US" w:eastAsia="zh-CN"/>
                    </w:rPr>
                    <w:t>天擎平台</w:t>
                  </w:r>
                  <w:r>
                    <w:rPr>
                      <w:rFonts w:hint="eastAsia" w:ascii="宋体" w:hAnsi="宋体" w:eastAsia="宋体" w:cs="宋体"/>
                      <w:color w:val="auto"/>
                      <w:sz w:val="18"/>
                      <w:szCs w:val="18"/>
                      <w:highlight w:val="none"/>
                    </w:rPr>
                    <w:t>”实时读取</w:t>
                  </w:r>
                  <w:r>
                    <w:rPr>
                      <w:rFonts w:hint="eastAsia" w:ascii="宋体" w:hAnsi="宋体" w:eastAsia="宋体" w:cs="宋体"/>
                      <w:color w:val="auto"/>
                      <w:sz w:val="18"/>
                      <w:szCs w:val="18"/>
                      <w:highlight w:val="none"/>
                      <w:lang w:val="en-US" w:eastAsia="zh-CN"/>
                    </w:rPr>
                    <w:t>佛山市</w:t>
                  </w:r>
                  <w:r>
                    <w:rPr>
                      <w:rFonts w:hint="eastAsia" w:ascii="宋体" w:hAnsi="宋体" w:eastAsia="宋体" w:cs="宋体"/>
                      <w:color w:val="auto"/>
                      <w:sz w:val="18"/>
                      <w:szCs w:val="18"/>
                      <w:highlight w:val="none"/>
                    </w:rPr>
                    <w:t>国家级地面观测站的实时观测数据。</w:t>
                  </w:r>
                </w:p>
                <w:p w14:paraId="45D35339">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根据接口调用规范，逐时次分区域的从接口获取数据，根据接口数据格式规范，解压、解析数据。</w:t>
                  </w:r>
                </w:p>
              </w:tc>
            </w:tr>
            <w:tr w14:paraId="15B3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6BB811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3CE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9443">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3A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区域自动站数据信息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1455">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域自动站数据包括：站号、所属行政区，站点经纬度、海拔高度等基本信息，和入库时间、收到时间、温度、雨量、风速、瞬时风向、瞬时风速、极大风速的风向、极大风速、相对湿度、露点温度、气压等观测数据。</w:t>
                  </w:r>
                </w:p>
                <w:p w14:paraId="3EC288CD">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通过广东省气象局“</w:t>
                  </w:r>
                  <w:r>
                    <w:rPr>
                      <w:rFonts w:hint="eastAsia" w:ascii="宋体" w:hAnsi="宋体" w:eastAsia="宋体" w:cs="宋体"/>
                      <w:color w:val="auto"/>
                      <w:sz w:val="18"/>
                      <w:szCs w:val="18"/>
                      <w:highlight w:val="none"/>
                      <w:lang w:val="en-US" w:eastAsia="zh-CN"/>
                    </w:rPr>
                    <w:t>天擎平台</w:t>
                  </w:r>
                  <w:r>
                    <w:rPr>
                      <w:rFonts w:hint="eastAsia" w:ascii="宋体" w:hAnsi="宋体" w:eastAsia="宋体" w:cs="宋体"/>
                      <w:color w:val="auto"/>
                      <w:sz w:val="18"/>
                      <w:szCs w:val="18"/>
                      <w:highlight w:val="none"/>
                    </w:rPr>
                    <w:t>”实时读取区域自动站的实时观测数据。</w:t>
                  </w:r>
                </w:p>
                <w:p w14:paraId="32304AC4">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根据接口调用规范，逐时次分区域的从接口获取数据，根据接口数据格式规范，解压、解析数据。</w:t>
                  </w:r>
                </w:p>
              </w:tc>
            </w:tr>
            <w:tr w14:paraId="6439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57B07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127D3">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6E76">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60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天气雷达数据信息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4AE0">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天气雷达数据包括：雷达中心经度、雷达中心纬度、网格场起始经度、网格场起始纬度、X轴方向经度间隔、Y轴方向纬度间隔、网格场总列数、网格场总行数、高度（公里）、网格数据（大对象）、数据时间。</w:t>
                  </w:r>
                </w:p>
                <w:p w14:paraId="4BC59947">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通过广东省气象局“</w:t>
                  </w:r>
                  <w:r>
                    <w:rPr>
                      <w:rFonts w:hint="eastAsia" w:ascii="宋体" w:hAnsi="宋体" w:eastAsia="宋体" w:cs="宋体"/>
                      <w:color w:val="auto"/>
                      <w:sz w:val="18"/>
                      <w:szCs w:val="18"/>
                      <w:highlight w:val="none"/>
                      <w:lang w:val="en-US" w:eastAsia="zh-CN"/>
                    </w:rPr>
                    <w:t>天擎平台</w:t>
                  </w:r>
                  <w:r>
                    <w:rPr>
                      <w:rFonts w:hint="eastAsia" w:ascii="宋体" w:hAnsi="宋体" w:eastAsia="宋体" w:cs="宋体"/>
                      <w:color w:val="auto"/>
                      <w:sz w:val="18"/>
                      <w:szCs w:val="18"/>
                      <w:highlight w:val="none"/>
                    </w:rPr>
                    <w:t>”实时读取天气雷达数据，通过数据文件列表索引，读取相应时次的雷达数据。根据雷达数据产品的封装情况，自动解压雷达数据文件。</w:t>
                  </w:r>
                </w:p>
              </w:tc>
            </w:tr>
            <w:tr w14:paraId="76F9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71EFD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0739">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FEE2">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EE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空气质量AQI数据信息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3159">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空气质量包括AQI、空气质量级别、优-良、首要污染物等信息。</w:t>
                  </w:r>
                </w:p>
                <w:p w14:paraId="6274B2A4">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根据接口调用规范，逐时次分从接口获取数据，根据接口数据格式规范，解压、解析数据。</w:t>
                  </w:r>
                </w:p>
              </w:tc>
            </w:tr>
            <w:tr w14:paraId="65F5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42FB6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7157">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926B">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1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天气实景数据信息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43CF">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天气实景</w:t>
                  </w:r>
                  <w:r>
                    <w:rPr>
                      <w:rFonts w:hint="eastAsia" w:ascii="宋体" w:hAnsi="宋体" w:eastAsia="宋体" w:cs="宋体"/>
                      <w:color w:val="auto"/>
                      <w:sz w:val="18"/>
                      <w:szCs w:val="18"/>
                      <w:highlight w:val="none"/>
                    </w:rPr>
                    <w:t>数据采集、从指定目录和接口采集天气实景图片文件，根据文件目录和时间，自动判断出最近时次的天气实景图片。</w:t>
                  </w:r>
                </w:p>
                <w:p w14:paraId="79CA17BB">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使用时间倒序的方式</w:t>
                  </w:r>
                  <w:r>
                    <w:rPr>
                      <w:rFonts w:hint="eastAsia" w:ascii="宋体" w:hAnsi="宋体" w:eastAsia="宋体" w:cs="宋体"/>
                      <w:color w:val="auto"/>
                      <w:sz w:val="18"/>
                      <w:szCs w:val="18"/>
                      <w:highlight w:val="none"/>
                      <w:lang w:val="en-US" w:eastAsia="zh-CN"/>
                    </w:rPr>
                    <w:t>排序天气实景数据列表</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实时读取最新时次的实景照片作为</w:t>
                  </w:r>
                  <w:r>
                    <w:rPr>
                      <w:rFonts w:hint="eastAsia" w:ascii="宋体" w:hAnsi="宋体" w:eastAsia="宋体" w:cs="宋体"/>
                      <w:color w:val="auto"/>
                      <w:sz w:val="18"/>
                      <w:szCs w:val="18"/>
                      <w:highlight w:val="none"/>
                    </w:rPr>
                    <w:t>天气实景的缩略图。</w:t>
                  </w:r>
                </w:p>
              </w:tc>
            </w:tr>
            <w:tr w14:paraId="393D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E5311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FB34">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629F">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A9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能见度自动站数据信息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042C">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能见度数据包括：</w:t>
                  </w:r>
                  <w:r>
                    <w:rPr>
                      <w:rFonts w:hint="eastAsia" w:ascii="宋体" w:hAnsi="宋体" w:eastAsia="宋体" w:cs="宋体"/>
                      <w:color w:val="auto"/>
                      <w:sz w:val="18"/>
                      <w:szCs w:val="18"/>
                      <w:highlight w:val="none"/>
                    </w:rPr>
                    <w:t>站号、所属行政区，站点经纬度等基本信息，入库时间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收到时间、</w:t>
                  </w:r>
                  <w:r>
                    <w:rPr>
                      <w:rFonts w:hint="eastAsia" w:ascii="宋体" w:hAnsi="宋体" w:eastAsia="宋体" w:cs="宋体"/>
                      <w:color w:val="auto"/>
                      <w:sz w:val="18"/>
                      <w:szCs w:val="18"/>
                      <w:highlight w:val="none"/>
                      <w:lang w:val="en-US" w:eastAsia="zh-CN"/>
                    </w:rPr>
                    <w:t>能见度值。</w:t>
                  </w:r>
                </w:p>
                <w:p w14:paraId="4BF10785">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通过广东省气象局“</w:t>
                  </w:r>
                  <w:r>
                    <w:rPr>
                      <w:rFonts w:hint="eastAsia" w:ascii="宋体" w:hAnsi="宋体" w:eastAsia="宋体" w:cs="宋体"/>
                      <w:color w:val="auto"/>
                      <w:sz w:val="18"/>
                      <w:szCs w:val="18"/>
                      <w:highlight w:val="none"/>
                      <w:lang w:val="en-US" w:eastAsia="zh-CN"/>
                    </w:rPr>
                    <w:t>天擎平台</w:t>
                  </w:r>
                  <w:r>
                    <w:rPr>
                      <w:rFonts w:hint="eastAsia" w:ascii="宋体" w:hAnsi="宋体" w:eastAsia="宋体" w:cs="宋体"/>
                      <w:color w:val="auto"/>
                      <w:sz w:val="18"/>
                      <w:szCs w:val="18"/>
                      <w:highlight w:val="none"/>
                    </w:rPr>
                    <w:t>”实时读取区域自动站的实时观测数据。</w:t>
                  </w:r>
                </w:p>
                <w:p w14:paraId="5BCDE9DA">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根据接口调用规范，逐时次分区域的从接口获取数据，根据接口数据格式规范，解压、解析数据。</w:t>
                  </w:r>
                </w:p>
              </w:tc>
            </w:tr>
            <w:tr w14:paraId="2B0A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4FBBB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A6B72">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99BA">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4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站点基本信息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B255">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功能描述：编写自动化程序，从广东省气象局气象大数据云平台天擎系统数据服务接口实时读取佛山全市国家气象基准站和区域自动站的站点信息报文，设计合理的数据存储结构，将气象自动站的基本信息保存到佛山市政务云数据库。</w:t>
                  </w:r>
                </w:p>
                <w:p w14:paraId="5A6DDB40">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难点分析：需要及时更新新建、迁移和拆除的气象自动站基本信息。</w:t>
                  </w:r>
                </w:p>
                <w:p w14:paraId="62D2CAC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数据信息：站点编码、站点类型、经度、纬度、海拔高度、地址、站名、所在省份、所在地市、所在区县、所在镇街等。</w:t>
                  </w:r>
                </w:p>
              </w:tc>
            </w:tr>
            <w:tr w14:paraId="71CE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20219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4EBA">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46D9">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B7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区县气象预警信号信息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5BC3">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功能描述：编写自动化程序，从广东省气象局气象大数据云平台天擎系统数据服务接口实时读取全省各个气象台站发布的暴雨、雷雨大风、冰雹、台风、高温、寒冷、大雾、道路结冰、森林火险等预警信号，设计合理的数据存储结构，保存到佛山市政务云数据库。</w:t>
                  </w:r>
                </w:p>
                <w:p w14:paraId="2F10A8AA">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数据信息：气象台站编码、发布时间、气象预警类型、预警等级等。</w:t>
                  </w:r>
                </w:p>
              </w:tc>
            </w:tr>
            <w:tr w14:paraId="5F51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CABA6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192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27B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98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镇街气象预警信号信息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DA93">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功能描述：编写自动化程序，从广东省气象局气象大数据云平台天擎系统数据服务接口实时读取佛山市、南海区、顺德区、三水区、高明区气象局发布的暴雨、雷雨大风、冰雹等预警信号，设计合理的数据存储结构，保存到佛山市政务云数据库。</w:t>
                  </w:r>
                </w:p>
                <w:p w14:paraId="33ABA3BE">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数据信息：镇街编码、发布时间、气象预警类型、预警等级等。</w:t>
                  </w:r>
                </w:p>
              </w:tc>
            </w:tr>
            <w:tr w14:paraId="7D72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B9EE1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FE42">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D1A1">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76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台风基本信息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EC29">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功能描述：编写自动化程序，从广东省气象局气象大数据云平台天擎系统数据服务接口实时读取最新的台风基本信息，设计合理的数据存储结构，保存到佛山市政务云数据库。</w:t>
                  </w:r>
                </w:p>
                <w:p w14:paraId="075072FE">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难点分析：需要自动处理编号出错的台风以及未编号台风。</w:t>
                  </w:r>
                </w:p>
                <w:p w14:paraId="48F00336">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数据信息：台风内部编码、本地台编码、国际编码、英文名称、中文名称、登陆位置等。</w:t>
                  </w:r>
                </w:p>
              </w:tc>
            </w:tr>
            <w:tr w14:paraId="2725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74A05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96BE">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182A">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8E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台风实况路径信息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645D">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功能描述：编写自动化程序，从广东省气象局气象大数据云平台天擎系统数据服务接口实时读取BGGZ、BABJ、ECMWF、PGTW等预报中心发布的台风实况路径，设计合理的数据存储结构，保存到佛山市政务云数据库。</w:t>
                  </w:r>
                </w:p>
                <w:p w14:paraId="2564BB4C">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数据信息：台风内部编码、时间、经度、纬度、强度、中心风力、中心气压、移动方向、移动速度、6级风圈半径、7级风圈半径、8级风圈半径、10级风圈半径、12级风圈半径等。</w:t>
                  </w:r>
                </w:p>
              </w:tc>
            </w:tr>
            <w:tr w14:paraId="592A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817D4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EA3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AC2D">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8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台风预报路径信息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EF88">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功能描述：编写自动化程序，从广东省气象局气象大数据云平台天擎系统数据服务接口实时读取BGGZ、BABJ、ECMWF、PGTW等预报中心发布的台风预报路径，设计合理的数据存储结构，保存到佛山市政务云数据库。</w:t>
                  </w:r>
                </w:p>
                <w:p w14:paraId="5B53A159">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数据信息：台风内部编码、预报时间、预报时效、经度、纬度、强度、中心风力、中心气压、6级风圈半径、7级风圈半径、8级风圈半径、10级风圈半径、12级风圈半径等。</w:t>
                  </w:r>
                </w:p>
              </w:tc>
            </w:tr>
            <w:tr w14:paraId="5B1D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581D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801E">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F868">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BB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红外云图信息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2620">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功能描述：编写自动化程序，从广东省气象局气象大数据云平台天擎系统数据服务接口实时读取最新的卫星红外云图产品，设计合理的存储规则，上传到佛山市政务云服务器。</w:t>
                  </w:r>
                </w:p>
              </w:tc>
            </w:tr>
            <w:tr w14:paraId="79A0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55A2C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21CE">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801D">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6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可见光云图信息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CD39">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color w:val="auto"/>
                      <w:sz w:val="18"/>
                      <w:szCs w:val="18"/>
                      <w:highlight w:val="none"/>
                    </w:rPr>
                    <w:t>功能描述：编写自动化程序，从广东省气象局气象大数据云平台天擎系统数据服务接口实时读取最新的卫星可见光云图产品，设计合理的存储规则，上传到佛山市政务云服务器。</w:t>
                  </w:r>
                </w:p>
              </w:tc>
            </w:tr>
            <w:tr w14:paraId="0C3B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A3DD7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FEE0">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574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5B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十天预报信息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70D9">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十天预报数据包括基础属性和计算属性，创建中转数据文件，包括计算属性和基础属性、并将库表结构封装成JSON文件。通过非结构化数据通道传输至数据共享平台前置机。</w:t>
                  </w:r>
                </w:p>
                <w:p w14:paraId="75C10B5E">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对接数据共享平台接口规范，封装符合共享平台规范的服务接口，提供台最新一期十天预报信息查询接口。</w:t>
                  </w:r>
                </w:p>
              </w:tc>
            </w:tr>
            <w:tr w14:paraId="162D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2312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85DF">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AA295">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78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环境气象预报信息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59A7">
                  <w:pPr>
                    <w:bidi w:val="0"/>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预报类型(uv紫外线,poll污染,comp舒适度等级,ddre白天穿衣,ndre早晚穿衣,carwash洗车,umb雨伞,moe晨练,outing郊游,cfd城市火险)</w:t>
                  </w:r>
                </w:p>
                <w:p w14:paraId="489F666B">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p>
              </w:tc>
            </w:tr>
            <w:tr w14:paraId="6DB2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9D919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BFC6">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DC28">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D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闪电数据信息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D4B4">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数据接入与质控：支持地闪/云闪数据标准化接入，解析核心属性（定位、强度等），实现数据校验、无效/异常数据过滤标记。</w:t>
                  </w:r>
                </w:p>
                <w:p w14:paraId="5DE9EC25">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ab/>
                  </w:r>
                  <w:r>
                    <w:rPr>
                      <w:rFonts w:hint="eastAsia" w:ascii="宋体" w:hAnsi="宋体" w:eastAsia="宋体" w:cs="宋体"/>
                      <w:color w:val="auto"/>
                      <w:sz w:val="18"/>
                      <w:szCs w:val="18"/>
                      <w:highlight w:val="none"/>
                      <w:lang w:val="en-US" w:eastAsia="zh-CN"/>
                    </w:rPr>
                    <w:t>多要素叠加联动：支持行政边界、雷达/降水等图层叠加，实现图层分层控制、闪电数据与其他气象数据关联查询。</w:t>
                  </w:r>
                </w:p>
                <w:p w14:paraId="05956787">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检索与统计：支持多维度（时间/区域/经纬度）数据筛选、单点详情查询，实现核心统计指标（数量/极值等）计算。</w:t>
                  </w:r>
                </w:p>
              </w:tc>
            </w:tr>
            <w:tr w14:paraId="2FE0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FD48B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E0F0">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FB7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精细化格点数据融合模块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DE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雷达降水估测（QPE）</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9C1A">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数据接入解析：支持雷达降水估测（QPE）数据标准化接入，完成数据解析、格式转换与质量控制，过滤缺测等异常数据，保障源数据有效性。</w:t>
                  </w:r>
                </w:p>
                <w:p w14:paraId="478DAD9F">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数据</w:t>
                  </w:r>
                  <w:r>
                    <w:rPr>
                      <w:rFonts w:hint="eastAsia" w:ascii="宋体" w:hAnsi="宋体" w:eastAsia="宋体" w:cs="宋体"/>
                      <w:color w:val="auto"/>
                      <w:sz w:val="18"/>
                      <w:szCs w:val="18"/>
                      <w:highlight w:val="none"/>
                      <w:lang w:val="en-US" w:eastAsia="zh-CN"/>
                    </w:rPr>
                    <w:t>时效</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小时定量降水预报、分钟定量降水预报，每6min一个资料 预报时效 006-180, 逐6分钟一个预报时次。</w:t>
                  </w:r>
                </w:p>
                <w:p w14:paraId="28488728">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数据可视化展示：提供雷达降水估测（QPE） 数据分级填色渲染，适配降水等级行业标准色阶，支持自定义分级阈值与配色；支持单时次、多时次连续播放展示降水演变过程。</w:t>
                  </w:r>
                </w:p>
                <w:p w14:paraId="5C9CF5E7">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空间要素叠加：支持叠加行政边界、河流路网等基础空间要素，降水估测数据的空间匹配展示。</w:t>
                  </w:r>
                </w:p>
                <w:p w14:paraId="4E028245">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数据输出与共享：支持雷达降水估测（QPE） 填色图高清图片（PNG）导出，支持预测格点数据按 NetCDF等气象标准格式批量导出；支持数据接口对接。</w:t>
                  </w:r>
                </w:p>
                <w:p w14:paraId="6F95BA6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历史数据回溯：支持雷达降水估测（QPE）历史数据的检索、展示与回放。</w:t>
                  </w:r>
                </w:p>
              </w:tc>
            </w:tr>
            <w:tr w14:paraId="4733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BDB5C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0B5A">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CA66">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B7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雷达定量降水预测（QPF）</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D3C7">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数据接入解析：支持雷达定量降水预测（QPF）数据标准化接入，完成数据解析、格式转换与质量控制，过滤缺测等异常数据，保障源数据有效性。</w:t>
                  </w:r>
                </w:p>
                <w:p w14:paraId="4DA26FE8">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数据</w:t>
                  </w:r>
                  <w:r>
                    <w:rPr>
                      <w:rFonts w:hint="eastAsia" w:ascii="宋体" w:hAnsi="宋体" w:eastAsia="宋体" w:cs="宋体"/>
                      <w:color w:val="auto"/>
                      <w:sz w:val="18"/>
                      <w:szCs w:val="18"/>
                      <w:highlight w:val="none"/>
                      <w:lang w:val="en-US" w:eastAsia="zh-CN"/>
                    </w:rPr>
                    <w:t>时效</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小时定量降水预报、分钟定量降水预报，每6min一个资料 预报时效 006-180, 逐6分钟一个预报时次。</w:t>
                  </w:r>
                </w:p>
                <w:p w14:paraId="54DB5890">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数据可视化展示：提供雷达 QPF 数据分级填色渲染，适配降水等级行业标准色阶，支持自定义分级阈值与配色；支持单时次、多时次连续播放展示降水演变过程。</w:t>
                  </w:r>
                </w:p>
                <w:p w14:paraId="061D47E4">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空间要素叠加：支持叠加行政边界、河流路网等基础空间要素，预测数据的空间匹配展示。</w:t>
                  </w:r>
                </w:p>
                <w:p w14:paraId="6250E1FB">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数据输出与共享：支持雷达 QPF 填色图高清图片（PNG）导出，支持预测格点数据按 NetCDF等气象标准格式批量导出；支持数据接口对接。</w:t>
                  </w:r>
                </w:p>
                <w:p w14:paraId="08CE45E4">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历史数据回溯：支持雷达定量降水预测历史数据的检索、展示与回放。</w:t>
                  </w:r>
                </w:p>
              </w:tc>
            </w:tr>
            <w:tr w14:paraId="2539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F39D0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0DB3">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B650">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69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gift格点预报数据</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CB9F">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多时效数据接入解析：支持 gift格点预报数据标准化对接，实现逐小时 / 3 小时高分辨率预报数据、未来 7天时效数据的批量接入、解析与格式转换；完成数据完整性校验、缺测值标记及异常值过滤，保障模式源数据有效性。</w:t>
                  </w:r>
                </w:p>
                <w:p w14:paraId="06A06FC1">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全要素格点数据管理：支持气温、降水、风速、风向、相对湿度、气压、能见度等 gift核心气象要素的格点数据提取与分类管理，支持按要素、时效、区域精准筛选格点数据，适配不同气象业务要素分析需求。</w:t>
                  </w:r>
                </w:p>
                <w:p w14:paraId="6135AD1A">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精准检索与交互分析：支持经纬度、网格编号等多方式定位检索，实现单点格点预报值精准查询、区域格点数据批量提取。</w:t>
                  </w:r>
                </w:p>
                <w:p w14:paraId="2631538A">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空间要素叠加联动：支持叠加行政边界、河流路网等基础空间要素，支持预报等值线叠加，强化要素空间分布边界与变化趋势感知。</w:t>
                  </w:r>
                </w:p>
                <w:p w14:paraId="29274E50">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时效与分辨率适配：支持短期（0-72 小时） 高分辨率逐小时预报、中期（72-168小时） 3 小时预报的灵活切换，适配气象短期、中期预报业务场景。</w:t>
                  </w:r>
                </w:p>
                <w:p w14:paraId="0EA754D7">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历史预报数据回溯：支持 gift格点历史预报数据的存储、检索与回溯展示。</w:t>
                  </w:r>
                </w:p>
              </w:tc>
            </w:tr>
            <w:tr w14:paraId="5D52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B434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FDE2">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BA0F">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8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Grapes模式信息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16E9">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多时效数据接入解析：支持 Grapes模式预报数据标准化对接，实现逐小时 / 3 小时高分辨率预报数据、未来 7天时效数据的批量接入、解析与格式转换；完成数据完整性校验、缺测值标记及异常值过滤，保障模式源数据有效性。</w:t>
                  </w:r>
                </w:p>
                <w:p w14:paraId="75C95F9A">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全要素格点数据管理：支持气温、降水、风速、风向、相对湿度、气压、能见度等 Grapes核心气象要素的格点数据提取与分类管理，支持按要素、时效、区域精准筛选格点数据，适配不同气象业务要素分析需求。</w:t>
                  </w:r>
                </w:p>
                <w:p w14:paraId="20166854">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精准检索与交互分析：支持经纬度、网格编号等多方式定位检索，实现单点格点预报值精准查询、区域格点数据批量提取。</w:t>
                  </w:r>
                </w:p>
                <w:p w14:paraId="22807C0C">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空间要素叠加联动：支持叠加行政边界、河流路网等基础空间要素，支持预报等值线叠加，强化要素空间分布边界与变化趋势感知。</w:t>
                  </w:r>
                </w:p>
                <w:p w14:paraId="5FFDC753">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时效与分辨率适配：支持短期（0-72 小时） 高分辨率逐小时预报、中期 3 小时预报的灵活切换，适配气象短期、中期预报业务场景。</w:t>
                  </w:r>
                </w:p>
                <w:p w14:paraId="68C597B5">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历史预报数据回溯：支持 Grapes模式历史预报数据的存储、检索与回溯展示。</w:t>
                  </w:r>
                </w:p>
              </w:tc>
            </w:tr>
            <w:tr w14:paraId="3311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9CFBD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DA13">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CB898">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50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ecmwfthin模式预报信息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C7A5">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多时效数据接入解析：支持 ECMWF 细网格模式预报数据标准化对接，实现逐小时 / 3 小时高分辨率预报数据、未来 7天时效数据的批量接入、解析与格式转换；完成数据完整性校验、缺测值标记及异常值过滤，保障模式源数据有效性。</w:t>
                  </w:r>
                </w:p>
                <w:p w14:paraId="6128B683">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全要素格点数据管理：支持气温、降水、风速、风向、相对湿度、气压、能见度等 ECMWF 细网格核心气象要素的格点数据提取与分类管理，支持按要素、时效、区域精准筛选格点数据，适配不同气象业务要素分析需求。</w:t>
                  </w:r>
                </w:p>
                <w:p w14:paraId="2C6D3FB6">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精准检索与交互分析：支持经纬度、网格编号等多方式定位检索，实现单点格点预报值精准查询、区域格点数据批量提取。</w:t>
                  </w:r>
                </w:p>
                <w:p w14:paraId="6AA69087">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空间要素叠加联动：支持叠加行政边界、河流路网等基础空间要素，支持预报等值线叠加，强化要素空间分布边界与变化趋势感知。</w:t>
                  </w:r>
                </w:p>
                <w:p w14:paraId="2D43AD4E">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时效与分辨率适配：支持短期（0-72 小时） 高分辨率逐小时预报、中期3 小时预报的灵活切换，适配气象短期、中期预报业务场景。</w:t>
                  </w:r>
                </w:p>
                <w:p w14:paraId="4B0526FB">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历史预报数据回溯：支持 ECMWF 细网格模式历史预报数据的存储、检索与回溯展示。</w:t>
                  </w:r>
                </w:p>
              </w:tc>
            </w:tr>
            <w:tr w14:paraId="6DDD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1C84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C0296">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D78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智能化气象产品制作模块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9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数据地图投影信息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7399">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使用审图号地图地图裁切出佛山及周边区域，突出显示佛山边界，并对佛山边界进行素色处理，去除杂色，对佛山市边界、佛山各区边界、镇街边界分别用不同的线条突出显示。</w:t>
                  </w:r>
                </w:p>
              </w:tc>
            </w:tr>
            <w:tr w14:paraId="6A4B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CFC3B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46A22">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5F09B">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CF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产品替换规则信息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346">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式预报产品分为首选和备选两类，由于模式预报产品的数据量大，依赖条件复杂，会出现一类模式产品未能及时生成或获取，从业务稳定角度考虑，需要采用备选模式预报产品。备选预报产品的替换触发条件如下：</w:t>
                  </w:r>
                </w:p>
                <w:p w14:paraId="5337F7A9">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首选模式预报产品无法采集</w:t>
                  </w:r>
                </w:p>
                <w:p w14:paraId="600F625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首选模式预报产品第一次采集数据缺失率大于20%，二次采集补录后数据缺失率依然大于20%。</w:t>
                  </w:r>
                </w:p>
                <w:p w14:paraId="56183C87">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首选模式预报产品格点数据，网格值都为空置。</w:t>
                  </w:r>
                </w:p>
                <w:p w14:paraId="161BE55A">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④　首选模式预报产品最新数据延迟超过1小时。</w:t>
                  </w:r>
                </w:p>
              </w:tc>
            </w:tr>
            <w:tr w14:paraId="2C14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2E85D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76BA">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5298">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1E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自动站雨量插值信息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BFFE">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数据接入：支持气象自动站实时 / 历史雨量观测数据的批量接入、解析与校验，过滤异常无效数据；</w:t>
                  </w:r>
                </w:p>
                <w:p w14:paraId="136CE639">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插值计算：内置</w:t>
                  </w:r>
                  <w:r>
                    <w:rPr>
                      <w:rFonts w:hint="eastAsia" w:ascii="宋体" w:hAnsi="宋体" w:eastAsia="宋体" w:cs="宋体"/>
                      <w:color w:val="auto"/>
                      <w:sz w:val="18"/>
                      <w:szCs w:val="18"/>
                      <w:highlight w:val="none"/>
                      <w:lang w:val="en-US" w:eastAsia="zh-CN"/>
                    </w:rPr>
                    <w:t>克里斯曼</w:t>
                  </w:r>
                  <w:r>
                    <w:rPr>
                      <w:rFonts w:hint="eastAsia" w:ascii="宋体" w:hAnsi="宋体" w:eastAsia="宋体" w:cs="宋体"/>
                      <w:color w:val="auto"/>
                      <w:sz w:val="18"/>
                      <w:szCs w:val="18"/>
                      <w:highlight w:val="none"/>
                    </w:rPr>
                    <w:t>空间插值算法，</w:t>
                  </w:r>
                  <w:r>
                    <w:rPr>
                      <w:rFonts w:hint="eastAsia" w:ascii="宋体" w:hAnsi="宋体" w:eastAsia="宋体" w:cs="宋体"/>
                      <w:color w:val="auto"/>
                      <w:sz w:val="18"/>
                      <w:szCs w:val="18"/>
                      <w:highlight w:val="none"/>
                      <w:lang w:val="en-US" w:eastAsia="zh-CN"/>
                    </w:rPr>
                    <w:t>设置合理的</w:t>
                  </w:r>
                  <w:r>
                    <w:rPr>
                      <w:rFonts w:hint="eastAsia" w:ascii="宋体" w:hAnsi="宋体" w:eastAsia="宋体" w:cs="宋体"/>
                      <w:color w:val="auto"/>
                      <w:sz w:val="18"/>
                      <w:szCs w:val="18"/>
                      <w:highlight w:val="none"/>
                    </w:rPr>
                    <w:t>算法参数，实现无测站区域雨量值的精准推算，生成网格化雨量数据；</w:t>
                  </w:r>
                </w:p>
                <w:p w14:paraId="37D52E4E">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填色渲染：支持雨量等级自定义分级，配置对应色阶配色，实现网格化雨量数据的色彩填充，支持等值线叠加展示，强化雨量边界与梯度感知；</w:t>
                  </w:r>
                </w:p>
                <w:p w14:paraId="747758F7">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底图融合：支持叠加行政边界、气象站站址、河流、路网等基础底图要素，支持站址标注实测雨量值，实现观测数据与空间分布的联动展示；</w:t>
                  </w:r>
                </w:p>
                <w:p w14:paraId="415C5781">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结果输出：支持填色图的高清图片（PNG）导出；</w:t>
                  </w:r>
                </w:p>
                <w:p w14:paraId="12598A2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color w:val="auto"/>
                      <w:sz w:val="18"/>
                      <w:szCs w:val="18"/>
                      <w:highlight w:val="none"/>
                    </w:rPr>
                    <w:t>时效适配：支持按</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小时、</w:t>
                  </w:r>
                  <w:r>
                    <w:rPr>
                      <w:rFonts w:hint="eastAsia" w:ascii="宋体" w:hAnsi="宋体" w:eastAsia="宋体" w:cs="宋体"/>
                      <w:color w:val="auto"/>
                      <w:sz w:val="18"/>
                      <w:szCs w:val="18"/>
                      <w:highlight w:val="none"/>
                      <w:lang w:val="en-US" w:eastAsia="zh-CN"/>
                    </w:rPr>
                    <w:t>24小时</w:t>
                  </w:r>
                  <w:r>
                    <w:rPr>
                      <w:rFonts w:hint="eastAsia" w:ascii="宋体" w:hAnsi="宋体" w:eastAsia="宋体" w:cs="宋体"/>
                      <w:color w:val="auto"/>
                      <w:sz w:val="18"/>
                      <w:szCs w:val="18"/>
                      <w:highlight w:val="none"/>
                    </w:rPr>
                    <w:t>时间尺度生成雨量插值填色图，适配气象实时</w:t>
                  </w:r>
                  <w:r>
                    <w:rPr>
                      <w:rFonts w:hint="eastAsia" w:ascii="宋体" w:hAnsi="宋体" w:eastAsia="宋体" w:cs="宋体"/>
                      <w:color w:val="auto"/>
                      <w:sz w:val="18"/>
                      <w:szCs w:val="18"/>
                      <w:highlight w:val="none"/>
                      <w:lang w:val="en-US" w:eastAsia="zh-CN"/>
                    </w:rPr>
                    <w:t>监测</w:t>
                  </w:r>
                  <w:r>
                    <w:rPr>
                      <w:rFonts w:hint="eastAsia" w:ascii="宋体" w:hAnsi="宋体" w:eastAsia="宋体" w:cs="宋体"/>
                      <w:color w:val="auto"/>
                      <w:sz w:val="18"/>
                      <w:szCs w:val="18"/>
                      <w:highlight w:val="none"/>
                    </w:rPr>
                    <w:t>等业务场景需求</w:t>
                  </w:r>
                  <w:r>
                    <w:rPr>
                      <w:rFonts w:hint="eastAsia" w:ascii="宋体" w:hAnsi="宋体" w:eastAsia="宋体" w:cs="宋体"/>
                      <w:color w:val="auto"/>
                      <w:sz w:val="18"/>
                      <w:szCs w:val="18"/>
                      <w:highlight w:val="none"/>
                      <w:lang w:eastAsia="zh-CN"/>
                    </w:rPr>
                    <w:t>。</w:t>
                  </w:r>
                </w:p>
              </w:tc>
            </w:tr>
            <w:tr w14:paraId="1918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1A958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C646">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E623">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EC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自动站风速插值信息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2CFD">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数据接入：支持气象自动站实时 / 历史风速、风向观测数据的批量接入、解析与校验，过滤异常无效数据；</w:t>
                  </w:r>
                </w:p>
                <w:p w14:paraId="367A5D5E">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插值计算：内置克里斯曼空间插值算法，设置合理的算法参数，实现无测站区域风速值的精准推算，生成网格化风速数据；</w:t>
                  </w:r>
                </w:p>
                <w:p w14:paraId="1B18E46E">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填色渲染：支持风速等级自定义分级，配置对应色阶配色，实现网格化风速数据的色彩填充，支持等值线叠加展示，强化风速边界与梯度感知；</w:t>
                  </w:r>
                </w:p>
                <w:p w14:paraId="048E8904">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底图融合：支持叠加行政边界、气象站站址、河流、路网等基础底图要素，支持站址标注实测风速值，实现观测数据与空间分布的联动展示；</w:t>
                  </w:r>
                </w:p>
                <w:p w14:paraId="4288AE83">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结果输出：支持填色图的高清图片（PNG）导出；</w:t>
                  </w:r>
                </w:p>
                <w:p w14:paraId="3282B978">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color w:val="auto"/>
                      <w:sz w:val="18"/>
                      <w:szCs w:val="18"/>
                      <w:highlight w:val="none"/>
                    </w:rPr>
                    <w:t>时效适配：支持按</w:t>
                  </w:r>
                  <w:r>
                    <w:rPr>
                      <w:rFonts w:hint="eastAsia" w:ascii="宋体" w:hAnsi="宋体" w:eastAsia="宋体" w:cs="宋体"/>
                      <w:color w:val="auto"/>
                      <w:sz w:val="18"/>
                      <w:szCs w:val="18"/>
                      <w:highlight w:val="none"/>
                      <w:lang w:val="en-US" w:eastAsia="zh-CN"/>
                    </w:rPr>
                    <w:t>5分钟</w:t>
                  </w:r>
                  <w:r>
                    <w:rPr>
                      <w:rFonts w:hint="eastAsia" w:ascii="宋体" w:hAnsi="宋体" w:eastAsia="宋体" w:cs="宋体"/>
                      <w:color w:val="auto"/>
                      <w:sz w:val="18"/>
                      <w:szCs w:val="18"/>
                      <w:highlight w:val="none"/>
                    </w:rPr>
                    <w:t>时间尺度生成风速插值填色图，适配气象实时监测等业务场景需求</w:t>
                  </w:r>
                  <w:r>
                    <w:rPr>
                      <w:rFonts w:hint="eastAsia" w:ascii="宋体" w:hAnsi="宋体" w:eastAsia="宋体" w:cs="宋体"/>
                      <w:color w:val="auto"/>
                      <w:sz w:val="18"/>
                      <w:szCs w:val="18"/>
                      <w:highlight w:val="none"/>
                      <w:lang w:eastAsia="zh-CN"/>
                    </w:rPr>
                    <w:t>。</w:t>
                  </w:r>
                </w:p>
              </w:tc>
            </w:tr>
            <w:tr w14:paraId="6B7C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634D0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6E6F">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D495">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E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自动站温度插值信息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7A60">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数据接入：支持气象自动站实时 / 历史温度观测数据的批量接入、解析与校验，过滤异常无效数据；</w:t>
                  </w:r>
                </w:p>
                <w:p w14:paraId="41C356F4">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插值计算：内置克里斯曼空间插值算法，设置合理的算法参数，实现无测站区域温度值的精准推算，生成网格化温度数据；</w:t>
                  </w:r>
                </w:p>
                <w:p w14:paraId="13A01C0E">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填色渲染：支持温度等级自定义分级，配置对应色阶配色，实现网格化温度数据的色彩填充，支持等值线叠加展示，强化温度边界与梯度感知；</w:t>
                  </w:r>
                </w:p>
                <w:p w14:paraId="45079DA0">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底图融合：支持叠加行政边界、气象站站址、河流、路网等基础底图要素，支持站址标注实测温度值，实现观测数据与空间分布的联动展示；</w:t>
                  </w:r>
                </w:p>
                <w:p w14:paraId="490C47FB">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结果输出：支持填色图的高清图片（PNG）导出；</w:t>
                  </w:r>
                </w:p>
                <w:p w14:paraId="1B36C97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color w:val="auto"/>
                      <w:sz w:val="18"/>
                      <w:szCs w:val="18"/>
                      <w:highlight w:val="none"/>
                    </w:rPr>
                    <w:t>时效适配：支持按</w:t>
                  </w:r>
                  <w:r>
                    <w:rPr>
                      <w:rFonts w:hint="eastAsia" w:ascii="宋体" w:hAnsi="宋体" w:eastAsia="宋体" w:cs="宋体"/>
                      <w:color w:val="auto"/>
                      <w:sz w:val="18"/>
                      <w:szCs w:val="18"/>
                      <w:highlight w:val="none"/>
                      <w:lang w:val="en-US" w:eastAsia="zh-CN"/>
                    </w:rPr>
                    <w:t>5分钟</w:t>
                  </w:r>
                  <w:r>
                    <w:rPr>
                      <w:rFonts w:hint="eastAsia" w:ascii="宋体" w:hAnsi="宋体" w:eastAsia="宋体" w:cs="宋体"/>
                      <w:color w:val="auto"/>
                      <w:sz w:val="18"/>
                      <w:szCs w:val="18"/>
                      <w:highlight w:val="none"/>
                    </w:rPr>
                    <w:t>时间尺度生成温度插值填色图，适配气象实时监测等业务场景需求</w:t>
                  </w:r>
                  <w:r>
                    <w:rPr>
                      <w:rFonts w:hint="eastAsia" w:ascii="宋体" w:hAnsi="宋体" w:eastAsia="宋体" w:cs="宋体"/>
                      <w:color w:val="auto"/>
                      <w:sz w:val="18"/>
                      <w:szCs w:val="18"/>
                      <w:highlight w:val="none"/>
                      <w:lang w:eastAsia="zh-CN"/>
                    </w:rPr>
                    <w:t>。</w:t>
                  </w:r>
                </w:p>
              </w:tc>
            </w:tr>
            <w:tr w14:paraId="7CE8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859AF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CB0D2">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B077">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D5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自动站相对湿度插值信息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4A41">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数据接入：支持气象自动站实时 / 历史相对湿度观测数据的批量接入、解析与校验，过滤异常无效数据；</w:t>
                  </w:r>
                </w:p>
                <w:p w14:paraId="1E6EB95F">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插值计算：内置克里斯曼空间插值算法，设置合理的算法参数，实现无测站区域相对湿度值的精准推算，生成网格化相对湿度数据；</w:t>
                  </w:r>
                </w:p>
                <w:p w14:paraId="4D1961BA">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填色渲染：支持相对湿度等级自定义分级，配置对应色阶配色，实现网格化相对湿度数据的色彩填充，支持等值线叠加展示，强化相对湿度边界与梯度感知；</w:t>
                  </w:r>
                </w:p>
                <w:p w14:paraId="72C20639">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底图融合：支持叠加行政边界、气象站站址、河流、路网等基础底图要素，支持站址标注实测相对湿度值，实现观测数据与空间分布的联动展示；</w:t>
                  </w:r>
                </w:p>
                <w:p w14:paraId="52B911D9">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结果输出：支持填色图的高清图片（PNG）导出；</w:t>
                  </w:r>
                </w:p>
                <w:p w14:paraId="79DA870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color w:val="auto"/>
                      <w:sz w:val="18"/>
                      <w:szCs w:val="18"/>
                      <w:highlight w:val="none"/>
                    </w:rPr>
                    <w:t>时效适配：支持按</w:t>
                  </w:r>
                  <w:r>
                    <w:rPr>
                      <w:rFonts w:hint="eastAsia" w:ascii="宋体" w:hAnsi="宋体" w:eastAsia="宋体" w:cs="宋体"/>
                      <w:color w:val="auto"/>
                      <w:sz w:val="18"/>
                      <w:szCs w:val="18"/>
                      <w:highlight w:val="none"/>
                      <w:lang w:val="en-US" w:eastAsia="zh-CN"/>
                    </w:rPr>
                    <w:t>5分钟</w:t>
                  </w:r>
                  <w:r>
                    <w:rPr>
                      <w:rFonts w:hint="eastAsia" w:ascii="宋体" w:hAnsi="宋体" w:eastAsia="宋体" w:cs="宋体"/>
                      <w:color w:val="auto"/>
                      <w:sz w:val="18"/>
                      <w:szCs w:val="18"/>
                      <w:highlight w:val="none"/>
                    </w:rPr>
                    <w:t>时间尺度生成相对湿度插值填色图，适配气象实时监测等业务场景需求</w:t>
                  </w:r>
                  <w:r>
                    <w:rPr>
                      <w:rFonts w:hint="eastAsia" w:ascii="宋体" w:hAnsi="宋体" w:eastAsia="宋体" w:cs="宋体"/>
                      <w:color w:val="auto"/>
                      <w:sz w:val="18"/>
                      <w:szCs w:val="18"/>
                      <w:highlight w:val="none"/>
                      <w:lang w:eastAsia="zh-CN"/>
                    </w:rPr>
                    <w:t>。</w:t>
                  </w:r>
                </w:p>
              </w:tc>
            </w:tr>
            <w:tr w14:paraId="0DA8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62107E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3B78">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1A7C3">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59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自动站气压插值信息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BB1E">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数据接入：支持气象自动站实时 / 历史气压观测数据的批量接入、解析与校验，过滤异常无效数据；</w:t>
                  </w:r>
                </w:p>
                <w:p w14:paraId="5C9BB182">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插值计算：内置克里斯曼空间插值算法，设置合理的算法参数，实现无测站区域气压值的精准推算，生成网格化气压数据；</w:t>
                  </w:r>
                </w:p>
                <w:p w14:paraId="6ED84D1E">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填色渲染：支持气压等级自定义分级，配置对应色阶配色，实现网格化气压数据的色彩填充，支持等值线叠加展示，强化气压边界与梯度感知；</w:t>
                  </w:r>
                </w:p>
                <w:p w14:paraId="07684CBE">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底图融合：支持叠加行政边界、气象站站址、河流、路网等基础底图要素，支持站址标注实测气压值，实现观测数据与空间分布的联动展示；</w:t>
                  </w:r>
                </w:p>
                <w:p w14:paraId="46139BF8">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结果输出：支持填色图的高清图片（PNG）导出；</w:t>
                  </w:r>
                </w:p>
                <w:p w14:paraId="02B18899">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color w:val="auto"/>
                      <w:sz w:val="18"/>
                      <w:szCs w:val="18"/>
                      <w:highlight w:val="none"/>
                    </w:rPr>
                    <w:t>时效适配：支持按1小时、24小时时间尺度生成气压插值填色图，适配气象实时监测等业务场景需求</w:t>
                  </w:r>
                  <w:r>
                    <w:rPr>
                      <w:rFonts w:hint="eastAsia" w:ascii="宋体" w:hAnsi="宋体" w:eastAsia="宋体" w:cs="宋体"/>
                      <w:color w:val="auto"/>
                      <w:sz w:val="18"/>
                      <w:szCs w:val="18"/>
                      <w:highlight w:val="none"/>
                      <w:lang w:eastAsia="zh-CN"/>
                    </w:rPr>
                    <w:t>。</w:t>
                  </w:r>
                </w:p>
              </w:tc>
            </w:tr>
            <w:tr w14:paraId="7F1D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F365D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B89B">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3179B">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88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自动站能见度插值信息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1544">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数据接入：支持气象自动站实时 / 历史能见度观测数据的批量接入、解析与校验，过滤异常无效数据；</w:t>
                  </w:r>
                </w:p>
                <w:p w14:paraId="64E117EC">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插值计算：内置克里斯曼空间插值算法，设置合理的算法参数，实现无测站区域能见度值的精准推算，生成网格化能见度数据；</w:t>
                  </w:r>
                </w:p>
                <w:p w14:paraId="44883374">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填色渲染：支持能见度等级自定义分级，配置对应色阶配色，实现网格化能见度数据的色彩填充，支持等值线叠加展示，强化能见度边界与梯度感知；</w:t>
                  </w:r>
                </w:p>
                <w:p w14:paraId="60ED4F1B">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底图融合：支持叠加行政边界、气象站站址、河流、路网等基础底图要素，支持站址标注实测能见度值，实现观测数据与空间分布的联动展示；</w:t>
                  </w:r>
                </w:p>
                <w:p w14:paraId="053DCF94">
                  <w:pPr>
                    <w:pStyle w:val="2"/>
                    <w:spacing w:line="240" w:lineRule="auto"/>
                    <w:ind w:left="0" w:leftChars="0"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结果输出：支持填色图的高清图片（PNG）导出；</w:t>
                  </w:r>
                </w:p>
                <w:p w14:paraId="2BB4BB36">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时效适配：支持按1小时时间尺度生成能见度插值填色图，适配气象实时监测等业务场景需求</w:t>
                  </w:r>
                  <w:r>
                    <w:rPr>
                      <w:rFonts w:hint="eastAsia" w:ascii="宋体" w:hAnsi="宋体" w:eastAsia="宋体" w:cs="宋体"/>
                      <w:color w:val="auto"/>
                      <w:sz w:val="18"/>
                      <w:szCs w:val="18"/>
                      <w:highlight w:val="none"/>
                      <w:lang w:eastAsia="zh-CN"/>
                    </w:rPr>
                    <w:t>。</w:t>
                  </w:r>
                </w:p>
              </w:tc>
            </w:tr>
            <w:tr w14:paraId="374C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1D2C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FACA">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37F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5A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图层序列信息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544B">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建立雷达图像、卫星云图文件中转数据文件，包括图片、JSON文件。并通过非结构化数据通道传输至数据共享平台前置机。</w:t>
                  </w:r>
                </w:p>
                <w:p w14:paraId="7D8267ED">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对接数据共享平台接口规范，封装符合共享平台规范的服务接口，分别提供最新雷达、卫星图序列查询接口，雷达、卫星图下载接口。</w:t>
                  </w:r>
                </w:p>
              </w:tc>
            </w:tr>
            <w:tr w14:paraId="0E25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2603F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B56F">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7B43">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6B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单格点时间序列预报信息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D4B5">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数据接入：支持多源单格点气象预报数据的标准化接入，兼容数值模式、订正预报等数据格式，完成数据解析、格式转换与有效性校验，过滤异常、缺测数据；</w:t>
                  </w:r>
                </w:p>
                <w:p w14:paraId="58042F99">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格点定位：支持经纬度、网格编号等多方式精准定位目标格点，支持单点检索、区域格点批量提取，适配单格点详情查询、区域格点对比分析场景；</w:t>
                  </w:r>
                </w:p>
                <w:p w14:paraId="0B206432">
                  <w:pPr>
                    <w:pStyle w:val="2"/>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要素查询：支持气温、降水、风速、湿度、气压等核心气象要素的单格点预报数据查询，支持按逐小时、日时间分辨率提取数据，展示要素时间序列变化趋势；</w:t>
                  </w:r>
                </w:p>
                <w:p w14:paraId="1027E800">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数据导出：支持单格点单要素 / 多要素预报数据按JSON格式导出；</w:t>
                  </w:r>
                </w:p>
              </w:tc>
            </w:tr>
            <w:tr w14:paraId="3F29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85448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71F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公众服务子系统</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BFB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天气实况</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3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雷达图像信息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B4BA">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val="en-US" w:eastAsia="zh-CN"/>
                    </w:rPr>
                    <w:t>基于</w:t>
                  </w:r>
                  <w:r>
                    <w:rPr>
                      <w:rFonts w:hint="eastAsia" w:ascii="宋体" w:hAnsi="宋体" w:eastAsia="宋体" w:cs="宋体"/>
                      <w:i w:val="0"/>
                      <w:iCs w:val="0"/>
                      <w:color w:val="auto"/>
                      <w:sz w:val="18"/>
                      <w:szCs w:val="18"/>
                      <w:highlight w:val="none"/>
                      <w:u w:val="none"/>
                      <w:lang w:eastAsia="zh-CN"/>
                    </w:rPr>
                    <w:t>雷达组合反射率数据，</w:t>
                  </w:r>
                  <w:r>
                    <w:rPr>
                      <w:rFonts w:hint="eastAsia" w:ascii="宋体" w:hAnsi="宋体" w:eastAsia="宋体" w:cs="宋体"/>
                      <w:i w:val="0"/>
                      <w:iCs w:val="0"/>
                      <w:color w:val="auto"/>
                      <w:sz w:val="18"/>
                      <w:szCs w:val="18"/>
                      <w:highlight w:val="none"/>
                      <w:u w:val="none"/>
                      <w:lang w:val="en-US" w:eastAsia="zh-CN"/>
                    </w:rPr>
                    <w:t>截取市区</w:t>
                  </w:r>
                  <w:r>
                    <w:rPr>
                      <w:rFonts w:hint="eastAsia" w:ascii="宋体" w:hAnsi="宋体" w:eastAsia="宋体" w:cs="宋体"/>
                      <w:i w:val="0"/>
                      <w:iCs w:val="0"/>
                      <w:color w:val="auto"/>
                      <w:sz w:val="18"/>
                      <w:szCs w:val="18"/>
                      <w:highlight w:val="none"/>
                      <w:u w:val="none"/>
                      <w:lang w:eastAsia="zh-CN"/>
                    </w:rPr>
                    <w:t>及周边地图图层，叠加雷达组合反射率数据，数据渲染依照图例进行，数据叠加图层顺序为：基础地图底层、组合反射率数据层</w:t>
                  </w:r>
                </w:p>
                <w:p w14:paraId="6246FF89">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行政边界层、图例层。</w:t>
                  </w:r>
                </w:p>
                <w:p w14:paraId="36DAE4E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动画序列由过去20幅雷达回波速度图组成,每隔6分钟一幅。图像动画能让观看者更清楚地了解雷达回波的变化。</w:t>
                  </w:r>
                </w:p>
              </w:tc>
            </w:tr>
            <w:tr w14:paraId="7B49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E5D92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A24E">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E61F">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04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卫星云图信息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BD41">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卫星云图压缩，原始的卫星云图分辨率高，文件大，不便于网络传输，需要对卫星云图进行等比例压缩后传输。</w:t>
                  </w:r>
                </w:p>
                <w:p w14:paraId="3DA34BB1">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位置标记，为便于在卫星云图上查看</w:t>
                  </w:r>
                  <w:r>
                    <w:rPr>
                      <w:rFonts w:hint="eastAsia" w:ascii="宋体" w:hAnsi="宋体" w:eastAsia="宋体" w:cs="宋体"/>
                      <w:i w:val="0"/>
                      <w:iCs w:val="0"/>
                      <w:color w:val="auto"/>
                      <w:sz w:val="18"/>
                      <w:szCs w:val="18"/>
                      <w:highlight w:val="none"/>
                      <w:u w:val="none"/>
                      <w:lang w:val="en-US" w:eastAsia="zh-CN"/>
                    </w:rPr>
                    <w:t>市区</w:t>
                  </w:r>
                  <w:r>
                    <w:rPr>
                      <w:rFonts w:hint="eastAsia" w:ascii="宋体" w:hAnsi="宋体" w:eastAsia="宋体" w:cs="宋体"/>
                      <w:i w:val="0"/>
                      <w:iCs w:val="0"/>
                      <w:color w:val="auto"/>
                      <w:sz w:val="18"/>
                      <w:szCs w:val="18"/>
                      <w:highlight w:val="none"/>
                      <w:u w:val="none"/>
                    </w:rPr>
                    <w:t>位置，需要在卫星云图上标记出</w:t>
                  </w:r>
                  <w:r>
                    <w:rPr>
                      <w:rFonts w:hint="eastAsia" w:ascii="宋体" w:hAnsi="宋体" w:eastAsia="宋体" w:cs="宋体"/>
                      <w:i w:val="0"/>
                      <w:iCs w:val="0"/>
                      <w:color w:val="auto"/>
                      <w:sz w:val="18"/>
                      <w:szCs w:val="18"/>
                      <w:highlight w:val="none"/>
                      <w:u w:val="none"/>
                      <w:lang w:val="en-US" w:eastAsia="zh-CN"/>
                    </w:rPr>
                    <w:t>市区</w:t>
                  </w:r>
                  <w:r>
                    <w:rPr>
                      <w:rFonts w:hint="eastAsia" w:ascii="宋体" w:hAnsi="宋体" w:eastAsia="宋体" w:cs="宋体"/>
                      <w:i w:val="0"/>
                      <w:iCs w:val="0"/>
                      <w:color w:val="auto"/>
                      <w:sz w:val="18"/>
                      <w:szCs w:val="18"/>
                      <w:highlight w:val="none"/>
                      <w:u w:val="none"/>
                    </w:rPr>
                    <w:t>所在位置。</w:t>
                  </w:r>
                </w:p>
                <w:p w14:paraId="12E434D6">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卫星云图的数据时间为文件名时间，基于世界时命名，每张卫星图间隔1小时左右，为便于按顺序查看卫星云图，需要将卫星云图的文件名根据数据时间倒序排列。</w:t>
                  </w:r>
                </w:p>
                <w:p w14:paraId="53D9D82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卫星云图动画播放功能，可以设定每张卫星云图动画的播放间隔，点击播放后自动按照设定的时间间隔逐帧播放卫星云图，制作时间轴，点击时间轴的刻度可以快速查看到相应时刻的卫星云图。</w:t>
                  </w:r>
                </w:p>
              </w:tc>
            </w:tr>
            <w:tr w14:paraId="5A0F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F5956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6613">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1B45">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EB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台风路径信息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6EF3">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地图裁切，根据台风防御和关注的范围，基于基础地图，裁切出固定范围的地图区域，用于显示台风路径。</w:t>
                  </w:r>
                </w:p>
                <w:p w14:paraId="796585CF">
                  <w:pPr>
                    <w:pStyle w:val="15"/>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在地图上已</w:t>
                  </w:r>
                  <w:r>
                    <w:rPr>
                      <w:rFonts w:hint="eastAsia" w:ascii="宋体" w:hAnsi="宋体" w:eastAsia="宋体" w:cs="宋体"/>
                      <w:color w:val="auto"/>
                      <w:sz w:val="18"/>
                      <w:szCs w:val="18"/>
                      <w:highlight w:val="none"/>
                      <w:lang w:val="en-US" w:eastAsia="zh-CN"/>
                    </w:rPr>
                    <w:t>市区</w:t>
                  </w:r>
                  <w:r>
                    <w:rPr>
                      <w:rFonts w:hint="eastAsia" w:ascii="宋体" w:hAnsi="宋体" w:eastAsia="宋体" w:cs="宋体"/>
                      <w:color w:val="auto"/>
                      <w:sz w:val="18"/>
                      <w:szCs w:val="18"/>
                      <w:highlight w:val="none"/>
                    </w:rPr>
                    <w:t>为中心，标记防御范围圈，不同的防御圈代表不同的防御级别。包括：</w:t>
                  </w:r>
                </w:p>
                <w:p w14:paraId="590B7E5D">
                  <w:pPr>
                    <w:pStyle w:val="15"/>
                    <w:numPr>
                      <w:ilvl w:val="0"/>
                      <w:numId w:val="0"/>
                    </w:numPr>
                    <w:spacing w:line="240" w:lineRule="auto"/>
                    <w:ind w:left="420" w:lef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①</w:t>
                  </w:r>
                  <w:r>
                    <w:rPr>
                      <w:rFonts w:hint="eastAsia" w:ascii="宋体" w:hAnsi="宋体" w:eastAsia="宋体" w:cs="宋体"/>
                      <w:color w:val="auto"/>
                      <w:sz w:val="18"/>
                      <w:szCs w:val="18"/>
                      <w:highlight w:val="none"/>
                    </w:rPr>
                    <w:t>100公里防御范围圈：红色</w:t>
                  </w:r>
                </w:p>
                <w:p w14:paraId="64FAF25D">
                  <w:pPr>
                    <w:pStyle w:val="15"/>
                    <w:numPr>
                      <w:ilvl w:val="0"/>
                      <w:numId w:val="0"/>
                    </w:numPr>
                    <w:spacing w:line="240" w:lineRule="auto"/>
                    <w:ind w:left="420" w:lef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②</w:t>
                  </w:r>
                  <w:r>
                    <w:rPr>
                      <w:rFonts w:hint="eastAsia" w:ascii="宋体" w:hAnsi="宋体" w:eastAsia="宋体" w:cs="宋体"/>
                      <w:color w:val="auto"/>
                      <w:sz w:val="18"/>
                      <w:szCs w:val="18"/>
                      <w:highlight w:val="none"/>
                    </w:rPr>
                    <w:t>300公里防御范围圈：黄色</w:t>
                  </w:r>
                </w:p>
                <w:p w14:paraId="642AE742">
                  <w:pPr>
                    <w:pStyle w:val="15"/>
                    <w:numPr>
                      <w:ilvl w:val="0"/>
                      <w:numId w:val="0"/>
                    </w:numPr>
                    <w:spacing w:line="240" w:lineRule="auto"/>
                    <w:ind w:left="420" w:lef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③</w:t>
                  </w:r>
                  <w:r>
                    <w:rPr>
                      <w:rFonts w:hint="eastAsia" w:ascii="宋体" w:hAnsi="宋体" w:eastAsia="宋体" w:cs="宋体"/>
                      <w:color w:val="auto"/>
                      <w:sz w:val="18"/>
                      <w:szCs w:val="18"/>
                      <w:highlight w:val="none"/>
                    </w:rPr>
                    <w:t>500公里防御范围圈：绿色</w:t>
                  </w:r>
                </w:p>
                <w:p w14:paraId="0C18F09F">
                  <w:pPr>
                    <w:pStyle w:val="15"/>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台风图例，为便于根据颜色区分不同结点的强度，需要制作台风强度图例，包括台风强度、预报预警、实况路径的图例。</w:t>
                  </w:r>
                </w:p>
                <w:p w14:paraId="475DC762">
                  <w:pPr>
                    <w:pStyle w:val="15"/>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在区域范围内根据台风数据文件画台风路径，台风路径的结点采用台风强度图例的颜色进行填色，台风强度从弱到强依次为：</w:t>
                  </w:r>
                </w:p>
                <w:p w14:paraId="069B7812">
                  <w:pPr>
                    <w:pStyle w:val="15"/>
                    <w:numPr>
                      <w:ilvl w:val="0"/>
                      <w:numId w:val="0"/>
                    </w:numPr>
                    <w:spacing w:line="240" w:lineRule="auto"/>
                    <w:ind w:left="420" w:lef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①</w:t>
                  </w:r>
                  <w:r>
                    <w:rPr>
                      <w:rFonts w:hint="eastAsia" w:ascii="宋体" w:hAnsi="宋体" w:eastAsia="宋体" w:cs="宋体"/>
                      <w:color w:val="auto"/>
                      <w:sz w:val="18"/>
                      <w:szCs w:val="18"/>
                      <w:highlight w:val="none"/>
                    </w:rPr>
                    <w:t>热带低压</w:t>
                  </w:r>
                </w:p>
                <w:p w14:paraId="259C3B46">
                  <w:pPr>
                    <w:pStyle w:val="15"/>
                    <w:numPr>
                      <w:ilvl w:val="0"/>
                      <w:numId w:val="0"/>
                    </w:numPr>
                    <w:spacing w:line="240" w:lineRule="auto"/>
                    <w:ind w:left="420" w:lef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②</w:t>
                  </w:r>
                  <w:r>
                    <w:rPr>
                      <w:rFonts w:hint="eastAsia" w:ascii="宋体" w:hAnsi="宋体" w:eastAsia="宋体" w:cs="宋体"/>
                      <w:color w:val="auto"/>
                      <w:sz w:val="18"/>
                      <w:szCs w:val="18"/>
                      <w:highlight w:val="none"/>
                    </w:rPr>
                    <w:t>热带风暴</w:t>
                  </w:r>
                </w:p>
                <w:p w14:paraId="2EEF3149">
                  <w:pPr>
                    <w:pStyle w:val="15"/>
                    <w:numPr>
                      <w:ilvl w:val="0"/>
                      <w:numId w:val="0"/>
                    </w:numPr>
                    <w:spacing w:line="240" w:lineRule="auto"/>
                    <w:ind w:left="420" w:lef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③</w:t>
                  </w:r>
                  <w:r>
                    <w:rPr>
                      <w:rFonts w:hint="eastAsia" w:ascii="宋体" w:hAnsi="宋体" w:eastAsia="宋体" w:cs="宋体"/>
                      <w:color w:val="auto"/>
                      <w:sz w:val="18"/>
                      <w:szCs w:val="18"/>
                      <w:highlight w:val="none"/>
                    </w:rPr>
                    <w:t>强热带风暴</w:t>
                  </w:r>
                </w:p>
                <w:p w14:paraId="3B60A102">
                  <w:pPr>
                    <w:pStyle w:val="15"/>
                    <w:numPr>
                      <w:ilvl w:val="0"/>
                      <w:numId w:val="0"/>
                    </w:numPr>
                    <w:spacing w:line="240" w:lineRule="auto"/>
                    <w:ind w:left="420" w:lef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④</w:t>
                  </w:r>
                  <w:r>
                    <w:rPr>
                      <w:rFonts w:hint="eastAsia" w:ascii="宋体" w:hAnsi="宋体" w:eastAsia="宋体" w:cs="宋体"/>
                      <w:color w:val="auto"/>
                      <w:sz w:val="18"/>
                      <w:szCs w:val="18"/>
                      <w:highlight w:val="none"/>
                    </w:rPr>
                    <w:t>台风</w:t>
                  </w:r>
                </w:p>
                <w:p w14:paraId="571BE3AC">
                  <w:pPr>
                    <w:pStyle w:val="15"/>
                    <w:numPr>
                      <w:ilvl w:val="0"/>
                      <w:numId w:val="0"/>
                    </w:numPr>
                    <w:spacing w:line="240" w:lineRule="auto"/>
                    <w:ind w:left="420" w:lef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⑤</w:t>
                  </w:r>
                  <w:r>
                    <w:rPr>
                      <w:rFonts w:hint="eastAsia" w:ascii="宋体" w:hAnsi="宋体" w:eastAsia="宋体" w:cs="宋体"/>
                      <w:color w:val="auto"/>
                      <w:sz w:val="18"/>
                      <w:szCs w:val="18"/>
                      <w:highlight w:val="none"/>
                    </w:rPr>
                    <w:t>强台风</w:t>
                  </w:r>
                </w:p>
                <w:p w14:paraId="1286B625">
                  <w:pPr>
                    <w:pStyle w:val="15"/>
                    <w:numPr>
                      <w:ilvl w:val="0"/>
                      <w:numId w:val="0"/>
                    </w:numPr>
                    <w:spacing w:line="240" w:lineRule="auto"/>
                    <w:ind w:left="420" w:lef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⑥</w:t>
                  </w:r>
                  <w:r>
                    <w:rPr>
                      <w:rFonts w:hint="eastAsia" w:ascii="宋体" w:hAnsi="宋体" w:eastAsia="宋体" w:cs="宋体"/>
                      <w:color w:val="auto"/>
                      <w:sz w:val="18"/>
                      <w:szCs w:val="18"/>
                      <w:highlight w:val="none"/>
                    </w:rPr>
                    <w:t>超强台风</w:t>
                  </w:r>
                </w:p>
                <w:p w14:paraId="22C38A27">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台风路径的结点包括实况路径结点和预报路径结点，实况路径结点的最后一个应该与预报路径结点的第一个相连接。</w:t>
                  </w:r>
                </w:p>
              </w:tc>
            </w:tr>
            <w:tr w14:paraId="74A7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EC97A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C605">
                  <w:pPr>
                    <w:jc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82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自动站实况</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93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自动站插值信息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230E">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制作实时气温插值填色图、实时风速插值填色图、实时雨量（1、3、12、24小时累积）插值填色图、实时能见度插值填色图、实时湿度插值填色图。</w:t>
                  </w:r>
                </w:p>
                <w:p w14:paraId="103D9DC6">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要求：数据单位、数据时间、图例、说明。</w:t>
                  </w:r>
                </w:p>
                <w:p w14:paraId="389D92A2">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地图：可缩放拖动，填色+数值（初始显示各区代表站数值，放大后显示镇街代表站数值）。</w:t>
                  </w:r>
                </w:p>
                <w:p w14:paraId="68ED56F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时间：固定显示最新时次。</w:t>
                  </w:r>
                </w:p>
              </w:tc>
            </w:tr>
            <w:tr w14:paraId="0A36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ED05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7D6E">
                  <w:pPr>
                    <w:jc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32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天气实景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34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天气实景信息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EFB4">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实现对市区天气实景的监测。天气实景直接展示最新监测摄像头天气实景图片（上方显示最新照片，下方显示缩略图，可以查看过去历史图片），有多个监控点，可以选择监控点。</w:t>
                  </w:r>
                </w:p>
                <w:p w14:paraId="076D687F">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数据采集、从指定目录和接口采集天气实景图片文件，根据文件目录和时间，自动判断出最近时次的天气实景图片。</w:t>
                  </w:r>
                </w:p>
                <w:p w14:paraId="7066257E">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使用时间倒序的方式，列出最近天气实景的缩略图，默认只显示一张大图，点击任意缩略图，可切换显示大图。</w:t>
                  </w:r>
                </w:p>
              </w:tc>
            </w:tr>
            <w:tr w14:paraId="7750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F1BF4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4372">
                  <w:pPr>
                    <w:jc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3F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气候监测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BD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气候监测信息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A95E">
                  <w:pPr>
                    <w:pStyle w:val="15"/>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气候监测包括：历年气候公报、热岛监测公报等</w:t>
                  </w:r>
                </w:p>
                <w:p w14:paraId="1710D05E">
                  <w:pPr>
                    <w:pStyle w:val="15"/>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太阳能资源——历年太阳总辐射；</w:t>
                  </w:r>
                </w:p>
                <w:p w14:paraId="2518D1A9">
                  <w:pPr>
                    <w:pStyle w:val="15"/>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热量资源——气温、12℃积温时空分布；</w:t>
                  </w:r>
                </w:p>
                <w:p w14:paraId="7817FDA6">
                  <w:pPr>
                    <w:pStyle w:val="15"/>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降水资源——雨量的时空分布；</w:t>
                  </w:r>
                </w:p>
                <w:p w14:paraId="7F1D900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风能资源——风能资源的时空分布。</w:t>
                  </w:r>
                </w:p>
              </w:tc>
            </w:tr>
            <w:tr w14:paraId="7A7B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1EE29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6BB8">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D0A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台站环境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81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台站环境三维信息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B0DB">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台站信息三维信息数据采集，设备建模。建立三维场景支撑，可实现三维场景视角切换，缩放。三维场景中的观测设备，可通过交互反馈，可查看设备数据信息框。</w:t>
                  </w:r>
                </w:p>
              </w:tc>
            </w:tr>
            <w:tr w14:paraId="3F0C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048CB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6A0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5223F">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14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台站实况数据</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286A">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台站数据采集预处理，对数据进行像素化处理后保存为图片，建立图片和数据更新时间的关系表，通过时间更新表匹配数据时次。</w:t>
                  </w:r>
                </w:p>
              </w:tc>
            </w:tr>
            <w:tr w14:paraId="74E1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D4C4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AC65">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37E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天气预报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A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十天预报信息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8DDD">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从气象大数据接口获取</w:t>
                  </w:r>
                  <w:r>
                    <w:rPr>
                      <w:rFonts w:hint="eastAsia" w:ascii="宋体" w:hAnsi="宋体" w:eastAsia="宋体" w:cs="宋体"/>
                      <w:color w:val="auto"/>
                      <w:sz w:val="18"/>
                      <w:szCs w:val="18"/>
                      <w:highlight w:val="none"/>
                      <w:lang w:val="en-US" w:eastAsia="zh-CN"/>
                    </w:rPr>
                    <w:t>十天</w:t>
                  </w:r>
                  <w:r>
                    <w:rPr>
                      <w:rFonts w:hint="eastAsia" w:ascii="宋体" w:hAnsi="宋体" w:eastAsia="宋体" w:cs="宋体"/>
                      <w:color w:val="auto"/>
                      <w:sz w:val="18"/>
                      <w:szCs w:val="18"/>
                      <w:highlight w:val="none"/>
                    </w:rPr>
                    <w:t>天气预报报文，根据报文时次、行政编码识别出不同分区预报数据。从</w:t>
                  </w:r>
                  <w:r>
                    <w:rPr>
                      <w:rFonts w:hint="eastAsia" w:ascii="宋体" w:hAnsi="宋体" w:eastAsia="宋体" w:cs="宋体"/>
                      <w:color w:val="auto"/>
                      <w:sz w:val="18"/>
                      <w:szCs w:val="18"/>
                      <w:highlight w:val="none"/>
                      <w:lang w:val="en-US" w:eastAsia="zh-CN"/>
                    </w:rPr>
                    <w:t>天擎</w:t>
                  </w:r>
                  <w:r>
                    <w:rPr>
                      <w:rFonts w:hint="eastAsia" w:ascii="宋体" w:hAnsi="宋体" w:eastAsia="宋体" w:cs="宋体"/>
                      <w:color w:val="auto"/>
                      <w:sz w:val="18"/>
                      <w:szCs w:val="18"/>
                      <w:highlight w:val="none"/>
                    </w:rPr>
                    <w:t>数据接口获取GIFT网格点数据，对基于内插法存储的网点数据进行逆向二维数组展开，将预报网格点与分区指标站点经纬度匹配，每个指标站经纬度对应一个网格点坐标，对数据做空间配对处理。</w:t>
                  </w:r>
                </w:p>
                <w:p w14:paraId="14A3D625">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在地图下方用表格形式展示天气，并以曲线图的形式展示气温变化。</w:t>
                  </w:r>
                </w:p>
                <w:p w14:paraId="3EE0B003">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显示由当天开始往后7天的预报信息，每日占1列，由上至下分别显示日期、星期、天气图标、天气描述、风向风力、最高气温、最低气温。</w:t>
                  </w:r>
                </w:p>
                <w:p w14:paraId="692E8C4C">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日期格式为XXXX年XX月XX日，星期为文字“星期X”，天气图标为制作好的动态图片，天气描述、风向风力均为文字，最高、最低气温除标示数值外，还需以横向折线图的方式表示七天的气温变化趋势。</w:t>
                  </w:r>
                </w:p>
                <w:p w14:paraId="71BE8984">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动态日期条：日期表格星期为文字“星期X”，每逢周六、周日用特殊颜色显示</w:t>
                  </w:r>
                </w:p>
                <w:p w14:paraId="38662B3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动态时间条：时间条根据预报发布时间动态调整，北京时间08点起报的预报，时间条从当天08时开始；北京时间20点起报的预报，时间条从当天08时开始。</w:t>
                  </w:r>
                </w:p>
                <w:p w14:paraId="7309DAAA">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天气图标为制作好的动态图片，天气描述、风向风力均为文字，最高、最低气温除标示数值外，还需以横向折线图的方式表示七天的气温变化趋势。</w:t>
                  </w:r>
                </w:p>
                <w:p w14:paraId="470784B8">
                  <w:pPr>
                    <w:spacing w:line="240" w:lineRule="auto"/>
                    <w:ind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温差计算与显示，程序根据分12小时预报的最高、最低温，与昨日的最高最低温经行比较，显示预报所属时次相对于昨日的温差。</w:t>
                  </w:r>
                </w:p>
                <w:p w14:paraId="717336D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精细化预报温度使用折线图显示，精细化温度前三天每小时一个预报时次，后四天每6小时一个预报时次，温度曲线的最小X轴分割为1小时，对预报温度为空的时间点，进行线性插值显示。</w:t>
                  </w:r>
                </w:p>
              </w:tc>
            </w:tr>
            <w:tr w14:paraId="06AD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EEAC8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4246B">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5E9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83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天气趋势信息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9D5F">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基于预报制作发布平台的天气分析稿件，从指定数据源每天定时扫描并判断最新的稿件。获取稿件至公众服务平台，并做进一步加工处理。</w:t>
                  </w:r>
                </w:p>
                <w:p w14:paraId="03962ADC">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从天气分析稿件解析出关键文字段落，包括主标题、副标题、摘要内容。智能判断天气提示于天气分析的内容匹配情况，在不同栏目联动不定时更新提醒。每日天气分析的文字段落可被应用在高温、暴雨等灾害性天气过程中实现更好的服务。</w:t>
                  </w:r>
                </w:p>
              </w:tc>
            </w:tr>
            <w:tr w14:paraId="0A70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463DB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7B33">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7759">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5D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24小时逐时预报信息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22A2">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基于WebGIS显示各个镇街的行政边界，在各个镇街行政区域内显示镇街预报内容</w:t>
                  </w:r>
                </w:p>
                <w:p w14:paraId="4240A9D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每个镇街预报内容包括：24小时的天空状况、最高气温、最低气温、风速、风向。</w:t>
                  </w:r>
                </w:p>
                <w:p w14:paraId="00E0017E">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地图上点击各个镇街，显示镇街的预报详细信息。</w:t>
                  </w:r>
                </w:p>
                <w:p w14:paraId="34E24B83">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(4)</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发布时间日期格式为年月日时分秒，每天更新数据。每次预报的发布时效为</w:t>
                  </w:r>
                  <w:r>
                    <w:rPr>
                      <w:rFonts w:hint="eastAsia" w:ascii="宋体" w:hAnsi="宋体" w:eastAsia="宋体" w:cs="宋体"/>
                      <w:color w:val="auto"/>
                      <w:sz w:val="18"/>
                      <w:szCs w:val="18"/>
                      <w:highlight w:val="none"/>
                      <w:lang w:val="en-US" w:eastAsia="zh-CN"/>
                    </w:rPr>
                    <w:t>24小时</w:t>
                  </w:r>
                  <w:r>
                    <w:rPr>
                      <w:rFonts w:hint="eastAsia" w:ascii="宋体" w:hAnsi="宋体" w:eastAsia="宋体" w:cs="宋体"/>
                      <w:color w:val="auto"/>
                      <w:sz w:val="18"/>
                      <w:szCs w:val="18"/>
                      <w:highlight w:val="none"/>
                    </w:rPr>
                    <w:t>。</w:t>
                  </w:r>
                </w:p>
              </w:tc>
            </w:tr>
            <w:tr w14:paraId="5DA5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622049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FA57">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DB67">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7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6小时预报信息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EA20">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从大数据库</w:t>
                  </w:r>
                  <w:r>
                    <w:rPr>
                      <w:rFonts w:hint="eastAsia" w:ascii="宋体" w:hAnsi="宋体" w:eastAsia="宋体" w:cs="宋体"/>
                      <w:color w:val="auto"/>
                      <w:sz w:val="18"/>
                      <w:szCs w:val="18"/>
                      <w:highlight w:val="none"/>
                      <w:lang w:val="en-US" w:eastAsia="zh-CN"/>
                    </w:rPr>
                    <w:t>读取</w:t>
                  </w:r>
                  <w:r>
                    <w:rPr>
                      <w:rFonts w:hint="eastAsia" w:ascii="宋体" w:hAnsi="宋体" w:eastAsia="宋体" w:cs="宋体"/>
                      <w:color w:val="auto"/>
                      <w:sz w:val="18"/>
                      <w:szCs w:val="18"/>
                      <w:highlight w:val="none"/>
                    </w:rPr>
                    <w:t>短时天气预报报文，每小时读取一次最新数据，并根据发布时间、发布内容、在相关联动栏目中展示。如：目前我市多云间阴天，有阵雨，局部雨势较大。 预计16-19时，我市多云间阴天，有阵雨，局部雨势较大，气温28~33℃，吹轻微至和缓的东南风。</w:t>
                  </w:r>
                </w:p>
              </w:tc>
            </w:tr>
            <w:tr w14:paraId="492F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1CC0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4B59">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38E2">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9E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上下班天气信息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AB9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从大数据库采集上下班天气报文，根据系统时间，判断上下班报文的解析方式。每天早上7点至11点为上班天气服务时间，每天17点至19点为下班天气服务时间。</w:t>
                  </w:r>
                </w:p>
              </w:tc>
            </w:tr>
            <w:tr w14:paraId="1B1A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3730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B1C17">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2AF5">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DF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专项服务信息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9958">
                  <w:pPr>
                    <w:keepNext w:val="0"/>
                    <w:keepLines w:val="0"/>
                    <w:widowControl/>
                    <w:suppressLineNumbers w:val="0"/>
                    <w:spacing w:line="240" w:lineRule="auto"/>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包括：未来三天空气质量预报、地质灾害风险预警、关键农事（农试站）</w:t>
                  </w:r>
                </w:p>
                <w:p w14:paraId="0A59C623">
                  <w:pPr>
                    <w:pStyle w:val="2"/>
                    <w:spacing w:line="240" w:lineRule="auto"/>
                    <w:ind w:left="0" w:leftChars="0" w:firstLine="0" w:firstLineChars="0"/>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污染气象条件预报包括颗粒物污染和臭氧污染</w:t>
                  </w:r>
                  <w:r>
                    <w:rPr>
                      <w:rFonts w:hint="eastAsia" w:ascii="宋体" w:hAnsi="宋体" w:eastAsia="宋体" w:cs="宋体"/>
                      <w:color w:val="auto"/>
                      <w:sz w:val="18"/>
                      <w:szCs w:val="18"/>
                      <w:highlight w:val="none"/>
                      <w:lang w:eastAsia="zh-CN"/>
                    </w:rPr>
                    <w:t>。</w:t>
                  </w:r>
                </w:p>
                <w:p w14:paraId="5CB5603A">
                  <w:pPr>
                    <w:pStyle w:val="2"/>
                    <w:spacing w:line="240" w:lineRule="auto"/>
                    <w:ind w:left="0" w:leftChars="0" w:firstLine="0" w:firstLineChars="0"/>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地质灾害预警由市气象局和市规划和自然资源局联合发布，从气象大数据库每天20点获取市地质灾害气象风险预警产品。</w:t>
                  </w:r>
                </w:p>
              </w:tc>
            </w:tr>
            <w:tr w14:paraId="75A4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0574D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0BE9">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AACA">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25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天气报告信息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58F1">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报告文档包括：实况、预报、服务建议等信息。</w:t>
                  </w:r>
                </w:p>
                <w:p w14:paraId="31BB49F1">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基于预报制作发布平台的天气分析稿件，从指定数据源每天定时扫描并判断最新的稿件。获取稿件至公众服务平台，并做进一步加工处理。</w:t>
                  </w:r>
                </w:p>
                <w:p w14:paraId="4B5DF433">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从天气分析稿件解析出关键文字段落，包括主标题、副标题、摘要内容。智能判断天气提示于天气分析的内容匹配情况，在不同栏目联动不定时更新提醒。每日天气分析的文字段落可被应用在高温、暴雨等灾害性天气过程中实现更好的服务。</w:t>
                  </w:r>
                </w:p>
              </w:tc>
            </w:tr>
            <w:tr w14:paraId="1370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1D24E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8FF2">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9229">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59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气候背景信息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3982">
                  <w:pPr>
                    <w:spacing w:line="240" w:lineRule="auto"/>
                    <w:ind w:firstLine="42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气候背景信息包括：</w:t>
                  </w:r>
                  <w:r>
                    <w:rPr>
                      <w:rFonts w:hint="eastAsia" w:ascii="宋体" w:hAnsi="宋体" w:eastAsia="宋体" w:cs="宋体"/>
                      <w:color w:val="auto"/>
                      <w:sz w:val="18"/>
                      <w:szCs w:val="18"/>
                      <w:highlight w:val="none"/>
                    </w:rPr>
                    <w:t>三十年整编资料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1-12月的平均气温、平均最高气温、平均最低气温、月降水量。</w:t>
                  </w:r>
                </w:p>
                <w:p w14:paraId="30DDF9E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气候背景信息通过预处理后的数据，进行图片展示。</w:t>
                  </w:r>
                </w:p>
              </w:tc>
            </w:tr>
            <w:tr w14:paraId="68FD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8A47C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5688">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FC42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EE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气候公报信息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86E0">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气候公报信息采集，从本地资源目录采集气候公报文件，通过转换模块将word文件转换为PDF文件，提取文件的标题信息，将每年的公报都放在网页上供阅读。</w:t>
                  </w:r>
                </w:p>
              </w:tc>
            </w:tr>
            <w:tr w14:paraId="105A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C22E9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F34F">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C8AA">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E4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气象证明指引信息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BE4E">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气象证明指引，包括申请流程信息公开、表格下载功能。</w:t>
                  </w:r>
                </w:p>
              </w:tc>
            </w:tr>
            <w:tr w14:paraId="69CE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59C79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28A1">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3516">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C7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中长期预报信息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8BA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旬报、月报数据采集，从本地资源目录采集旬报、月报文件，通过转换模块将word文件转换为PDF文件，提取文件的标题信息，文档修订信息，将旬报、月报放在网页上供阅读。</w:t>
                  </w:r>
                </w:p>
              </w:tc>
            </w:tr>
            <w:tr w14:paraId="74E8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B181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3535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0851">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E0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周边城市天气预报信息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F9E8">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采集城镇天气预报信息，采集配置周边城市信息，根据周边城市的编码，筛选出周边城市预报，读取预报报文，并封装成服务产品格式。在页面交互展示周边城市天气信息。</w:t>
                  </w:r>
                </w:p>
              </w:tc>
            </w:tr>
            <w:tr w14:paraId="1280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576B9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91E2">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19F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预警信号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66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天气消息信息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5810">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从气象产品共享系统中获取突发天气提示数据，为便于及时获取，每1分钟扫描一次，判断文件是否更新。</w:t>
                  </w:r>
                </w:p>
                <w:p w14:paraId="38FB5B9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对未来即将出现的强对流天气进行提醒，提醒内容基于预报结果由气象台进行制作，如：受雷雨云团影响，预计未来3小时内市区内出现中等强度雷雨天气</w:t>
                  </w:r>
                </w:p>
              </w:tc>
            </w:tr>
            <w:tr w14:paraId="300C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6CC24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64F0">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1E06">
                  <w:pPr>
                    <w:jc w:val="center"/>
                    <w:rPr>
                      <w:rFonts w:hint="eastAsia" w:ascii="宋体" w:hAnsi="宋体" w:eastAsia="宋体" w:cs="宋体"/>
                      <w:i w:val="0"/>
                      <w:iCs w:val="0"/>
                      <w:color w:val="auto"/>
                      <w:sz w:val="18"/>
                      <w:szCs w:val="18"/>
                      <w:highlight w:val="none"/>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22A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分区、分镇街预警信号信息</w:t>
                  </w:r>
                </w:p>
              </w:tc>
              <w:tc>
                <w:tcPr>
                  <w:tcW w:w="3990" w:type="dxa"/>
                  <w:vMerge w:val="restart"/>
                  <w:tcBorders>
                    <w:top w:val="single" w:color="000000" w:sz="4" w:space="0"/>
                    <w:left w:val="single" w:color="000000" w:sz="4" w:space="0"/>
                    <w:right w:val="single" w:color="000000" w:sz="4" w:space="0"/>
                  </w:tcBorders>
                  <w:shd w:val="clear" w:color="auto" w:fill="auto"/>
                  <w:noWrap/>
                  <w:vAlign w:val="center"/>
                </w:tcPr>
                <w:p w14:paraId="6AD13333">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主要可能出现暴雨、冰雹、大雾、高温、寒冷、台风、灰霾、雷雨大风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道路结冰</w:t>
                  </w:r>
                  <w:r>
                    <w:rPr>
                      <w:rFonts w:hint="eastAsia" w:ascii="宋体" w:hAnsi="宋体" w:eastAsia="宋体" w:cs="宋体"/>
                      <w:color w:val="auto"/>
                      <w:sz w:val="18"/>
                      <w:szCs w:val="18"/>
                      <w:highlight w:val="none"/>
                    </w:rPr>
                    <w:t>以及森林火险等</w:t>
                  </w:r>
                  <w:r>
                    <w:rPr>
                      <w:rFonts w:hint="eastAsia" w:ascii="宋体" w:hAnsi="宋体" w:eastAsia="宋体" w:cs="宋体"/>
                      <w:color w:val="auto"/>
                      <w:sz w:val="18"/>
                      <w:szCs w:val="18"/>
                      <w:highlight w:val="none"/>
                      <w:lang w:val="en-US" w:eastAsia="zh-CN"/>
                    </w:rPr>
                    <w:t>十</w:t>
                  </w:r>
                  <w:r>
                    <w:rPr>
                      <w:rFonts w:hint="eastAsia" w:ascii="宋体" w:hAnsi="宋体" w:eastAsia="宋体" w:cs="宋体"/>
                      <w:color w:val="auto"/>
                      <w:sz w:val="18"/>
                      <w:szCs w:val="18"/>
                      <w:highlight w:val="none"/>
                    </w:rPr>
                    <w:t>类灾害类天气。</w:t>
                  </w:r>
                </w:p>
                <w:p w14:paraId="5577AD39">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通过与预报预警综合业务系统对接，实现在地图上以预警图标的形式直接展示目前</w:t>
                  </w:r>
                  <w:r>
                    <w:rPr>
                      <w:rFonts w:hint="eastAsia" w:ascii="宋体" w:hAnsi="宋体" w:eastAsia="宋体" w:cs="宋体"/>
                      <w:color w:val="auto"/>
                      <w:sz w:val="18"/>
                      <w:szCs w:val="18"/>
                      <w:highlight w:val="none"/>
                      <w:lang w:eastAsia="zh-CN"/>
                    </w:rPr>
                    <w:t>全</w:t>
                  </w:r>
                  <w:r>
                    <w:rPr>
                      <w:rFonts w:hint="eastAsia" w:ascii="宋体" w:hAnsi="宋体" w:eastAsia="宋体" w:cs="宋体"/>
                      <w:color w:val="auto"/>
                      <w:sz w:val="18"/>
                      <w:szCs w:val="18"/>
                      <w:highlight w:val="none"/>
                    </w:rPr>
                    <w:t>市境内已发布的预警信号情况。通过将预警信号模块嵌入首页，用户可以从首页直接了解到目前已发布的预警信号情况，以及应急响应信息。考虑到预警信号和应急响应内容可能太多，可以分成两个页面交替显示，鼠标悬停则暂时停止切换。</w:t>
                  </w:r>
                </w:p>
                <w:p w14:paraId="5557E409">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①镇街预警数据解析与监控</w:t>
                  </w:r>
                </w:p>
                <w:p w14:paraId="5ECABC12">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基于大数据接口访问规范，使用符合信息安全管理要求的方法，从</w:t>
                  </w:r>
                  <w:r>
                    <w:rPr>
                      <w:rFonts w:hint="eastAsia" w:ascii="宋体" w:hAnsi="宋体" w:eastAsia="宋体" w:cs="宋体"/>
                      <w:color w:val="auto"/>
                      <w:sz w:val="18"/>
                      <w:szCs w:val="18"/>
                      <w:highlight w:val="none"/>
                      <w:lang w:eastAsia="zh-CN"/>
                    </w:rPr>
                    <w:t>全</w:t>
                  </w:r>
                  <w:r>
                    <w:rPr>
                      <w:rFonts w:hint="eastAsia" w:ascii="宋体" w:hAnsi="宋体" w:eastAsia="宋体" w:cs="宋体"/>
                      <w:color w:val="auto"/>
                      <w:sz w:val="18"/>
                      <w:szCs w:val="18"/>
                      <w:highlight w:val="none"/>
                    </w:rPr>
                    <w:t>市气象局大数据接口读取并解析镇街编码、镇街预警结构化数据。需要对数据按预警信号类型、信号等级、信号生效/取消、发布时间、镇街编码等数据做分类统计，对同一信号做开关匹配，识别出正在生效与已经取消的预警信号。数据使用JSON存储和传输。</w:t>
                  </w:r>
                </w:p>
                <w:p w14:paraId="29570213">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建立数据处理过程的监控机制，具有后台数据生命周期管理模块，能够监控数据生命周期的关键节点，对数据处理过程中的异常情况能够及时发出警报，数据监控达到线程级的监控与过程跟踪。</w:t>
                  </w:r>
                </w:p>
                <w:p w14:paraId="629218A0">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②分镇街业务地图处理</w:t>
                  </w:r>
                </w:p>
                <w:p w14:paraId="0DF37E97">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对</w:t>
                  </w:r>
                  <w:r>
                    <w:rPr>
                      <w:rFonts w:hint="eastAsia" w:ascii="宋体" w:hAnsi="宋体" w:eastAsia="宋体" w:cs="宋体"/>
                      <w:color w:val="auto"/>
                      <w:sz w:val="18"/>
                      <w:szCs w:val="18"/>
                      <w:highlight w:val="none"/>
                      <w:lang w:val="en-US" w:eastAsia="zh-CN"/>
                    </w:rPr>
                    <w:t>全市</w:t>
                  </w:r>
                  <w:r>
                    <w:rPr>
                      <w:rFonts w:hint="eastAsia" w:ascii="宋体" w:hAnsi="宋体" w:eastAsia="宋体" w:cs="宋体"/>
                      <w:color w:val="auto"/>
                      <w:sz w:val="18"/>
                      <w:szCs w:val="18"/>
                      <w:highlight w:val="none"/>
                    </w:rPr>
                    <w:t>各镇街编码，对多种不同来源的SHP文件合并再编辑。分别对不同来源的坐标系转换并统一使用CGCS2000坐标系。能够实现多分散区域，飞地辖区的规范编码。实现地图区域编码与镇街预警编码的完全对应。</w:t>
                  </w:r>
                </w:p>
                <w:p w14:paraId="3C667E6F">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对地理信息数据文件进行矢量数据转换处理，对矢量数据文件实现坐标值级别的压缩算法。</w:t>
                  </w:r>
                </w:p>
                <w:p w14:paraId="3F8215E8">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前端WebGIS需对经纬度信息做加密处理、实现矢量地图的无极缩放，实现基于镇街边界的碰撞测试，可设置符合业务需求的地图投影算法。</w:t>
                  </w:r>
                </w:p>
                <w:p w14:paraId="60CA81C2">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③分镇街预警</w:t>
                  </w:r>
                </w:p>
                <w:p w14:paraId="4D12CD20">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对全市所有镇街预警信号实现分区、分类别统计，能够基于WebGIS交互式查询各镇街的预警信息发布情况与统计、排序信息。镇街预警数据、个性化统计表格的数据与交互联动。能够交互式的实现从WebGIS到数据图表的区域联动选择。</w:t>
                  </w:r>
                </w:p>
              </w:tc>
            </w:tr>
            <w:tr w14:paraId="018A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DD1D545">
                  <w:pPr>
                    <w:jc w:val="center"/>
                    <w:rPr>
                      <w:rFonts w:hint="eastAsia" w:ascii="宋体" w:hAnsi="宋体" w:eastAsia="宋体" w:cs="宋体"/>
                      <w:i w:val="0"/>
                      <w:iCs w:val="0"/>
                      <w:color w:val="auto"/>
                      <w:sz w:val="18"/>
                      <w:szCs w:val="18"/>
                      <w:highlight w:val="none"/>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5996">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DD84">
                  <w:pPr>
                    <w:jc w:val="center"/>
                    <w:rPr>
                      <w:rFonts w:hint="eastAsia" w:ascii="宋体" w:hAnsi="宋体" w:eastAsia="宋体" w:cs="宋体"/>
                      <w:i w:val="0"/>
                      <w:iCs w:val="0"/>
                      <w:color w:val="auto"/>
                      <w:sz w:val="18"/>
                      <w:szCs w:val="18"/>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4C15">
                  <w:pPr>
                    <w:jc w:val="center"/>
                    <w:rPr>
                      <w:rFonts w:hint="eastAsia" w:ascii="宋体" w:hAnsi="宋体" w:eastAsia="宋体" w:cs="宋体"/>
                      <w:i w:val="0"/>
                      <w:iCs w:val="0"/>
                      <w:color w:val="auto"/>
                      <w:sz w:val="18"/>
                      <w:szCs w:val="18"/>
                      <w:highlight w:val="none"/>
                      <w:u w:val="none"/>
                    </w:rPr>
                  </w:pPr>
                </w:p>
              </w:tc>
              <w:tc>
                <w:tcPr>
                  <w:tcW w:w="3990" w:type="dxa"/>
                  <w:vMerge w:val="continue"/>
                  <w:tcBorders>
                    <w:left w:val="single" w:color="000000" w:sz="4" w:space="0"/>
                    <w:bottom w:val="single" w:color="000000" w:sz="4" w:space="0"/>
                    <w:right w:val="single" w:color="000000" w:sz="4" w:space="0"/>
                  </w:tcBorders>
                  <w:shd w:val="clear" w:color="auto" w:fill="auto"/>
                  <w:noWrap/>
                  <w:vAlign w:val="center"/>
                </w:tcPr>
                <w:p w14:paraId="2D10B426">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p>
              </w:tc>
            </w:tr>
            <w:tr w14:paraId="0C86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285A0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F1EE">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A8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气象科普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5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科普基地信息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C0D8">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1、文字描述，2、配基地的图片，3、添加以往科普宣传活动的照片</w:t>
                  </w:r>
                </w:p>
              </w:tc>
            </w:tr>
            <w:tr w14:paraId="49C6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6A67F1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25DE">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FC9A">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E5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气象科普活动申请说明信息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70A6">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包括：申请条件信息、申请步骤信息、预约渠道等信息</w:t>
                  </w:r>
                </w:p>
              </w:tc>
            </w:tr>
            <w:tr w14:paraId="1061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05AC2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75F2">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9A18">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CB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科普宣传信息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B61A">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包括：1、灾害天气防御指引；2、制作的原创科普视频；3、预报员每天早上录制的天气预报。</w:t>
                  </w:r>
                </w:p>
              </w:tc>
            </w:tr>
            <w:tr w14:paraId="05F4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2D651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3C431">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0B3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气象服务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E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旅游景点天气信息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89DB">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根据全区旅游景点分布情况，制作旅游景点专项地图。突出显示旅游景点，街道地名等信息。旅游景点的位置可以点击交互，切换显示旅游景点的详细气象服务产品。</w:t>
                  </w:r>
                </w:p>
                <w:p w14:paraId="57E0E369">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根据旅游景点的经纬度，查询最近的自动站点，显示旅游景点附件自动站的天气实况。</w:t>
                  </w:r>
                </w:p>
                <w:p w14:paraId="46A83B97">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自动站点的选择使用主站和备用站点的形式，当主站数据不可用时，使用备用站点的数据。当备用站点的数据也不可用时，该景点的实况数据缺失。</w:t>
                  </w:r>
                </w:p>
                <w:p w14:paraId="23B90766">
                  <w:pPr>
                    <w:pStyle w:val="15"/>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显示的实况要素包括：温度、大气压强，风速、风向、相对湿度、小时雨量</w:t>
                  </w:r>
                  <w:r>
                    <w:rPr>
                      <w:rFonts w:hint="eastAsia" w:ascii="宋体" w:hAnsi="宋体" w:eastAsia="宋体" w:cs="宋体"/>
                      <w:color w:val="auto"/>
                      <w:sz w:val="18"/>
                      <w:szCs w:val="18"/>
                      <w:highlight w:val="none"/>
                      <w:lang w:eastAsia="zh-CN"/>
                    </w:rPr>
                    <w:t>。</w:t>
                  </w:r>
                </w:p>
                <w:p w14:paraId="208F0E75">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根据旅游景点的经纬度，从GIFT预报数据中获取景点所在的格点数据，从GIFT数据中提取气温、雨量等要素，将每天的逐1小时的数据，分为前12小时、后12小时统计，并计算转换出天空状况图标编码。展示未来3天逐1小时的雨量、温度曲线和每天白天、夜晚的天气图标。</w:t>
                  </w:r>
                </w:p>
              </w:tc>
            </w:tr>
            <w:tr w14:paraId="1127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DEB62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A2653">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1808">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36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道路交通信息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FAB0">
                  <w:pPr>
                    <w:spacing w:line="240" w:lineRule="auto"/>
                    <w:ind w:firstLine="42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四条高速、实况：温度、天况、能见度。预报：温、雨、风、能见度。</w:t>
                  </w:r>
                </w:p>
                <w:p w14:paraId="3F288536">
                  <w:pPr>
                    <w:spacing w:line="240" w:lineRule="auto"/>
                    <w:ind w:firstLine="4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交通干道线路信息及气象数据的整理、分析：收集交通干线沿线各类气象要素信息，建立交通气象监测信息库；收集</w:t>
                  </w:r>
                  <w:r>
                    <w:rPr>
                      <w:rFonts w:hint="eastAsia" w:ascii="宋体" w:hAnsi="宋体" w:eastAsia="宋体" w:cs="宋体"/>
                      <w:color w:val="auto"/>
                      <w:sz w:val="18"/>
                      <w:szCs w:val="18"/>
                      <w:highlight w:val="none"/>
                      <w:lang w:val="en-US" w:eastAsia="zh-CN"/>
                    </w:rPr>
                    <w:t>市</w:t>
                  </w:r>
                  <w:r>
                    <w:rPr>
                      <w:rFonts w:hint="eastAsia" w:ascii="宋体" w:hAnsi="宋体" w:eastAsia="宋体" w:cs="宋体"/>
                      <w:color w:val="auto"/>
                      <w:sz w:val="18"/>
                      <w:szCs w:val="18"/>
                      <w:highlight w:val="none"/>
                    </w:rPr>
                    <w:t>区公路交通GIS信息，建立交通气象基础地理信息库；进而建立交通气象精细化网格产品数据库；将</w:t>
                  </w:r>
                  <w:r>
                    <w:rPr>
                      <w:rFonts w:hint="eastAsia" w:ascii="宋体" w:hAnsi="宋体" w:eastAsia="宋体" w:cs="宋体"/>
                      <w:color w:val="auto"/>
                      <w:sz w:val="18"/>
                      <w:szCs w:val="18"/>
                      <w:highlight w:val="none"/>
                      <w:lang w:val="en-US" w:eastAsia="zh-CN"/>
                    </w:rPr>
                    <w:t>市区</w:t>
                  </w:r>
                  <w:r>
                    <w:rPr>
                      <w:rFonts w:hint="eastAsia" w:ascii="宋体" w:hAnsi="宋体" w:eastAsia="宋体" w:cs="宋体"/>
                      <w:color w:val="auto"/>
                      <w:sz w:val="18"/>
                      <w:szCs w:val="18"/>
                      <w:highlight w:val="none"/>
                    </w:rPr>
                    <w:t>交通干道GIS信息、交通干道沿线气象自动站数据以及精细化气象预报数据三者相结合，研究建立气象、交通相统一的交通干道分段方法。</w:t>
                  </w:r>
                </w:p>
                <w:p w14:paraId="7CECED23">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针对影响城市交通的灾害性天气分析</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从低能见度、城市积涝、大风、路面高温对城市交通的影响四部分</w:t>
                  </w:r>
                  <w:r>
                    <w:rPr>
                      <w:rFonts w:hint="eastAsia" w:ascii="宋体" w:hAnsi="宋体" w:eastAsia="宋体" w:cs="宋体"/>
                      <w:color w:val="auto"/>
                      <w:sz w:val="18"/>
                      <w:szCs w:val="18"/>
                      <w:highlight w:val="none"/>
                      <w:lang w:val="en-US" w:eastAsia="zh-CN"/>
                    </w:rPr>
                    <w:t>匹配相关气象要素。</w:t>
                  </w:r>
                </w:p>
              </w:tc>
            </w:tr>
            <w:tr w14:paraId="61D2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FB81F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7D6A">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15E91">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16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气象指数信息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1615">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气象指数信息包括;包括舒适度、穿衣指数、紫外线、洗车指数、郊游指数、内涝指数、晾晒指数、晨练指数、空气质量指数、雨具指数、日出、云海等景观旅游产品。</w:t>
                  </w:r>
                </w:p>
                <w:p w14:paraId="535D6123">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高亮显示值比较高的指数。</w:t>
                  </w:r>
                </w:p>
              </w:tc>
            </w:tr>
            <w:tr w14:paraId="6041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92537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05BE">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9AB5">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73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舒适度信息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CEDA">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基于格点数据，‌采用干球温度（Td）和湿球温度（Tw）计算佛山全市人居环境舒适度。</w:t>
                  </w:r>
                </w:p>
              </w:tc>
            </w:tr>
            <w:tr w14:paraId="682C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206B4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B4109">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AB5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龙卷风中心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8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文章列表信息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8AF5">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相关模块分类文章列表页界面设计、相关模块信息功能开发与实现，主要包括：</w:t>
                  </w:r>
                </w:p>
                <w:p w14:paraId="02F80E8F">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1）首页：新闻动态、学术交流、通知通告、科研进展、科普等栏目信息列表展示</w:t>
                  </w:r>
                </w:p>
                <w:p w14:paraId="51E262BE">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2）实验室介绍包括：实验室概况、实验室领导、学术委员会、人才队伍、规则制度、大事件记、创新团队信息列表展示</w:t>
                  </w:r>
                </w:p>
                <w:p w14:paraId="2D5E54CD">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3）新闻公告包括：新闻动态、通知通告信息列表展示</w:t>
                  </w:r>
                </w:p>
                <w:p w14:paraId="574A43B5">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4）业务服务包括：预报预警平台、灾害调查相关信息展示</w:t>
                  </w:r>
                </w:p>
                <w:p w14:paraId="44135A13">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5）科学研究包括：科研进展、发明专利、软件著作权、科研项目信息展示</w:t>
                  </w:r>
                </w:p>
                <w:p w14:paraId="00C32234">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6）开放合作包括：学术交流、开放课题申请信息展示</w:t>
                  </w:r>
                </w:p>
                <w:p w14:paraId="0C482320">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7）龙卷信息包括：龙卷个例、龙卷报料信息展示</w:t>
                  </w:r>
                </w:p>
                <w:p w14:paraId="4913AA61">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8）科普宣传包括：科普宣传等信息展示</w:t>
                  </w:r>
                </w:p>
                <w:p w14:paraId="4B5A0461">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9）加入我们包括：流动研究人员申请、留言信箱信息展示</w:t>
                  </w:r>
                </w:p>
              </w:tc>
            </w:tr>
            <w:tr w14:paraId="6DC8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E9B16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EEEC">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8F63">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C6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咨询、通告信息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4D8">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相关文章、咨询、通告等详细页面内容设计、功能实现与展示。</w:t>
                  </w:r>
                </w:p>
              </w:tc>
            </w:tr>
            <w:tr w14:paraId="6A72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DB3AC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5E13E">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A51D3">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17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专题模板信息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0751">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展示最新的推荐专题和热门专题，并进入查专题相关内容。制作专题相关模板页，可以为不同的专题有不同的风格和交互方式。</w:t>
                  </w:r>
                </w:p>
              </w:tc>
            </w:tr>
            <w:tr w14:paraId="62A1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E0B43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9232">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45FC">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EA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用户管理信息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7375">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实现用户的基本信息进行管理，包括用户ID、姓名、性别、年龄、联系方式等。在管理员添加或修改用户信息时，系统会自动对用户的身份进行验证，确保管理员的操作是合法的。</w:t>
                  </w:r>
                </w:p>
              </w:tc>
            </w:tr>
            <w:tr w14:paraId="702A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FAADA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C638">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CA3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1B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权限管理信息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FF2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实现对用户进行权限分配和管理，根据用户的角色或需求，可以设定不同的权限级别。例如，管理员、普通用户、匿名用户等。每个权限级别可以对应不同的系统操作权限，如创建、读取、更新、删除等。</w:t>
                  </w:r>
                </w:p>
              </w:tc>
            </w:tr>
            <w:tr w14:paraId="2996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9B635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32AE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9015">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D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栏目管理信息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1EF5">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实现对栏目进行添加、修改、删除等操作，并支持对栏目进行排序和设置权限等功能。</w:t>
                  </w:r>
                </w:p>
              </w:tc>
            </w:tr>
            <w:tr w14:paraId="5DA0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F808A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AC4C">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B9C7">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44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文章管理信息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D209">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包括文章创建、编辑、删除、分类、搜索、排序、统计、审核、模板管理和权限管理等。</w:t>
                  </w:r>
                </w:p>
              </w:tc>
            </w:tr>
            <w:tr w14:paraId="5895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B38E8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4524">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EE88A">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DB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导航管理信息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F7DA">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实现对友情链接导航进行添加、修改、删除等操作，并支持对友情链接进行分类和审核等功能。</w:t>
                  </w:r>
                </w:p>
              </w:tc>
            </w:tr>
            <w:tr w14:paraId="5848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3D181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8CA4">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719C">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85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模板管理信息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FD18">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实现包括模板创建、编辑、删除、复制、权限管理、状态设置以及数据管理、前台组件管理；新闻轮播图管理；走马灯图管理。</w:t>
                  </w:r>
                </w:p>
              </w:tc>
            </w:tr>
            <w:tr w14:paraId="5F44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1DEC4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F31E">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DC80">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E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专题管理信息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6D43">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可以设置多个专题，把相关文章资料集中到一起作为专题展示。</w:t>
                  </w:r>
                </w:p>
                <w:p w14:paraId="2826FD43">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实现用户在系统中的操作进行记录，包括用户的登录、访问、修改等操作。管理员可以通过操作日志记录来了解用户的操作习惯和行为，从而对系统进行进一步的优化和改进。</w:t>
                  </w:r>
                </w:p>
              </w:tc>
            </w:tr>
            <w:tr w14:paraId="1465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686AF4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664C">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B31D">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DB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统计分析信息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6773">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统计的访问的访问量，可以按时段统计访问量，访问用户数，访问IP数等。</w:t>
                  </w:r>
                </w:p>
                <w:p w14:paraId="1B80A20A">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添加文章时，可以先不发布，不在网站上显示。需要时再发布，发布后才能在网站上查看。</w:t>
                  </w:r>
                </w:p>
              </w:tc>
            </w:tr>
            <w:tr w14:paraId="0CE9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6CEF8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185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决策服务子系统</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D3B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天气监测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67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用户登录验证模块</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9FA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对接省统一身份认证平台（政务侧），与粤政易登录接口对接，通过粤政易模块访问。同时，将系统登录入口接入“粤治慧·佛山”平台的统一门户。</w:t>
                  </w:r>
                </w:p>
              </w:tc>
            </w:tr>
            <w:tr w14:paraId="6C36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63B45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13C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601D">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2E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降雨监测信息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2B0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统计出过去1小时降水后，在WebGIS地图上填图显示，并根据预先设定的阈值以不同的颜色进行提醒；</w:t>
                  </w:r>
                </w:p>
              </w:tc>
            </w:tr>
            <w:tr w14:paraId="34F9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28650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8476">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67E1C">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2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平均风监测信息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E00E">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统计出当前瞬时风、平均风的数据后，在WebGIS地图上填图显示，并根据预先设定的阈值以不同的颜色进行提醒</w:t>
                  </w:r>
                  <w:r>
                    <w:rPr>
                      <w:rFonts w:hint="eastAsia" w:ascii="宋体" w:hAnsi="宋体" w:eastAsia="宋体" w:cs="宋体"/>
                      <w:color w:val="auto"/>
                      <w:sz w:val="18"/>
                      <w:szCs w:val="18"/>
                      <w:highlight w:val="none"/>
                    </w:rPr>
                    <w:t>。</w:t>
                  </w:r>
                </w:p>
              </w:tc>
            </w:tr>
            <w:tr w14:paraId="3802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DBB3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D5FD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8BD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9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气温监测信息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43C9">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统计当前温度后，在WebGIS地图上填图显示，并根据预先设定的气温阈值以不同的颜色进行提醒</w:t>
                  </w:r>
                  <w:r>
                    <w:rPr>
                      <w:rFonts w:hint="eastAsia" w:ascii="宋体" w:hAnsi="宋体" w:eastAsia="宋体" w:cs="宋体"/>
                      <w:color w:val="auto"/>
                      <w:sz w:val="18"/>
                      <w:szCs w:val="18"/>
                      <w:highlight w:val="none"/>
                    </w:rPr>
                    <w:t>。</w:t>
                  </w:r>
                </w:p>
              </w:tc>
            </w:tr>
            <w:tr w14:paraId="7466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CA43D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1B01">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FF30">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96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能见度监测信息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DF66">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统计当天能见度后，在WebGIS地图上填图显示，并根据预先设定的能见度阈值以不同的颜色进行提醒</w:t>
                  </w:r>
                  <w:r>
                    <w:rPr>
                      <w:rFonts w:hint="eastAsia" w:ascii="宋体" w:hAnsi="宋体" w:eastAsia="宋体" w:cs="宋体"/>
                      <w:color w:val="auto"/>
                      <w:sz w:val="18"/>
                      <w:szCs w:val="18"/>
                      <w:highlight w:val="none"/>
                    </w:rPr>
                    <w:t>。</w:t>
                  </w:r>
                </w:p>
              </w:tc>
            </w:tr>
            <w:tr w14:paraId="2F8A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56490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0FD8">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76A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18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闪电监测信息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AE6C">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统计当前闪电后，在WebGIS地图上填图显示，并根据预先设定的闪电类型、闪电阈值以不同的颜色进行提醒。</w:t>
                  </w:r>
                </w:p>
              </w:tc>
            </w:tr>
            <w:tr w14:paraId="7FB1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AB2D8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4391">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4CD3">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6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预警信号信息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C3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从广东省气象局气象探测数据中心通用气象数据访问接口实时读取佛山市区县（可通过配置文件设置所关注的市区县）发布的气象预警信号，气象预警信号包括暴雨、雷雨大风、台风、冰雹、高温、寒冷、森林火险、道路结冰、大雾等，等级有白色、蓝色、黄色、橙色和红色不等，在WebGIS地图上，以对应的预警信号图标，根据发布台站的经纬度，叠加在地图上显示，需要设定预警信号的优先规则（可通过配置文件修改优先次序），当市区县台站同时发布多种预警信号时（例如暴雨橙色和雷雨大风黄色），在填图显示时，显示级别较高的预警信号图标。鼠标移入预警信号，在浮动窗口中显示该台站发布的预警信号详细信息。</w:t>
                  </w:r>
                </w:p>
              </w:tc>
            </w:tr>
            <w:tr w14:paraId="280C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6DE49D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C7F1">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A64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高影响统计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6B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降水统计信息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CC20">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雨量统计报表主要包括降水总结文字、雨量落区分布图、量级统计和站点明细等内容，通过在报表模板文件中定义相关的变量，后台执行相应的数据统计后，生成文字进行显示。</w:t>
                  </w:r>
                </w:p>
              </w:tc>
            </w:tr>
            <w:tr w14:paraId="3B20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28528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916C">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F177">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5A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大风统计信息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5ED1">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大风统计报表主要包括大风</w:t>
                  </w:r>
                  <w:r>
                    <w:rPr>
                      <w:rFonts w:hint="eastAsia" w:ascii="宋体" w:hAnsi="宋体" w:eastAsia="宋体" w:cs="宋体"/>
                      <w:color w:val="auto"/>
                      <w:sz w:val="18"/>
                      <w:szCs w:val="18"/>
                      <w:highlight w:val="none"/>
                      <w:lang w:eastAsia="zh-CN"/>
                    </w:rPr>
                    <w:t>总结文字</w:t>
                  </w:r>
                  <w:r>
                    <w:rPr>
                      <w:rFonts w:hint="eastAsia" w:ascii="宋体" w:hAnsi="宋体" w:eastAsia="宋体" w:cs="宋体"/>
                      <w:color w:val="auto"/>
                      <w:sz w:val="18"/>
                      <w:szCs w:val="18"/>
                      <w:highlight w:val="none"/>
                    </w:rPr>
                    <w:t>、极大风分布图、量级统计和站点明细等内容，通过在报表模板文件中定义相关的变量，后台执行相应的数据统计后，生成文字进行显示。</w:t>
                  </w:r>
                </w:p>
              </w:tc>
            </w:tr>
            <w:tr w14:paraId="3BD4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61EACF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49E5">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27233">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10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最高温统计信息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932C">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最高气温统计报表主要包括最高气温总结</w:t>
                  </w:r>
                  <w:r>
                    <w:rPr>
                      <w:rFonts w:hint="eastAsia" w:ascii="宋体" w:hAnsi="宋体" w:eastAsia="宋体" w:cs="宋体"/>
                      <w:color w:val="auto"/>
                      <w:sz w:val="18"/>
                      <w:szCs w:val="18"/>
                      <w:highlight w:val="none"/>
                      <w:lang w:val="en-US" w:eastAsia="zh-CN"/>
                    </w:rPr>
                    <w:t>文字</w:t>
                  </w:r>
                  <w:r>
                    <w:rPr>
                      <w:rFonts w:hint="eastAsia" w:ascii="宋体" w:hAnsi="宋体" w:eastAsia="宋体" w:cs="宋体"/>
                      <w:color w:val="auto"/>
                      <w:sz w:val="18"/>
                      <w:szCs w:val="18"/>
                      <w:highlight w:val="none"/>
                    </w:rPr>
                    <w:t>、最高气温分布图、量级统计和站点明细等内容，通过在报表模板文件中定义相关的变量，有后台执行相应的数据统计后，生成文字进行显示。</w:t>
                  </w:r>
                </w:p>
              </w:tc>
            </w:tr>
            <w:tr w14:paraId="3A3B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ABCB4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AED5">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C27B">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34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最低温统计信息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18CB">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最低气温统计报表主要包括最低气温</w:t>
                  </w:r>
                  <w:r>
                    <w:rPr>
                      <w:rFonts w:hint="eastAsia" w:ascii="宋体" w:hAnsi="宋体" w:eastAsia="宋体" w:cs="宋体"/>
                      <w:color w:val="auto"/>
                      <w:sz w:val="18"/>
                      <w:szCs w:val="18"/>
                      <w:highlight w:val="none"/>
                      <w:lang w:eastAsia="zh-CN"/>
                    </w:rPr>
                    <w:t>总结文字</w:t>
                  </w:r>
                  <w:r>
                    <w:rPr>
                      <w:rFonts w:hint="eastAsia" w:ascii="宋体" w:hAnsi="宋体" w:eastAsia="宋体" w:cs="宋体"/>
                      <w:color w:val="auto"/>
                      <w:sz w:val="18"/>
                      <w:szCs w:val="18"/>
                      <w:highlight w:val="none"/>
                    </w:rPr>
                    <w:t>、最低气温分布图、量级统计和站点明细等内容，通过在报表模板文件中定义相关的变量，有后台执行相应的数据统计后，生成文字进行显示。</w:t>
                  </w:r>
                </w:p>
              </w:tc>
            </w:tr>
            <w:tr w14:paraId="4AB5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F2143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C90C">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AA98E">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D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能见度统计信息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4BD5">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能见度</w:t>
                  </w:r>
                  <w:r>
                    <w:rPr>
                      <w:rFonts w:hint="eastAsia" w:ascii="宋体" w:hAnsi="宋体" w:eastAsia="宋体" w:cs="宋体"/>
                      <w:color w:val="auto"/>
                      <w:sz w:val="18"/>
                      <w:szCs w:val="18"/>
                      <w:highlight w:val="none"/>
                    </w:rPr>
                    <w:t>统计报表主要包括</w:t>
                  </w:r>
                  <w:r>
                    <w:rPr>
                      <w:rFonts w:hint="eastAsia" w:ascii="宋体" w:hAnsi="宋体" w:eastAsia="宋体" w:cs="宋体"/>
                      <w:color w:val="auto"/>
                      <w:sz w:val="18"/>
                      <w:szCs w:val="18"/>
                      <w:highlight w:val="none"/>
                      <w:lang w:val="en-US" w:eastAsia="zh-CN"/>
                    </w:rPr>
                    <w:t>1小时、3小时、6小时、24小时报表</w:t>
                  </w:r>
                  <w:r>
                    <w:rPr>
                      <w:rFonts w:hint="eastAsia" w:ascii="宋体" w:hAnsi="宋体" w:eastAsia="宋体" w:cs="宋体"/>
                      <w:color w:val="auto"/>
                      <w:sz w:val="18"/>
                      <w:szCs w:val="18"/>
                      <w:highlight w:val="none"/>
                    </w:rPr>
                    <w:t>、最低</w:t>
                  </w:r>
                  <w:r>
                    <w:rPr>
                      <w:rFonts w:hint="eastAsia" w:ascii="宋体" w:hAnsi="宋体" w:eastAsia="宋体" w:cs="宋体"/>
                      <w:color w:val="auto"/>
                      <w:sz w:val="18"/>
                      <w:szCs w:val="18"/>
                      <w:highlight w:val="none"/>
                      <w:lang w:val="en-US" w:eastAsia="zh-CN"/>
                    </w:rPr>
                    <w:t>能见度</w:t>
                  </w:r>
                  <w:r>
                    <w:rPr>
                      <w:rFonts w:hint="eastAsia" w:ascii="宋体" w:hAnsi="宋体" w:eastAsia="宋体" w:cs="宋体"/>
                      <w:color w:val="auto"/>
                      <w:sz w:val="18"/>
                      <w:szCs w:val="18"/>
                      <w:highlight w:val="none"/>
                    </w:rPr>
                    <w:t>分布图、量级统计和站点明细等内容，通过在报表模板文件中定义相关的变量，有后台执行相应的数据统计后，生成文字进行显示。</w:t>
                  </w:r>
                </w:p>
              </w:tc>
            </w:tr>
            <w:tr w14:paraId="5788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CAABE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48614">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338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台风</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0B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台风历史查询信息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92E6">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当台风逐渐移近陆地时，受台风大风的影响，大多数地区需要发布台风预警信号，台风的预警信号等级有白色、蓝色、黄色、橙色和红色</w:t>
                  </w:r>
                  <w:r>
                    <w:rPr>
                      <w:rFonts w:hint="eastAsia" w:ascii="宋体" w:hAnsi="宋体" w:eastAsia="宋体" w:cs="宋体"/>
                      <w:color w:val="auto"/>
                      <w:sz w:val="18"/>
                      <w:szCs w:val="18"/>
                      <w:highlight w:val="none"/>
                      <w:lang w:eastAsia="zh-CN"/>
                    </w:rPr>
                    <w:t>。</w:t>
                  </w:r>
                </w:p>
              </w:tc>
            </w:tr>
            <w:tr w14:paraId="74AD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147972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CA7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E625">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E1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预报路径信息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618B">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在台风的移动过程中，通过台风实况位置和风圈半径，结合要分析的地区，给出台风在沿着预报路径上，出现白色、蓝色、黄色、橙色和红色的预警信号的位置</w:t>
                  </w:r>
                </w:p>
              </w:tc>
            </w:tr>
            <w:tr w14:paraId="385B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56C3B3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4264">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FAC6">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9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观测站点信息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C3A8">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修改WebGIS地图引擎接口，实现与网络开源地图资源的对接，实现开源地图的显示、缩放和漫游；从数据库中检索出过去几年的台风信息，列表显示；从数据库中检索出当前台风各家预报台发布的台风实况路径，绘制成点和线图，叠加在地图上显示，并随地图缩放和漫游。在页面上显示不同预报中心发布的台风实况路径。</w:t>
                  </w:r>
                  <w:r>
                    <w:rPr>
                      <w:rFonts w:hint="eastAsia" w:ascii="宋体" w:hAnsi="宋体" w:eastAsia="宋体" w:cs="宋体"/>
                      <w:color w:val="auto"/>
                      <w:sz w:val="18"/>
                      <w:szCs w:val="18"/>
                      <w:highlight w:val="none"/>
                      <w:lang w:val="en-US" w:eastAsia="zh-CN"/>
                    </w:rPr>
                    <w:t>可叠加雷达图、卫星云图。</w:t>
                  </w:r>
                </w:p>
              </w:tc>
            </w:tr>
            <w:tr w14:paraId="465A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77663E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D9FF">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9D90">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D5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台风距离信息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CCD7">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台风路径节点信息：关联台风主 ID（台风编号 / 名称）、节点数据类型（实测最新节点 / 预报最新节点）、节点更新时间戳、台风等级、中心气压、最大风速、风圈半径（七级 / 十级 / 十二级）；</w:t>
                  </w:r>
                </w:p>
                <w:p w14:paraId="44CD4770">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计算关联标识：距离计算基准类型标识（中心点 / 风圈边界）、坐标标准化校验标识、与区县地理库的匹配坐标系统标识；</w:t>
                  </w:r>
                </w:p>
                <w:p w14:paraId="249B8896">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输出：根据台风路径信息，计算台风最新节点与各区县的距离。</w:t>
                  </w:r>
                </w:p>
              </w:tc>
            </w:tr>
            <w:tr w14:paraId="1CD3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68039E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299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精细化气象服务子系统</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783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点位服务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BB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服务点位信息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D0A1">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服务点位信息录入，包括服务点经纬度、服务点名称、服务点性质等信息。</w:t>
                  </w:r>
                </w:p>
                <w:p w14:paraId="25FF79CC">
                  <w:pPr>
                    <w:pStyle w:val="15"/>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服务点经纬度信息转换，将坐标系转换为WebGIS系统兼容坐标系。</w:t>
                  </w:r>
                </w:p>
                <w:p w14:paraId="7161AFD7">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服务点位置信息基于WebGIS系统叠加，制作服务点图层信息。</w:t>
                  </w:r>
                </w:p>
                <w:p w14:paraId="71EF95EE">
                  <w:pPr>
                    <w:keepNext w:val="0"/>
                    <w:keepLines w:val="0"/>
                    <w:widowControl/>
                    <w:suppressLineNumbers w:val="0"/>
                    <w:spacing w:line="240" w:lineRule="auto"/>
                    <w:ind w:firstLine="360" w:firstLineChars="20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点位信息可新增、删除，点位数据可以编辑修改，修改后的点位经纬度按WGS84坐标系存储。</w:t>
                  </w:r>
                </w:p>
              </w:tc>
            </w:tr>
            <w:tr w14:paraId="0CDD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9A721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77CA">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BAE3C">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DC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所在格点预报服务信息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17BD">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基于点位信息的经纬度，并根据当前系统时间，判断出需要的格点数据所属网格，以及网格数据的起报时间。</w:t>
                  </w:r>
                </w:p>
                <w:p w14:paraId="7FC7CC4B">
                  <w:pPr>
                    <w:pStyle w:val="15"/>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通过起报时间、网格位置，获取一段时间的预报数据。</w:t>
                  </w:r>
                </w:p>
                <w:p w14:paraId="563BB09F">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通过温度、雨量、风速、能见度、云量等要素，计算出天气现象文字描述，并匹配预报图标。</w:t>
                  </w:r>
                </w:p>
              </w:tc>
            </w:tr>
            <w:tr w14:paraId="425F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85A59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AFB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3D85">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05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附近站点实况服务信息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3FC6">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基于点位信息的经纬度，读取站点基础信息，并判断出最近的站点。判断站点数据是否正常。</w:t>
                  </w:r>
                </w:p>
                <w:p w14:paraId="1605AED4">
                  <w:pPr>
                    <w:pStyle w:val="15"/>
                    <w:spacing w:line="240" w:lineRule="auto"/>
                    <w:jc w:val="left"/>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如果最近站点数据异常，则自动替换附近其它站点数据。</w:t>
                  </w:r>
                </w:p>
              </w:tc>
            </w:tr>
            <w:tr w14:paraId="6961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5F7D0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21A5">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5E2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线路服务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9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线路编辑管理信息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95E5">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线路信息包括：线路名称、线路所属区县、线路经纬度、线路途径点名称等。</w:t>
                  </w:r>
                </w:p>
                <w:p w14:paraId="561EB2DC">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可通过上传geojson文件，或在线编辑经纬度信息实现线路编辑管理。</w:t>
                  </w:r>
                </w:p>
              </w:tc>
            </w:tr>
            <w:tr w14:paraId="4E88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65E4FF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56F36">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EDCD">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99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矢量数据信息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C20B">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矢量数据信息包括：形状、默认坐标系、经纬度数组、属性值等信息。</w:t>
                  </w:r>
                </w:p>
                <w:p w14:paraId="58D87A12">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需提提供录入线路信息转换为矢量数据信息的功能，并生成geojson格式数据文件。</w:t>
                  </w:r>
                </w:p>
              </w:tc>
            </w:tr>
            <w:tr w14:paraId="5B0F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334AAC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773E">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B516">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D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线路预报服务信息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F4A0">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根据经纬度判断线路所在格点位置，读取格点预报信息后，根据线路路段所在格点的数据值进行填色。</w:t>
                  </w:r>
                </w:p>
              </w:tc>
            </w:tr>
            <w:tr w14:paraId="3673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072AED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CFAF">
                  <w:pPr>
                    <w:jc w:val="center"/>
                    <w:rPr>
                      <w:rFonts w:hint="eastAsia" w:ascii="宋体" w:hAnsi="宋体" w:eastAsia="宋体" w:cs="宋体"/>
                      <w:i w:val="0"/>
                      <w:iCs w:val="0"/>
                      <w:color w:val="auto"/>
                      <w:sz w:val="18"/>
                      <w:szCs w:val="18"/>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D8E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区域面服务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D0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区域管理信息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9C13">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区域信息可新增、删除，采用不规则多边形数据记录区域信息，一个不规则多边形对象由一个外部的线性环（表示多边形的外边界）和零个或多个内部的线性环（表示多边形内部的孔或岛屿）组成。每个线性环都是一个坐标数组，其中每个坐标都是一个包含两个元素（经度和纬度）的数组。</w:t>
                  </w:r>
                </w:p>
              </w:tc>
            </w:tr>
            <w:tr w14:paraId="7C57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41F04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350F">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FE93">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F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实况插值信息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AB39">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读取实况数据，并对温度、雨量、风速、能见度做克里斯曼插值处理。</w:t>
                  </w:r>
                </w:p>
                <w:p w14:paraId="315086AB">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存储结果唯一标识、关联插值任务 ID、关联区域配置 ID、要素编码、时间戳；</w:t>
                  </w:r>
                </w:p>
                <w:p w14:paraId="7EF76A5D">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存储矢量结果数据：矢量文件格式（SHP/GeoJSON/KML）、矢量面数据、矢量存储路径。</w:t>
                  </w:r>
                </w:p>
              </w:tc>
            </w:tr>
            <w:tr w14:paraId="5750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 w:type="dxa"/>
                  <w:tcBorders>
                    <w:top w:val="single" w:color="000000" w:sz="4" w:space="0"/>
                    <w:left w:val="single" w:color="000000" w:sz="4" w:space="0"/>
                    <w:bottom w:val="single" w:color="000000" w:sz="4" w:space="0"/>
                    <w:right w:val="nil"/>
                  </w:tcBorders>
                  <w:shd w:val="clear" w:color="auto" w:fill="FFFFFF"/>
                  <w:vAlign w:val="center"/>
                </w:tcPr>
                <w:p w14:paraId="2B1FD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9348D">
                  <w:pPr>
                    <w:jc w:val="center"/>
                    <w:rPr>
                      <w:rFonts w:hint="eastAsia" w:ascii="宋体" w:hAnsi="宋体" w:eastAsia="宋体" w:cs="宋体"/>
                      <w:i w:val="0"/>
                      <w:iCs w:val="0"/>
                      <w:color w:val="auto"/>
                      <w:sz w:val="18"/>
                      <w:szCs w:val="18"/>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6FD5D">
                  <w:pPr>
                    <w:jc w:val="center"/>
                    <w:rPr>
                      <w:rFonts w:hint="eastAsia" w:ascii="宋体" w:hAnsi="宋体" w:eastAsia="宋体" w:cs="宋体"/>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DC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风险填色信息</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F346">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读取网格预报数据，并对温度、雨量、风速、能见度做双线性插值处理。</w:t>
                  </w:r>
                </w:p>
                <w:p w14:paraId="5D44E352">
                  <w:pPr>
                    <w:spacing w:line="240" w:lineRule="auto"/>
                    <w:ind w:firstLine="42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风险等级配置：等级编码、等级名称（低 / 中 / 高等）、等级阈值区间（风险指数范围）。</w:t>
                  </w:r>
                </w:p>
                <w:p w14:paraId="71173935">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分别配置温度、雨量、风速、能见度插值填色图例，根据填色图例，对网格数据进行填色。</w:t>
                  </w:r>
                </w:p>
              </w:tc>
            </w:tr>
          </w:tbl>
          <w:p w14:paraId="3DD5C7E3">
            <w:pPr>
              <w:pStyle w:val="12"/>
              <w:rPr>
                <w:rFonts w:hint="eastAsia"/>
                <w:lang w:val="en-US" w:eastAsia="zh-CN"/>
              </w:rPr>
            </w:pPr>
          </w:p>
          <w:p w14:paraId="53E00812">
            <w:pPr>
              <w:pStyle w:val="12"/>
              <w:rPr>
                <w:rFonts w:hint="eastAsia"/>
                <w:lang w:val="en-US" w:eastAsia="zh-CN"/>
              </w:rPr>
            </w:pPr>
          </w:p>
          <w:p w14:paraId="606539E9">
            <w:pPr>
              <w:pStyle w:val="12"/>
              <w:rPr>
                <w:rFonts w:hint="default"/>
                <w:lang w:val="en-US" w:eastAsia="zh-CN"/>
              </w:rPr>
            </w:pPr>
          </w:p>
        </w:tc>
      </w:tr>
      <w:tr w14:paraId="12E2B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3844C21D"/>
        </w:tc>
        <w:tc>
          <w:tcPr>
            <w:tcW w:w="828" w:type="dxa"/>
          </w:tcPr>
          <w:p w14:paraId="2B46975B">
            <w:pPr>
              <w:pStyle w:val="12"/>
            </w:pPr>
          </w:p>
        </w:tc>
        <w:tc>
          <w:tcPr>
            <w:tcW w:w="6644" w:type="dxa"/>
          </w:tcPr>
          <w:p w14:paraId="0606B09E">
            <w:pPr>
              <w:pStyle w:val="12"/>
              <w:rPr>
                <w:rFonts w:hint="eastAsia"/>
                <w:b/>
                <w:bCs/>
                <w:lang w:val="en-US" w:eastAsia="zh-CN"/>
              </w:rPr>
            </w:pPr>
            <w:r>
              <w:rPr>
                <w:rFonts w:hint="eastAsia"/>
                <w:b/>
                <w:bCs/>
                <w:lang w:val="en-US" w:eastAsia="zh-CN"/>
              </w:rPr>
              <w:t>六、</w:t>
            </w:r>
            <w:bookmarkStart w:id="5" w:name="_Toc1817462649"/>
            <w:r>
              <w:rPr>
                <w:rFonts w:hint="eastAsia"/>
                <w:b/>
                <w:bCs/>
                <w:lang w:val="en-US" w:eastAsia="zh-CN"/>
              </w:rPr>
              <w:t>系统整合与业务协同</w:t>
            </w:r>
            <w:bookmarkEnd w:id="5"/>
          </w:p>
          <w:p w14:paraId="2373604F">
            <w:pPr>
              <w:rPr>
                <w:rFonts w:hint="eastAsia"/>
                <w:color w:val="auto"/>
                <w:highlight w:val="none"/>
                <w:lang w:val="en-US" w:eastAsia="zh-CN"/>
              </w:rPr>
            </w:pPr>
            <w:r>
              <w:rPr>
                <w:rFonts w:hint="eastAsia"/>
                <w:color w:val="auto"/>
                <w:highlight w:val="none"/>
                <w:lang w:eastAsia="zh-CN"/>
              </w:rPr>
              <w:t>本项目主要涉及以下</w:t>
            </w:r>
            <w:r>
              <w:rPr>
                <w:rFonts w:hint="eastAsia"/>
                <w:color w:val="auto"/>
                <w:highlight w:val="none"/>
                <w:lang w:val="en-US" w:eastAsia="zh-CN"/>
              </w:rPr>
              <w:t>10个系统的整合和调整：</w:t>
            </w:r>
          </w:p>
          <w:p w14:paraId="20579251">
            <w:pPr>
              <w:numPr>
                <w:ilvl w:val="0"/>
                <w:numId w:val="0"/>
              </w:numPr>
              <w:ind w:firstLine="420" w:firstLineChars="0"/>
              <w:rPr>
                <w:rFonts w:hint="default" w:eastAsia="宋体"/>
                <w:color w:val="auto"/>
                <w:highlight w:val="none"/>
                <w:lang w:val="en-US" w:eastAsia="zh-CN"/>
              </w:rPr>
            </w:pPr>
            <w:r>
              <w:rPr>
                <w:rFonts w:hint="default" w:eastAsia="宋体" w:asciiTheme="minorHAnsi" w:hAnsiTheme="minorHAnsi" w:cstheme="minorBidi"/>
                <w:color w:val="auto"/>
                <w:kern w:val="2"/>
                <w:sz w:val="21"/>
                <w:szCs w:val="24"/>
                <w:lang w:val="en-US" w:eastAsia="zh-CN" w:bidi="ar-SA"/>
              </w:rPr>
              <w:t>1.</w:t>
            </w:r>
            <w:r>
              <w:rPr>
                <w:rFonts w:hint="eastAsia"/>
                <w:color w:val="auto"/>
                <w:highlight w:val="none"/>
                <w:lang w:val="en-US" w:eastAsia="zh-CN"/>
              </w:rPr>
              <w:t>佛山市气象官网、佛山市突发事件预警信息发布管理系统、气象数据传输处理系统、水利、国土、气象数据共享平台、基于服务总线的气象信息传输处理系统、佛山市易燃易爆危险化学品重点场所防雷设施在线安全监测系统和佛山市龙卷风监测系统共7个系统计划整合至佛山市精细气象服务系统；</w:t>
            </w:r>
          </w:p>
          <w:p w14:paraId="23E19EE2">
            <w:pPr>
              <w:numPr>
                <w:ilvl w:val="0"/>
                <w:numId w:val="0"/>
              </w:numPr>
              <w:ind w:firstLine="420" w:firstLineChars="0"/>
              <w:rPr>
                <w:rFonts w:hint="default" w:eastAsia="宋体"/>
                <w:color w:val="auto"/>
                <w:highlight w:val="none"/>
                <w:lang w:val="en-US" w:eastAsia="zh-CN"/>
              </w:rPr>
            </w:pPr>
            <w:r>
              <w:rPr>
                <w:rFonts w:hint="default" w:eastAsia="宋体" w:asciiTheme="minorHAnsi" w:hAnsiTheme="minorHAnsi" w:cstheme="minorBidi"/>
                <w:color w:val="auto"/>
                <w:kern w:val="2"/>
                <w:sz w:val="21"/>
                <w:szCs w:val="24"/>
                <w:lang w:val="en-US" w:eastAsia="zh-CN" w:bidi="ar-SA"/>
              </w:rPr>
              <w:t>2.</w:t>
            </w:r>
            <w:r>
              <w:rPr>
                <w:rFonts w:hint="eastAsia"/>
                <w:color w:val="auto"/>
                <w:highlight w:val="none"/>
                <w:lang w:val="en-US" w:eastAsia="zh-CN"/>
              </w:rPr>
              <w:t>佛山市智慧气象电视门户计划整合至广电媒资系统；</w:t>
            </w:r>
          </w:p>
          <w:p w14:paraId="74BE24EC">
            <w:pPr>
              <w:numPr>
                <w:ilvl w:val="0"/>
                <w:numId w:val="0"/>
              </w:numPr>
              <w:ind w:firstLine="420" w:firstLineChars="0"/>
              <w:rPr>
                <w:rFonts w:hint="default" w:eastAsia="宋体"/>
                <w:color w:val="auto"/>
                <w:highlight w:val="none"/>
                <w:lang w:val="en-US" w:eastAsia="zh-CN"/>
              </w:rPr>
            </w:pPr>
            <w:r>
              <w:rPr>
                <w:rFonts w:hint="default" w:eastAsia="宋体" w:asciiTheme="minorHAnsi" w:hAnsiTheme="minorHAnsi" w:cstheme="minorBidi"/>
                <w:color w:val="auto"/>
                <w:kern w:val="2"/>
                <w:sz w:val="21"/>
                <w:szCs w:val="24"/>
                <w:lang w:val="en-US" w:eastAsia="zh-CN" w:bidi="ar-SA"/>
              </w:rPr>
              <w:t>3.</w:t>
            </w:r>
            <w:r>
              <w:rPr>
                <w:rFonts w:hint="eastAsia"/>
                <w:color w:val="auto"/>
                <w:highlight w:val="none"/>
                <w:lang w:val="en-US" w:eastAsia="zh-CN"/>
              </w:rPr>
              <w:t>智慧气象预警发布系统计划整合至省气象局内部系统。</w:t>
            </w:r>
          </w:p>
          <w:p w14:paraId="10513DA0">
            <w:pPr>
              <w:numPr>
                <w:ilvl w:val="0"/>
                <w:numId w:val="0"/>
              </w:numPr>
              <w:ind w:firstLine="420" w:firstLineChars="0"/>
              <w:rPr>
                <w:rFonts w:hint="default" w:eastAsia="宋体"/>
                <w:color w:val="auto"/>
                <w:highlight w:val="none"/>
                <w:lang w:val="en-US" w:eastAsia="zh-CN"/>
              </w:rPr>
            </w:pPr>
            <w:r>
              <w:rPr>
                <w:rFonts w:hint="default" w:eastAsia="宋体" w:asciiTheme="minorHAnsi" w:hAnsiTheme="minorHAnsi" w:cstheme="minorBidi"/>
                <w:color w:val="auto"/>
                <w:kern w:val="2"/>
                <w:sz w:val="21"/>
                <w:szCs w:val="24"/>
                <w:lang w:val="en-US" w:eastAsia="zh-CN" w:bidi="ar-SA"/>
              </w:rPr>
              <w:t>4.</w:t>
            </w:r>
            <w:r>
              <w:rPr>
                <w:rFonts w:hint="eastAsia"/>
                <w:color w:val="auto"/>
                <w:highlight w:val="none"/>
                <w:lang w:val="en-US" w:eastAsia="zh-CN"/>
              </w:rPr>
              <w:t>佛山市防雷安全监管信息化平台已下线。具体整合计划如下表所示：</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4263"/>
              <w:gridCol w:w="1669"/>
            </w:tblGrid>
            <w:tr w14:paraId="55F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14:paraId="481D85FA">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3280" w:type="pct"/>
                  <w:noWrap w:val="0"/>
                  <w:vAlign w:val="center"/>
                </w:tcPr>
                <w:p w14:paraId="440EC17D">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系统名称</w:t>
                  </w:r>
                </w:p>
              </w:tc>
              <w:tc>
                <w:tcPr>
                  <w:tcW w:w="1284" w:type="pct"/>
                  <w:noWrap w:val="0"/>
                  <w:vAlign w:val="center"/>
                </w:tcPr>
                <w:p w14:paraId="6B3251D5">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改造计划</w:t>
                  </w:r>
                </w:p>
              </w:tc>
            </w:tr>
            <w:tr w14:paraId="4059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4" w:type="pct"/>
                  <w:noWrap w:val="0"/>
                  <w:vAlign w:val="top"/>
                </w:tcPr>
                <w:p w14:paraId="3F65690B">
                  <w:pPr>
                    <w:widowControl/>
                    <w:jc w:val="center"/>
                    <w:textAlignment w:val="top"/>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3280" w:type="pct"/>
                  <w:noWrap w:val="0"/>
                  <w:vAlign w:val="top"/>
                </w:tcPr>
                <w:p w14:paraId="4AA718A3">
                  <w:pPr>
                    <w:widowControl/>
                    <w:jc w:val="center"/>
                    <w:textAlignment w:val="top"/>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佛山市气象官网</w:t>
                  </w:r>
                </w:p>
              </w:tc>
              <w:tc>
                <w:tcPr>
                  <w:tcW w:w="1284" w:type="pct"/>
                  <w:vMerge w:val="restart"/>
                  <w:noWrap w:val="0"/>
                  <w:vAlign w:val="center"/>
                </w:tcPr>
                <w:p w14:paraId="3F5245D5">
                  <w:pPr>
                    <w:widowControl/>
                    <w:jc w:val="center"/>
                    <w:textAlignment w:val="top"/>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整合至佛山市精细气象服务系统</w:t>
                  </w:r>
                </w:p>
              </w:tc>
            </w:tr>
            <w:tr w14:paraId="44C3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4" w:type="pct"/>
                  <w:noWrap w:val="0"/>
                  <w:vAlign w:val="top"/>
                </w:tcPr>
                <w:p w14:paraId="6F9660D1">
                  <w:pPr>
                    <w:widowControl/>
                    <w:jc w:val="center"/>
                    <w:textAlignment w:val="top"/>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w:t>
                  </w:r>
                </w:p>
              </w:tc>
              <w:tc>
                <w:tcPr>
                  <w:tcW w:w="3280" w:type="pct"/>
                  <w:shd w:val="clear" w:color="auto" w:fill="auto"/>
                  <w:noWrap w:val="0"/>
                  <w:vAlign w:val="top"/>
                </w:tcPr>
                <w:p w14:paraId="20AD81EA">
                  <w:pPr>
                    <w:widowControl/>
                    <w:jc w:val="center"/>
                    <w:textAlignment w:val="top"/>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佛山市突发事件预警信息发布管理系统</w:t>
                  </w:r>
                </w:p>
              </w:tc>
              <w:tc>
                <w:tcPr>
                  <w:tcW w:w="1284" w:type="pct"/>
                  <w:vMerge w:val="continue"/>
                  <w:noWrap w:val="0"/>
                  <w:vAlign w:val="top"/>
                </w:tcPr>
                <w:p w14:paraId="27AE8D83">
                  <w:pPr>
                    <w:widowControl/>
                    <w:jc w:val="center"/>
                    <w:textAlignment w:val="top"/>
                    <w:rPr>
                      <w:rFonts w:ascii="宋体" w:hAnsi="宋体" w:cs="宋体"/>
                      <w:color w:val="auto"/>
                      <w:sz w:val="18"/>
                      <w:szCs w:val="18"/>
                      <w:highlight w:val="none"/>
                    </w:rPr>
                  </w:pPr>
                </w:p>
              </w:tc>
            </w:tr>
            <w:tr w14:paraId="1B1B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434" w:type="pct"/>
                  <w:noWrap w:val="0"/>
                  <w:vAlign w:val="top"/>
                </w:tcPr>
                <w:p w14:paraId="14691524">
                  <w:pPr>
                    <w:widowControl/>
                    <w:jc w:val="center"/>
                    <w:textAlignment w:val="top"/>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w:t>
                  </w:r>
                </w:p>
              </w:tc>
              <w:tc>
                <w:tcPr>
                  <w:tcW w:w="3280" w:type="pct"/>
                  <w:shd w:val="clear" w:color="auto" w:fill="auto"/>
                  <w:noWrap w:val="0"/>
                  <w:vAlign w:val="top"/>
                </w:tcPr>
                <w:p w14:paraId="4E7832FB">
                  <w:pPr>
                    <w:widowControl/>
                    <w:jc w:val="center"/>
                    <w:textAlignment w:val="top"/>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气象数据传输处理系统</w:t>
                  </w:r>
                </w:p>
              </w:tc>
              <w:tc>
                <w:tcPr>
                  <w:tcW w:w="1284" w:type="pct"/>
                  <w:vMerge w:val="continue"/>
                  <w:noWrap w:val="0"/>
                  <w:vAlign w:val="top"/>
                </w:tcPr>
                <w:p w14:paraId="75B274AB">
                  <w:pPr>
                    <w:widowControl/>
                    <w:jc w:val="center"/>
                    <w:textAlignment w:val="top"/>
                    <w:rPr>
                      <w:rFonts w:ascii="宋体" w:hAnsi="宋体" w:eastAsia="宋体" w:cs="宋体"/>
                      <w:color w:val="auto"/>
                      <w:kern w:val="2"/>
                      <w:sz w:val="18"/>
                      <w:szCs w:val="18"/>
                      <w:highlight w:val="none"/>
                      <w:lang w:val="en-US" w:eastAsia="zh-CN" w:bidi="ar-SA"/>
                    </w:rPr>
                  </w:pPr>
                </w:p>
              </w:tc>
            </w:tr>
            <w:tr w14:paraId="66BC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4" w:type="pct"/>
                  <w:noWrap w:val="0"/>
                  <w:vAlign w:val="top"/>
                </w:tcPr>
                <w:p w14:paraId="223E0C06">
                  <w:pPr>
                    <w:widowControl/>
                    <w:jc w:val="center"/>
                    <w:textAlignment w:val="top"/>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w:t>
                  </w:r>
                </w:p>
              </w:tc>
              <w:tc>
                <w:tcPr>
                  <w:tcW w:w="3280" w:type="pct"/>
                  <w:shd w:val="clear" w:color="auto" w:fill="auto"/>
                  <w:noWrap w:val="0"/>
                  <w:vAlign w:val="top"/>
                </w:tcPr>
                <w:p w14:paraId="2D120D4C">
                  <w:pPr>
                    <w:widowControl/>
                    <w:jc w:val="center"/>
                    <w:textAlignment w:val="top"/>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水利、国土、气象数据共享平台</w:t>
                  </w:r>
                </w:p>
              </w:tc>
              <w:tc>
                <w:tcPr>
                  <w:tcW w:w="1284" w:type="pct"/>
                  <w:vMerge w:val="continue"/>
                  <w:noWrap w:val="0"/>
                  <w:vAlign w:val="top"/>
                </w:tcPr>
                <w:p w14:paraId="61B4FF28">
                  <w:pPr>
                    <w:widowControl/>
                    <w:jc w:val="center"/>
                    <w:textAlignment w:val="top"/>
                    <w:rPr>
                      <w:rFonts w:ascii="宋体" w:hAnsi="宋体" w:eastAsia="宋体" w:cs="宋体"/>
                      <w:color w:val="auto"/>
                      <w:kern w:val="2"/>
                      <w:sz w:val="18"/>
                      <w:szCs w:val="18"/>
                      <w:highlight w:val="none"/>
                      <w:lang w:val="en-US" w:eastAsia="zh-CN" w:bidi="ar-SA"/>
                    </w:rPr>
                  </w:pPr>
                </w:p>
              </w:tc>
            </w:tr>
            <w:tr w14:paraId="58A4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4" w:type="pct"/>
                  <w:noWrap w:val="0"/>
                  <w:vAlign w:val="top"/>
                </w:tcPr>
                <w:p w14:paraId="52AD96D3">
                  <w:pPr>
                    <w:widowControl/>
                    <w:jc w:val="center"/>
                    <w:textAlignment w:val="top"/>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5</w:t>
                  </w:r>
                </w:p>
              </w:tc>
              <w:tc>
                <w:tcPr>
                  <w:tcW w:w="3280" w:type="pct"/>
                  <w:shd w:val="clear" w:color="auto" w:fill="auto"/>
                  <w:noWrap w:val="0"/>
                  <w:vAlign w:val="top"/>
                </w:tcPr>
                <w:p w14:paraId="66CE9E50">
                  <w:pPr>
                    <w:widowControl/>
                    <w:jc w:val="center"/>
                    <w:textAlignment w:val="top"/>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基于服务总线的气象信息传输处理系统</w:t>
                  </w:r>
                </w:p>
              </w:tc>
              <w:tc>
                <w:tcPr>
                  <w:tcW w:w="1284" w:type="pct"/>
                  <w:vMerge w:val="continue"/>
                  <w:noWrap w:val="0"/>
                  <w:vAlign w:val="top"/>
                </w:tcPr>
                <w:p w14:paraId="6592E263">
                  <w:pPr>
                    <w:widowControl/>
                    <w:jc w:val="center"/>
                    <w:textAlignment w:val="top"/>
                    <w:rPr>
                      <w:rFonts w:ascii="宋体" w:hAnsi="宋体" w:eastAsia="宋体" w:cs="宋体"/>
                      <w:color w:val="auto"/>
                      <w:kern w:val="2"/>
                      <w:sz w:val="18"/>
                      <w:szCs w:val="18"/>
                      <w:highlight w:val="none"/>
                      <w:lang w:val="en-US" w:eastAsia="zh-CN" w:bidi="ar-SA"/>
                    </w:rPr>
                  </w:pPr>
                </w:p>
              </w:tc>
            </w:tr>
            <w:tr w14:paraId="68DF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4" w:type="pct"/>
                  <w:noWrap w:val="0"/>
                  <w:vAlign w:val="top"/>
                </w:tcPr>
                <w:p w14:paraId="21EDE222">
                  <w:pPr>
                    <w:widowControl/>
                    <w:jc w:val="center"/>
                    <w:textAlignment w:val="top"/>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6</w:t>
                  </w:r>
                </w:p>
              </w:tc>
              <w:tc>
                <w:tcPr>
                  <w:tcW w:w="3280" w:type="pct"/>
                  <w:shd w:val="clear" w:color="auto" w:fill="auto"/>
                  <w:noWrap w:val="0"/>
                  <w:vAlign w:val="top"/>
                </w:tcPr>
                <w:p w14:paraId="44C1C4FD">
                  <w:pPr>
                    <w:widowControl/>
                    <w:jc w:val="center"/>
                    <w:textAlignment w:val="top"/>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佛山市易燃易爆危险化学品重点场所防雷设施在线安全监测系统</w:t>
                  </w:r>
                </w:p>
              </w:tc>
              <w:tc>
                <w:tcPr>
                  <w:tcW w:w="1284" w:type="pct"/>
                  <w:vMerge w:val="continue"/>
                  <w:noWrap w:val="0"/>
                  <w:vAlign w:val="top"/>
                </w:tcPr>
                <w:p w14:paraId="5C349B12">
                  <w:pPr>
                    <w:widowControl/>
                    <w:jc w:val="center"/>
                    <w:textAlignment w:val="top"/>
                    <w:rPr>
                      <w:rFonts w:ascii="宋体" w:hAnsi="宋体" w:eastAsia="宋体" w:cs="宋体"/>
                      <w:color w:val="auto"/>
                      <w:kern w:val="2"/>
                      <w:sz w:val="18"/>
                      <w:szCs w:val="18"/>
                      <w:highlight w:val="none"/>
                      <w:lang w:val="en-US" w:eastAsia="zh-CN" w:bidi="ar-SA"/>
                    </w:rPr>
                  </w:pPr>
                </w:p>
              </w:tc>
            </w:tr>
            <w:tr w14:paraId="09CD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4" w:type="pct"/>
                  <w:shd w:val="clear" w:color="auto" w:fill="auto"/>
                  <w:noWrap w:val="0"/>
                  <w:vAlign w:val="top"/>
                </w:tcPr>
                <w:p w14:paraId="58376B55">
                  <w:pPr>
                    <w:widowControl/>
                    <w:jc w:val="center"/>
                    <w:textAlignment w:val="top"/>
                    <w:rPr>
                      <w:rFonts w:hint="eastAsia" w:ascii="Times New Roman" w:hAnsi="Times New Roman" w:eastAsia="宋体" w:cs="Times New Roman"/>
                      <w:color w:val="auto"/>
                      <w:kern w:val="0"/>
                      <w:sz w:val="18"/>
                      <w:szCs w:val="18"/>
                      <w:highlight w:val="none"/>
                      <w:lang w:val="en-US" w:eastAsia="zh-CN" w:bidi="ar"/>
                    </w:rPr>
                  </w:pPr>
                  <w:r>
                    <w:rPr>
                      <w:rFonts w:hint="eastAsia"/>
                      <w:color w:val="auto"/>
                      <w:kern w:val="0"/>
                      <w:sz w:val="18"/>
                      <w:szCs w:val="18"/>
                      <w:highlight w:val="none"/>
                      <w:lang w:val="en-US" w:eastAsia="zh-CN" w:bidi="ar"/>
                    </w:rPr>
                    <w:t>7</w:t>
                  </w:r>
                </w:p>
              </w:tc>
              <w:tc>
                <w:tcPr>
                  <w:tcW w:w="3280" w:type="pct"/>
                  <w:shd w:val="clear" w:color="auto" w:fill="auto"/>
                  <w:noWrap w:val="0"/>
                  <w:vAlign w:val="top"/>
                </w:tcPr>
                <w:p w14:paraId="2F4CEF1D">
                  <w:pPr>
                    <w:widowControl/>
                    <w:jc w:val="center"/>
                    <w:textAlignment w:val="top"/>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佛山市龙卷风监测系统</w:t>
                  </w:r>
                </w:p>
              </w:tc>
              <w:tc>
                <w:tcPr>
                  <w:tcW w:w="1284" w:type="pct"/>
                  <w:vMerge w:val="continue"/>
                  <w:noWrap w:val="0"/>
                  <w:vAlign w:val="top"/>
                </w:tcPr>
                <w:p w14:paraId="68056477">
                  <w:pPr>
                    <w:widowControl/>
                    <w:jc w:val="center"/>
                    <w:textAlignment w:val="top"/>
                    <w:rPr>
                      <w:rFonts w:ascii="宋体" w:hAnsi="宋体" w:eastAsia="宋体" w:cs="宋体"/>
                      <w:color w:val="auto"/>
                      <w:kern w:val="2"/>
                      <w:sz w:val="18"/>
                      <w:szCs w:val="18"/>
                      <w:highlight w:val="none"/>
                      <w:lang w:val="en-US" w:eastAsia="zh-CN" w:bidi="ar-SA"/>
                    </w:rPr>
                  </w:pPr>
                </w:p>
              </w:tc>
            </w:tr>
            <w:tr w14:paraId="4762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4" w:type="pct"/>
                  <w:shd w:val="clear" w:color="auto" w:fill="auto"/>
                  <w:noWrap w:val="0"/>
                  <w:vAlign w:val="top"/>
                </w:tcPr>
                <w:p w14:paraId="6236C60D">
                  <w:pPr>
                    <w:widowControl/>
                    <w:jc w:val="center"/>
                    <w:textAlignment w:val="top"/>
                    <w:rPr>
                      <w:rFonts w:hint="eastAsia" w:ascii="Times New Roman" w:hAnsi="Times New Roman" w:eastAsia="宋体" w:cs="Times New Roman"/>
                      <w:color w:val="auto"/>
                      <w:kern w:val="0"/>
                      <w:sz w:val="18"/>
                      <w:szCs w:val="18"/>
                      <w:highlight w:val="none"/>
                      <w:lang w:val="en-US" w:eastAsia="zh-CN" w:bidi="ar"/>
                    </w:rPr>
                  </w:pPr>
                  <w:r>
                    <w:rPr>
                      <w:rFonts w:hint="eastAsia"/>
                      <w:color w:val="auto"/>
                      <w:kern w:val="0"/>
                      <w:sz w:val="18"/>
                      <w:szCs w:val="18"/>
                      <w:highlight w:val="none"/>
                      <w:lang w:val="en-US" w:eastAsia="zh-CN" w:bidi="ar"/>
                    </w:rPr>
                    <w:t>8</w:t>
                  </w:r>
                </w:p>
              </w:tc>
              <w:tc>
                <w:tcPr>
                  <w:tcW w:w="3280" w:type="pct"/>
                  <w:noWrap w:val="0"/>
                  <w:vAlign w:val="top"/>
                </w:tcPr>
                <w:p w14:paraId="337D3617">
                  <w:pPr>
                    <w:widowControl/>
                    <w:jc w:val="center"/>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佛山市智慧气象电视门户</w:t>
                  </w:r>
                </w:p>
              </w:tc>
              <w:tc>
                <w:tcPr>
                  <w:tcW w:w="1284" w:type="pct"/>
                  <w:noWrap w:val="0"/>
                  <w:vAlign w:val="top"/>
                </w:tcPr>
                <w:p w14:paraId="2C9A65F5">
                  <w:pPr>
                    <w:widowControl/>
                    <w:jc w:val="center"/>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整合至广电媒资系统</w:t>
                  </w:r>
                </w:p>
              </w:tc>
            </w:tr>
            <w:tr w14:paraId="5C9A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4" w:type="pct"/>
                  <w:shd w:val="clear" w:color="auto" w:fill="auto"/>
                  <w:noWrap w:val="0"/>
                  <w:vAlign w:val="top"/>
                </w:tcPr>
                <w:p w14:paraId="3B20BF31">
                  <w:pPr>
                    <w:widowControl/>
                    <w:jc w:val="center"/>
                    <w:textAlignment w:val="top"/>
                    <w:rPr>
                      <w:rFonts w:hint="eastAsia" w:ascii="Times New Roman" w:hAnsi="Times New Roman" w:eastAsia="宋体" w:cs="Times New Roman"/>
                      <w:color w:val="auto"/>
                      <w:kern w:val="0"/>
                      <w:sz w:val="18"/>
                      <w:szCs w:val="18"/>
                      <w:highlight w:val="none"/>
                      <w:lang w:val="en-US" w:eastAsia="zh-CN" w:bidi="ar"/>
                    </w:rPr>
                  </w:pPr>
                  <w:r>
                    <w:rPr>
                      <w:rFonts w:hint="eastAsia"/>
                      <w:color w:val="auto"/>
                      <w:kern w:val="0"/>
                      <w:sz w:val="18"/>
                      <w:szCs w:val="18"/>
                      <w:highlight w:val="none"/>
                      <w:lang w:val="en-US" w:eastAsia="zh-CN" w:bidi="ar"/>
                    </w:rPr>
                    <w:t>9</w:t>
                  </w:r>
                </w:p>
              </w:tc>
              <w:tc>
                <w:tcPr>
                  <w:tcW w:w="3280" w:type="pct"/>
                  <w:noWrap w:val="0"/>
                  <w:vAlign w:val="top"/>
                </w:tcPr>
                <w:p w14:paraId="0C2B8D9C">
                  <w:pPr>
                    <w:widowControl/>
                    <w:jc w:val="center"/>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智慧气象预警发布系统（</w:t>
                  </w:r>
                  <w:r>
                    <w:rPr>
                      <w:rFonts w:ascii="Times New Roman" w:hAnsi="Times New Roman"/>
                      <w:color w:val="auto"/>
                      <w:kern w:val="0"/>
                      <w:sz w:val="18"/>
                      <w:szCs w:val="18"/>
                      <w:highlight w:val="none"/>
                      <w:lang w:bidi="ar"/>
                    </w:rPr>
                    <w:t>LCD</w:t>
                  </w:r>
                  <w:r>
                    <w:rPr>
                      <w:rFonts w:hint="eastAsia" w:ascii="宋体" w:hAnsi="宋体" w:cs="宋体"/>
                      <w:color w:val="auto"/>
                      <w:kern w:val="0"/>
                      <w:sz w:val="18"/>
                      <w:szCs w:val="18"/>
                      <w:highlight w:val="none"/>
                      <w:lang w:bidi="ar"/>
                    </w:rPr>
                    <w:t>气象信息显示屏系统）</w:t>
                  </w:r>
                </w:p>
              </w:tc>
              <w:tc>
                <w:tcPr>
                  <w:tcW w:w="1284" w:type="pct"/>
                  <w:noWrap w:val="0"/>
                  <w:vAlign w:val="center"/>
                </w:tcPr>
                <w:p w14:paraId="6F6C5DED">
                  <w:pPr>
                    <w:widowControl/>
                    <w:jc w:val="center"/>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整合至省</w:t>
                  </w:r>
                  <w:r>
                    <w:rPr>
                      <w:rFonts w:hint="eastAsia" w:ascii="宋体" w:hAnsi="宋体" w:cs="宋体"/>
                      <w:color w:val="auto"/>
                      <w:kern w:val="0"/>
                      <w:sz w:val="18"/>
                      <w:szCs w:val="18"/>
                      <w:highlight w:val="none"/>
                      <w:lang w:eastAsia="zh-CN" w:bidi="ar"/>
                    </w:rPr>
                    <w:t>气象</w:t>
                  </w:r>
                  <w:r>
                    <w:rPr>
                      <w:rFonts w:hint="eastAsia" w:ascii="宋体" w:hAnsi="宋体" w:cs="宋体"/>
                      <w:color w:val="auto"/>
                      <w:kern w:val="0"/>
                      <w:sz w:val="18"/>
                      <w:szCs w:val="18"/>
                      <w:highlight w:val="none"/>
                      <w:lang w:bidi="ar"/>
                    </w:rPr>
                    <w:t>局系统</w:t>
                  </w:r>
                </w:p>
              </w:tc>
            </w:tr>
            <w:tr w14:paraId="4D8C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4" w:type="pct"/>
                  <w:shd w:val="clear" w:color="auto" w:fill="auto"/>
                  <w:noWrap w:val="0"/>
                  <w:vAlign w:val="top"/>
                </w:tcPr>
                <w:p w14:paraId="487E4C3F">
                  <w:pPr>
                    <w:widowControl/>
                    <w:jc w:val="center"/>
                    <w:textAlignment w:val="top"/>
                    <w:rPr>
                      <w:rFonts w:hint="eastAsia" w:ascii="Times New Roman" w:hAnsi="Times New Roman" w:eastAsia="宋体" w:cs="Times New Roman"/>
                      <w:color w:val="auto"/>
                      <w:kern w:val="0"/>
                      <w:sz w:val="18"/>
                      <w:szCs w:val="18"/>
                      <w:highlight w:val="none"/>
                      <w:lang w:val="en-US" w:eastAsia="zh-CN" w:bidi="ar"/>
                    </w:rPr>
                  </w:pPr>
                  <w:r>
                    <w:rPr>
                      <w:rFonts w:hint="eastAsia" w:ascii="Times New Roman" w:hAnsi="Times New Roman"/>
                      <w:color w:val="auto"/>
                      <w:kern w:val="0"/>
                      <w:sz w:val="18"/>
                      <w:szCs w:val="18"/>
                      <w:highlight w:val="none"/>
                      <w:lang w:val="en-US" w:eastAsia="zh-CN" w:bidi="ar"/>
                    </w:rPr>
                    <w:t>10</w:t>
                  </w:r>
                </w:p>
              </w:tc>
              <w:tc>
                <w:tcPr>
                  <w:tcW w:w="3280" w:type="pct"/>
                  <w:noWrap w:val="0"/>
                  <w:vAlign w:val="top"/>
                </w:tcPr>
                <w:p w14:paraId="3730C757">
                  <w:pPr>
                    <w:widowControl/>
                    <w:jc w:val="center"/>
                    <w:textAlignment w:val="top"/>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佛山市防雷安全监管信息化平台</w:t>
                  </w:r>
                </w:p>
              </w:tc>
              <w:tc>
                <w:tcPr>
                  <w:tcW w:w="1284" w:type="pct"/>
                  <w:noWrap w:val="0"/>
                  <w:vAlign w:val="top"/>
                </w:tcPr>
                <w:p w14:paraId="324DF365">
                  <w:pPr>
                    <w:widowControl/>
                    <w:jc w:val="center"/>
                    <w:textAlignment w:val="top"/>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已下线</w:t>
                  </w:r>
                </w:p>
              </w:tc>
            </w:tr>
          </w:tbl>
          <w:p w14:paraId="32B7254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对于佛山市精细气象服务系统，数据采集与共享子系统整合了气象数据传输处理系统、基于服务总线的气象信息传输处理系统以及水利、国土、气象数据共享平台的原有相关功能；公众服务子系统整合了佛山市气象官网的原有相关功能；决策服务子系统整合了佛山市突发事件预警信息发布管理系统、佛山市易燃易爆危险化学品重点场所防雷设施在线安全监测系统、佛山市龙卷风监测系统的原有相关功能。</w:t>
            </w:r>
          </w:p>
          <w:p w14:paraId="1C22EBA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佛山市精细气象服务系统与粤政易进行业务协同，系统中的决策服务子系统以应用的方式集成于粤政易工作台中，并通过省统一身份认证平台，用粤政易账号进行登录。</w:t>
            </w:r>
          </w:p>
          <w:p w14:paraId="10FB165B">
            <w:pPr>
              <w:pStyle w:val="12"/>
              <w:ind w:firstLine="400" w:firstLineChars="200"/>
              <w:rPr>
                <w:rFonts w:hint="default"/>
                <w:b/>
                <w:bCs/>
                <w:lang w:val="en-US" w:eastAsia="zh-CN"/>
              </w:rPr>
            </w:pPr>
            <w:r>
              <w:rPr>
                <w:rFonts w:hint="eastAsia"/>
                <w:color w:val="auto"/>
                <w:highlight w:val="none"/>
                <w:lang w:val="en-US" w:eastAsia="zh-CN"/>
              </w:rPr>
              <w:t>佛山市精细气象服务系统将通过数据采集与共享子系统向省“一网共享”平台及</w:t>
            </w:r>
            <w:r>
              <w:rPr>
                <w:rFonts w:hint="eastAsia"/>
                <w:highlight w:val="none"/>
                <w:lang w:val="en-US" w:eastAsia="zh-CN"/>
              </w:rPr>
              <w:t>市政务服务和数据管理局、自然资源局、水务局、文广旅体局等</w:t>
            </w:r>
            <w:r>
              <w:rPr>
                <w:rFonts w:hint="eastAsia"/>
                <w:color w:val="auto"/>
                <w:highlight w:val="none"/>
                <w:lang w:val="en-US" w:eastAsia="zh-CN"/>
              </w:rPr>
              <w:t>等外部门提供数据接口服务。</w:t>
            </w:r>
          </w:p>
        </w:tc>
      </w:tr>
      <w:tr w14:paraId="403F5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14909626"/>
        </w:tc>
        <w:tc>
          <w:tcPr>
            <w:tcW w:w="828" w:type="dxa"/>
          </w:tcPr>
          <w:p w14:paraId="13780CBA">
            <w:pPr>
              <w:pStyle w:val="12"/>
              <w:jc w:val="center"/>
              <w:rPr>
                <w:rFonts w:hint="eastAsia" w:eastAsiaTheme="minorEastAsia"/>
                <w:lang w:val="en-US" w:eastAsia="zh-CN"/>
              </w:rPr>
            </w:pPr>
            <w:r>
              <w:rPr>
                <w:rFonts w:hint="eastAsia"/>
                <w:lang w:val="en-US" w:eastAsia="zh-CN"/>
              </w:rPr>
              <w:t>6</w:t>
            </w:r>
          </w:p>
        </w:tc>
        <w:tc>
          <w:tcPr>
            <w:tcW w:w="6644" w:type="dxa"/>
          </w:tcPr>
          <w:p w14:paraId="36A2A335">
            <w:pPr>
              <w:pStyle w:val="12"/>
              <w:rPr>
                <w:rFonts w:hint="eastAsia"/>
                <w:b/>
                <w:bCs/>
                <w:lang w:val="en-US" w:eastAsia="zh-CN"/>
              </w:rPr>
            </w:pPr>
            <w:bookmarkStart w:id="6" w:name="_Toc1327310058"/>
            <w:r>
              <w:rPr>
                <w:rFonts w:hint="eastAsia"/>
                <w:b/>
                <w:bCs/>
                <w:lang w:val="en-US" w:eastAsia="zh-CN"/>
              </w:rPr>
              <w:t>六、</w:t>
            </w:r>
            <w:bookmarkEnd w:id="6"/>
            <w:bookmarkStart w:id="7" w:name="_Toc792579553"/>
            <w:r>
              <w:rPr>
                <w:rFonts w:hint="eastAsia"/>
                <w:b/>
                <w:bCs/>
                <w:lang w:val="en-US" w:eastAsia="zh-CN"/>
              </w:rPr>
              <w:t>定制软件信创适配改造、重构服务</w:t>
            </w:r>
            <w:bookmarkEnd w:id="7"/>
          </w:p>
          <w:p w14:paraId="721519DF">
            <w:pPr>
              <w:pStyle w:val="12"/>
              <w:ind w:firstLine="400" w:firstLineChars="200"/>
              <w:rPr>
                <w:rFonts w:hint="eastAsia"/>
                <w:color w:val="auto"/>
                <w:highlight w:val="none"/>
                <w:lang w:val="en-US" w:eastAsia="zh-CN"/>
              </w:rPr>
            </w:pPr>
            <w:r>
              <w:rPr>
                <w:rFonts w:hint="eastAsia"/>
                <w:color w:val="auto"/>
                <w:highlight w:val="none"/>
                <w:lang w:val="en-US" w:eastAsia="zh-CN"/>
              </w:rPr>
              <w:t>针对</w:t>
            </w:r>
            <w:r>
              <w:rPr>
                <w:rFonts w:hint="default"/>
                <w:color w:val="auto"/>
                <w:highlight w:val="none"/>
                <w:lang w:val="en-US" w:eastAsia="zh-CN"/>
              </w:rPr>
              <w:t>佛山市气象官网、佛山市突发事件预警信息发布管理系统</w:t>
            </w:r>
            <w:r>
              <w:rPr>
                <w:rFonts w:hint="eastAsia"/>
                <w:color w:val="auto"/>
                <w:highlight w:val="none"/>
                <w:lang w:val="en-US" w:eastAsia="zh-CN"/>
              </w:rPr>
              <w:t>以及</w:t>
            </w:r>
            <w:r>
              <w:rPr>
                <w:rFonts w:hint="default"/>
                <w:color w:val="auto"/>
                <w:highlight w:val="none"/>
                <w:lang w:val="en-US" w:eastAsia="zh-CN"/>
              </w:rPr>
              <w:t>各气象业务信息系统等</w:t>
            </w:r>
            <w:r>
              <w:rPr>
                <w:rFonts w:hint="eastAsia"/>
                <w:color w:val="auto"/>
                <w:highlight w:val="none"/>
                <w:lang w:val="en-US" w:eastAsia="zh-CN"/>
              </w:rPr>
              <w:t>，对原有系统各模块通过重构，整合后成为集约化信创适配项目。</w:t>
            </w:r>
          </w:p>
        </w:tc>
      </w:tr>
      <w:tr w14:paraId="47A0F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22B7FEEE"/>
        </w:tc>
        <w:tc>
          <w:tcPr>
            <w:tcW w:w="828" w:type="dxa"/>
          </w:tcPr>
          <w:p w14:paraId="7001092F">
            <w:pPr>
              <w:pStyle w:val="12"/>
              <w:jc w:val="center"/>
              <w:rPr>
                <w:rFonts w:hint="eastAsia" w:eastAsiaTheme="minorEastAsia"/>
                <w:lang w:eastAsia="zh-CN"/>
              </w:rPr>
            </w:pPr>
            <w:r>
              <w:rPr>
                <w:rFonts w:hint="eastAsia"/>
                <w:lang w:val="en-US" w:eastAsia="zh-CN"/>
              </w:rPr>
              <w:t>7</w:t>
            </w:r>
          </w:p>
        </w:tc>
        <w:tc>
          <w:tcPr>
            <w:tcW w:w="6644" w:type="dxa"/>
          </w:tcPr>
          <w:p w14:paraId="17ED461A">
            <w:pPr>
              <w:pStyle w:val="12"/>
              <w:rPr>
                <w:rFonts w:hint="eastAsia"/>
                <w:b/>
                <w:bCs/>
                <w:color w:val="auto"/>
                <w:highlight w:val="none"/>
                <w:lang w:val="en-US" w:eastAsia="zh-CN"/>
              </w:rPr>
            </w:pPr>
            <w:bookmarkStart w:id="8" w:name="_Toc786054144"/>
            <w:r>
              <w:rPr>
                <w:rFonts w:hint="eastAsia"/>
                <w:b/>
                <w:bCs/>
                <w:color w:val="auto"/>
                <w:highlight w:val="none"/>
                <w:lang w:val="en-US" w:eastAsia="zh-CN"/>
              </w:rPr>
              <w:t>七、</w:t>
            </w:r>
            <w:r>
              <w:rPr>
                <w:rFonts w:hint="eastAsia"/>
                <w:b/>
                <w:bCs/>
                <w:color w:val="auto"/>
                <w:highlight w:val="none"/>
              </w:rPr>
              <w:t>网络安全等级</w:t>
            </w:r>
            <w:bookmarkEnd w:id="8"/>
            <w:r>
              <w:rPr>
                <w:rFonts w:hint="eastAsia"/>
                <w:b/>
                <w:bCs/>
                <w:color w:val="auto"/>
                <w:highlight w:val="none"/>
                <w:lang w:val="en-US" w:eastAsia="zh-CN"/>
              </w:rPr>
              <w:t>保护要求：</w:t>
            </w:r>
          </w:p>
          <w:p w14:paraId="47CD721A">
            <w:pPr>
              <w:pStyle w:val="12"/>
              <w:rPr>
                <w:rFonts w:hint="default" w:eastAsiaTheme="minorEastAsia"/>
                <w:lang w:val="en-US" w:eastAsia="zh-CN"/>
              </w:rPr>
            </w:pPr>
            <w:r>
              <w:rPr>
                <w:rFonts w:hint="eastAsia"/>
                <w:highlight w:val="none"/>
              </w:rPr>
              <w:t>网络安全等级</w:t>
            </w:r>
            <w:r>
              <w:rPr>
                <w:rFonts w:hint="eastAsia"/>
                <w:highlight w:val="none"/>
                <w:lang w:eastAsia="zh-CN"/>
              </w:rPr>
              <w:t>（</w:t>
            </w:r>
            <w:r>
              <w:rPr>
                <w:rFonts w:hint="eastAsia"/>
                <w:highlight w:val="none"/>
                <w:lang w:val="en-US" w:eastAsia="zh-CN"/>
              </w:rPr>
              <w:t>三级</w:t>
            </w:r>
            <w:r>
              <w:rPr>
                <w:rFonts w:hint="eastAsia"/>
                <w:highlight w:val="none"/>
                <w:lang w:eastAsia="zh-CN"/>
              </w:rPr>
              <w:t>）</w:t>
            </w:r>
            <w:r>
              <w:rPr>
                <w:rFonts w:hint="eastAsia"/>
                <w:highlight w:val="none"/>
              </w:rPr>
              <w:t>保护测评,验证信息系统是否满足相应安全保护</w:t>
            </w:r>
            <w:r>
              <w:rPr>
                <w:rFonts w:hint="eastAsia"/>
                <w:highlight w:val="none"/>
                <w:lang w:val="en-US" w:eastAsia="zh-CN"/>
              </w:rPr>
              <w:t>三</w:t>
            </w:r>
            <w:r>
              <w:rPr>
                <w:rFonts w:hint="eastAsia"/>
                <w:highlight w:val="none"/>
              </w:rPr>
              <w:t>级</w:t>
            </w:r>
          </w:p>
        </w:tc>
      </w:tr>
      <w:tr w14:paraId="5E6E2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5C81FC87"/>
        </w:tc>
        <w:tc>
          <w:tcPr>
            <w:tcW w:w="828" w:type="dxa"/>
          </w:tcPr>
          <w:p w14:paraId="43B8E6C9">
            <w:pPr>
              <w:pStyle w:val="12"/>
              <w:jc w:val="center"/>
              <w:rPr>
                <w:rFonts w:hint="eastAsia" w:eastAsiaTheme="minorEastAsia"/>
                <w:lang w:eastAsia="zh-CN"/>
              </w:rPr>
            </w:pPr>
            <w:r>
              <w:rPr>
                <w:rFonts w:hint="eastAsia"/>
                <w:lang w:val="en-US" w:eastAsia="zh-CN"/>
              </w:rPr>
              <w:t>8</w:t>
            </w:r>
          </w:p>
        </w:tc>
        <w:tc>
          <w:tcPr>
            <w:tcW w:w="6644" w:type="dxa"/>
          </w:tcPr>
          <w:p w14:paraId="690B5909">
            <w:pPr>
              <w:pStyle w:val="12"/>
              <w:jc w:val="left"/>
            </w:pPr>
            <w:r>
              <w:rPr>
                <w:rFonts w:hint="eastAsia"/>
                <w:b/>
                <w:sz w:val="21"/>
                <w:lang w:val="en-US" w:eastAsia="zh-CN"/>
              </w:rPr>
              <w:t>八</w:t>
            </w:r>
            <w:r>
              <w:rPr>
                <w:b/>
                <w:sz w:val="21"/>
              </w:rPr>
              <w:t>、投标现场演示：</w:t>
            </w:r>
          </w:p>
          <w:p w14:paraId="39BA033C">
            <w:pPr>
              <w:pStyle w:val="12"/>
              <w:jc w:val="left"/>
            </w:pPr>
            <w:r>
              <w:rPr>
                <w:sz w:val="21"/>
                <w:u w:val="single"/>
              </w:rPr>
              <w:t>可演示的供应商在投标当天需派不多于2名的团队，于开标前到达开标会现场（详细地址：佛山市禅城区石湾镇街道岭南大道北128号天禧华园一座八层）等候，在采购代理机构的通知下进行现场系统演示，未按时到达现场的供应商视为无条件放弃演示，本部分评分作不得分处理。</w:t>
            </w:r>
          </w:p>
          <w:p w14:paraId="0C1D0E12">
            <w:pPr>
              <w:pStyle w:val="12"/>
              <w:jc w:val="left"/>
            </w:pPr>
            <w:r>
              <w:rPr>
                <w:sz w:val="21"/>
                <w:u w:val="single"/>
              </w:rPr>
              <w:t>具体要求如下：</w:t>
            </w:r>
          </w:p>
          <w:p w14:paraId="7B0F0334">
            <w:pPr>
              <w:pStyle w:val="12"/>
              <w:jc w:val="left"/>
            </w:pPr>
            <w:r>
              <w:rPr>
                <w:sz w:val="21"/>
                <w:u w:val="single"/>
              </w:rPr>
              <w:t>1.演示方式为系统操作演示，不接受视频演示；</w:t>
            </w:r>
          </w:p>
          <w:p w14:paraId="36EAECC0">
            <w:pPr>
              <w:pStyle w:val="12"/>
              <w:jc w:val="left"/>
            </w:pPr>
            <w:r>
              <w:rPr>
                <w:sz w:val="21"/>
                <w:u w:val="single"/>
              </w:rPr>
              <w:t>2.演示过程所需的硬件设备由供应商自行准备，采购代理机构只提供投影设备；</w:t>
            </w:r>
          </w:p>
          <w:p w14:paraId="71A7EF93">
            <w:pPr>
              <w:pStyle w:val="12"/>
              <w:jc w:val="left"/>
            </w:pPr>
            <w:r>
              <w:rPr>
                <w:sz w:val="21"/>
                <w:u w:val="single"/>
              </w:rPr>
              <w:t>3.每个供应商进行系统演示的时间为15分钟以内；</w:t>
            </w:r>
          </w:p>
          <w:p w14:paraId="0EBE88A1">
            <w:pPr>
              <w:pStyle w:val="12"/>
              <w:jc w:val="left"/>
            </w:pPr>
            <w:r>
              <w:rPr>
                <w:sz w:val="21"/>
                <w:u w:val="single"/>
              </w:rPr>
              <w:t>4.演示顺序按递交投标文件的顺序依次进行；</w:t>
            </w:r>
          </w:p>
          <w:p w14:paraId="1B1F3378">
            <w:pPr>
              <w:pStyle w:val="12"/>
              <w:jc w:val="left"/>
            </w:pPr>
            <w:r>
              <w:rPr>
                <w:sz w:val="21"/>
                <w:u w:val="single"/>
              </w:rPr>
              <w:t>5.演示内容可参考“评审方法”中的内容。</w:t>
            </w:r>
          </w:p>
          <w:p w14:paraId="22936B03">
            <w:pPr>
              <w:pStyle w:val="12"/>
              <w:jc w:val="left"/>
            </w:pPr>
            <w:r>
              <w:rPr>
                <w:sz w:val="21"/>
              </w:rPr>
              <w:t>注意事项：</w:t>
            </w:r>
          </w:p>
          <w:p w14:paraId="6CB374B2">
            <w:pPr>
              <w:pStyle w:val="12"/>
              <w:jc w:val="left"/>
            </w:pPr>
            <w:r>
              <w:rPr>
                <w:sz w:val="21"/>
                <w:u w:val="single"/>
              </w:rPr>
              <w:t>1）未能提供现场演示的，本项目作不得分处理。</w:t>
            </w:r>
          </w:p>
          <w:p w14:paraId="2704AB50">
            <w:pPr>
              <w:pStyle w:val="12"/>
              <w:jc w:val="left"/>
            </w:pPr>
            <w:r>
              <w:rPr>
                <w:sz w:val="21"/>
                <w:u w:val="single"/>
              </w:rPr>
              <w:t>2）供应商演示的内容不得与本项目需求内容无关。</w:t>
            </w:r>
          </w:p>
          <w:p w14:paraId="15AF5D2C">
            <w:pPr>
              <w:pStyle w:val="12"/>
              <w:jc w:val="left"/>
            </w:pPr>
            <w:r>
              <w:rPr>
                <w:sz w:val="21"/>
                <w:u w:val="single"/>
              </w:rPr>
              <w:t>3）在演示过程中，供应商不能补充提交响应文件以外的资料，磋商小组不接收任何响应文件以外的资料。</w:t>
            </w:r>
          </w:p>
          <w:p w14:paraId="0D3F5566">
            <w:pPr>
              <w:pStyle w:val="12"/>
            </w:pPr>
            <w:r>
              <w:rPr>
                <w:sz w:val="21"/>
                <w:u w:val="single"/>
              </w:rPr>
              <w:t>4）在演示过程中，磋商小组不对供应商的提问进行任何回答或解释说明，但可对供应商提出演示要求或要求解释相关问题。</w:t>
            </w:r>
          </w:p>
        </w:tc>
      </w:tr>
      <w:tr w14:paraId="08A5F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28ACDF81"/>
        </w:tc>
        <w:tc>
          <w:tcPr>
            <w:tcW w:w="828" w:type="dxa"/>
          </w:tcPr>
          <w:p w14:paraId="2D521CAC">
            <w:pPr>
              <w:pStyle w:val="12"/>
              <w:rPr>
                <w:rFonts w:hint="eastAsia" w:eastAsiaTheme="minorEastAsia"/>
                <w:lang w:eastAsia="zh-CN"/>
              </w:rPr>
            </w:pPr>
            <w:r>
              <w:rPr>
                <w:rFonts w:hint="eastAsia"/>
                <w:lang w:val="en-US" w:eastAsia="zh-CN"/>
              </w:rPr>
              <w:t>9</w:t>
            </w:r>
          </w:p>
        </w:tc>
        <w:tc>
          <w:tcPr>
            <w:tcW w:w="6644" w:type="dxa"/>
          </w:tcPr>
          <w:p w14:paraId="1DDCA3B0">
            <w:pPr>
              <w:pStyle w:val="12"/>
              <w:jc w:val="left"/>
            </w:pPr>
            <w:r>
              <w:rPr>
                <w:rFonts w:hint="eastAsia"/>
                <w:b/>
                <w:sz w:val="21"/>
                <w:shd w:val="clear" w:fill="FFFFFF"/>
                <w:lang w:val="en-US" w:eastAsia="zh-CN"/>
              </w:rPr>
              <w:t>九</w:t>
            </w:r>
            <w:r>
              <w:rPr>
                <w:b/>
                <w:sz w:val="21"/>
                <w:shd w:val="clear" w:fill="FFFFFF"/>
              </w:rPr>
              <w:t>、其他要求</w:t>
            </w:r>
          </w:p>
          <w:p w14:paraId="7FC46C10">
            <w:pPr>
              <w:pStyle w:val="12"/>
              <w:jc w:val="left"/>
            </w:pPr>
            <w:r>
              <w:rPr>
                <w:sz w:val="21"/>
              </w:rPr>
              <w:t>1.供应商需具有良好的信誉，诚信经营，遵守法律法规、信守合同、保护采购人权益，不得违规分包或转包。</w:t>
            </w:r>
          </w:p>
          <w:p w14:paraId="1935C587">
            <w:pPr>
              <w:pStyle w:val="12"/>
              <w:jc w:val="left"/>
            </w:pPr>
            <w:r>
              <w:rPr>
                <w:sz w:val="21"/>
              </w:rPr>
              <w:t>2.为体现供应商对本项目相关政策的了解，对本项目的现状及需求分析是否深入，供应商需提供项目现状需求理解与分析、技术设计方案、实施服务方案、售后服务保障方案。</w:t>
            </w:r>
          </w:p>
          <w:p w14:paraId="3FB6EF1E">
            <w:pPr>
              <w:pStyle w:val="12"/>
              <w:jc w:val="left"/>
            </w:pPr>
            <w:r>
              <w:rPr>
                <w:sz w:val="21"/>
              </w:rPr>
              <w:t>3.为体现供应商信息化方面综合服务能力，需提供供应商单位关于软件开发、系统集成、信息安全、应急处理等相关领域的单位认证，以及提供拟派项目团队方案，投入人员应该具有能满足项目开展所必须的信息化技术人员，如信息系统项目管理师、系统架构设计师、系统规划与管理师、系统分析师、信息安全管理人员证书、信息系统审计师、网络工程师、软件设计师、系统集成项目管理工程师、数据库系统工程师等。</w:t>
            </w:r>
          </w:p>
          <w:p w14:paraId="60EE76C6">
            <w:pPr>
              <w:pStyle w:val="12"/>
            </w:pPr>
            <w:r>
              <w:rPr>
                <w:sz w:val="21"/>
              </w:rPr>
              <w:t>4.为体现供应商过往经验服务能力，需提供过往业绩经验。</w:t>
            </w:r>
          </w:p>
        </w:tc>
      </w:tr>
      <w:tr w14:paraId="70F34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 w:type="dxa"/>
          </w:tcPr>
          <w:p w14:paraId="2020E403">
            <w:pPr>
              <w:pStyle w:val="12"/>
            </w:pPr>
            <w:r>
              <w:t>说明</w:t>
            </w:r>
          </w:p>
        </w:tc>
        <w:tc>
          <w:tcPr>
            <w:tcW w:w="7472" w:type="dxa"/>
            <w:gridSpan w:val="2"/>
          </w:tcPr>
          <w:p w14:paraId="26BBEA50">
            <w:pPr>
              <w:pStyle w:val="12"/>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1ED9091D">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A7528"/>
    <w:multiLevelType w:val="multilevel"/>
    <w:tmpl w:val="57FA7528"/>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55F09"/>
    <w:rsid w:val="293F0394"/>
    <w:rsid w:val="38744DEC"/>
    <w:rsid w:val="3A6E09A6"/>
    <w:rsid w:val="49D4636B"/>
    <w:rsid w:val="62355F09"/>
    <w:rsid w:val="7EDC6417"/>
    <w:rsid w:val="E39DDC17"/>
    <w:rsid w:val="E59F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numPr>
        <w:ilvl w:val="1"/>
        <w:numId w:val="1"/>
      </w:numPr>
      <w:spacing w:line="360" w:lineRule="auto"/>
      <w:outlineLvl w:val="1"/>
    </w:pPr>
    <w:rPr>
      <w:rFonts w:ascii="黑体" w:hAnsi="黑体" w:eastAsia="黑体" w:cs="Times New Roman"/>
      <w:b/>
      <w:bCs/>
      <w:sz w:val="32"/>
      <w:szCs w:val="32"/>
    </w:rPr>
  </w:style>
  <w:style w:type="paragraph" w:styleId="4">
    <w:name w:val="heading 3"/>
    <w:basedOn w:val="1"/>
    <w:next w:val="1"/>
    <w:qFormat/>
    <w:uiPriority w:val="9"/>
    <w:pPr>
      <w:keepNext/>
      <w:keepLines/>
      <w:numPr>
        <w:ilvl w:val="2"/>
        <w:numId w:val="1"/>
      </w:numPr>
      <w:spacing w:line="360" w:lineRule="auto"/>
      <w:outlineLvl w:val="2"/>
    </w:pPr>
    <w:rPr>
      <w:rFonts w:ascii="Times New Roman" w:hAnsi="Times New Roman" w:eastAsia="黑体"/>
      <w:b/>
      <w:bCs/>
      <w:sz w:val="32"/>
      <w:szCs w:val="28"/>
    </w:rPr>
  </w:style>
  <w:style w:type="paragraph" w:styleId="5">
    <w:name w:val="heading 4"/>
    <w:basedOn w:val="1"/>
    <w:next w:val="1"/>
    <w:qFormat/>
    <w:uiPriority w:val="9"/>
    <w:pPr>
      <w:keepNext/>
      <w:keepLines/>
      <w:numPr>
        <w:ilvl w:val="3"/>
        <w:numId w:val="1"/>
      </w:numPr>
      <w:spacing w:line="360" w:lineRule="auto"/>
      <w:outlineLvl w:val="3"/>
    </w:pPr>
    <w:rPr>
      <w:rFonts w:ascii="Times New Roman" w:hAnsi="Times New Roman" w:eastAsia="宋体" w:cs="Times New Roman"/>
      <w:b/>
      <w:bCs/>
      <w:sz w:val="28"/>
      <w:szCs w:val="28"/>
    </w:rPr>
  </w:style>
  <w:style w:type="paragraph" w:styleId="6">
    <w:name w:val="heading 5"/>
    <w:basedOn w:val="1"/>
    <w:next w:val="1"/>
    <w:qFormat/>
    <w:uiPriority w:val="9"/>
    <w:pPr>
      <w:keepNext/>
      <w:keepLines/>
      <w:numPr>
        <w:ilvl w:val="4"/>
        <w:numId w:val="1"/>
      </w:numPr>
      <w:spacing w:line="360" w:lineRule="auto"/>
      <w:outlineLvl w:val="4"/>
    </w:pPr>
    <w:rPr>
      <w:rFonts w:ascii="Times New Roman" w:hAnsi="Times New Roman"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cs="Times New Roman"/>
      <w:szCs w:val="24"/>
    </w:rPr>
  </w:style>
  <w:style w:type="paragraph" w:styleId="7">
    <w:name w:val="annotation text"/>
    <w:basedOn w:val="1"/>
    <w:unhideWhenUsed/>
    <w:qFormat/>
    <w:uiPriority w:val="99"/>
    <w:pPr>
      <w:jc w:val="left"/>
    </w:pPr>
  </w:style>
  <w:style w:type="paragraph" w:styleId="8">
    <w:name w:val="Body Text"/>
    <w:basedOn w:val="1"/>
    <w:unhideWhenUsed/>
    <w:qFormat/>
    <w:uiPriority w:val="1"/>
    <w:pPr>
      <w:widowControl/>
      <w:ind w:firstLine="480" w:firstLineChars="200"/>
      <w:contextualSpacing/>
      <w:jc w:val="left"/>
    </w:pPr>
    <w:rPr>
      <w:rFonts w:ascii="Calibri" w:hAnsi="Calibri" w:cs="Times New Roman"/>
      <w:sz w:val="28"/>
      <w:szCs w:val="28"/>
    </w:rPr>
  </w:style>
  <w:style w:type="paragraph" w:customStyle="1" w:styleId="11">
    <w:name w:val="_Style 3"/>
    <w:basedOn w:val="1"/>
    <w:qFormat/>
    <w:uiPriority w:val="0"/>
    <w:pPr>
      <w:suppressAutoHyphens/>
      <w:ind w:firstLine="420"/>
    </w:pPr>
    <w:rPr>
      <w:kern w:val="1"/>
      <w:lang w:eastAsia="ar-SA"/>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方案正文"/>
    <w:basedOn w:val="1"/>
    <w:qFormat/>
    <w:uiPriority w:val="0"/>
    <w:pPr>
      <w:widowControl/>
      <w:adjustRightInd w:val="0"/>
      <w:snapToGrid w:val="0"/>
      <w:ind w:firstLine="480" w:firstLineChars="200"/>
      <w:contextualSpacing/>
    </w:pPr>
    <w:rPr>
      <w:rFonts w:ascii="宋体" w:hAnsi="宋体" w:cs="宋体"/>
      <w:color w:val="000000"/>
      <w:szCs w:val="24"/>
    </w:rPr>
  </w:style>
  <w:style w:type="paragraph" w:customStyle="1" w:styleId="14">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15">
    <w:name w:val="_Style 2"/>
    <w:basedOn w:val="16"/>
    <w:qFormat/>
    <w:uiPriority w:val="99"/>
    <w:pPr>
      <w:ind w:firstLine="420"/>
    </w:pPr>
    <w:rPr>
      <w:rFonts w:ascii="Calibri" w:hAnsi="Calibri" w:cs="Calibri"/>
      <w:szCs w:val="21"/>
    </w:rPr>
  </w:style>
  <w:style w:type="paragraph" w:customStyle="1" w:styleId="16">
    <w:name w:val="正文_1"/>
    <w:next w:val="15"/>
    <w:qFormat/>
    <w:uiPriority w:val="0"/>
    <w:pPr>
      <w:widowControl w:val="0"/>
      <w:spacing w:line="360" w:lineRule="auto"/>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3829</Words>
  <Characters>3933</Characters>
  <Lines>0</Lines>
  <Paragraphs>0</Paragraphs>
  <TotalTime>0</TotalTime>
  <ScaleCrop>false</ScaleCrop>
  <LinksUpToDate>false</LinksUpToDate>
  <CharactersWithSpaces>3956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2025-08-27T18:59:00Z</dcterms:created>
  <dc:creator>刚刚好</dc:creator>
  <cp:lastModifiedBy>刚刚好</cp:lastModifiedBy>
  <dcterms:modified xsi:type="dcterms:W3CDTF">2026-06-22T08:03:10Z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E593A4D835784B0FB72AADBF263A1DC4_11</vt:lpwstr>
  </property>
  <property fmtid="{D5CDD505-2E9C-101B-9397-08002B2CF9AE}" pid="4" name="KSOTemplateDocerSaveRecord">
    <vt:lpwstr>eyJoZGlkIjoiOTRmZTQ5MmU0YzE5N2YwOWI0YjI4MjZjZGYyMzQ4OWIiLCJ1c2VySWQiOiIxMTIzMTkwMTkwIn0=</vt:lpwstr>
  </property>
</Properties>
</file>