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E1408">
      <w:pPr>
        <w:pStyle w:val="6"/>
        <w:jc w:val="center"/>
        <w:rPr>
          <w:rFonts w:hint="default" w:ascii="宋体" w:hAnsi="宋体" w:eastAsia="宋体" w:cs="仿宋"/>
          <w:b/>
          <w:bCs/>
          <w:szCs w:val="21"/>
          <w:lang w:val="en-US" w:eastAsia="zh-CN"/>
        </w:rPr>
      </w:pPr>
      <w:bookmarkStart w:id="2" w:name="_GoBack"/>
      <w:r>
        <w:rPr>
          <w:rFonts w:hint="eastAsia" w:ascii="宋体" w:hAnsi="宋体" w:cs="仿宋"/>
          <w:b/>
          <w:bCs/>
          <w:szCs w:val="21"/>
          <w:lang w:val="en-US" w:eastAsia="zh-CN"/>
        </w:rPr>
        <w:t>南方医科大学中西医结合医院医疗收费一体化系统建设项目</w:t>
      </w:r>
      <w:bookmarkEnd w:id="2"/>
    </w:p>
    <w:p w14:paraId="1CBFF699">
      <w:pPr>
        <w:pStyle w:val="6"/>
        <w:jc w:val="center"/>
        <w:rPr>
          <w:rFonts w:hint="eastAsia" w:ascii="宋体" w:hAnsi="宋体" w:cs="仿宋"/>
          <w:b/>
          <w:bCs/>
          <w:szCs w:val="21"/>
        </w:rPr>
      </w:pPr>
      <w:r>
        <w:rPr>
          <w:rFonts w:hint="eastAsia" w:ascii="宋体" w:hAnsi="宋体" w:cs="仿宋"/>
          <w:b/>
          <w:bCs/>
          <w:szCs w:val="21"/>
        </w:rPr>
        <w:t>用户需求书</w:t>
      </w:r>
    </w:p>
    <w:p w14:paraId="18F21CD8">
      <w:pPr>
        <w:spacing w:line="360" w:lineRule="auto"/>
        <w:ind w:firstLine="420" w:firstLineChars="200"/>
        <w:rPr>
          <w:rFonts w:hint="eastAsia" w:ascii="宋体" w:hAnsi="宋体" w:cs="仿宋"/>
          <w:szCs w:val="21"/>
        </w:rPr>
      </w:pPr>
      <w:r>
        <w:rPr>
          <w:rFonts w:hint="eastAsia" w:ascii="宋体" w:hAnsi="宋体" w:cs="仿宋"/>
          <w:szCs w:val="21"/>
        </w:rPr>
        <w:t>说明：《用户需求书》中标注有 “★”符号的内容为关键性指标，被邀请磋商人须完全满足，被邀请磋商标人需对所有“★”号条款逐项响应并提供书面承诺函（加盖公章），</w:t>
      </w:r>
      <w:r>
        <w:rPr>
          <w:rFonts w:hint="eastAsia" w:ascii="宋体" w:hAnsi="宋体" w:cs="仿宋"/>
          <w:bCs/>
          <w:szCs w:val="21"/>
        </w:rPr>
        <w:t>若有一项带“★”的指标未响应或负偏离，将按无效响应处理。</w:t>
      </w:r>
      <w:r>
        <w:rPr>
          <w:rFonts w:hint="eastAsia" w:ascii="宋体" w:hAnsi="宋体" w:cs="仿宋"/>
          <w:szCs w:val="21"/>
        </w:rPr>
        <w:t>带“▲”符号的内容为用户需求重要指标项，若未能响应</w:t>
      </w:r>
      <w:r>
        <w:rPr>
          <w:rFonts w:hint="eastAsia" w:ascii="宋体" w:hAnsi="宋体" w:cs="仿宋"/>
          <w:bCs/>
          <w:szCs w:val="21"/>
        </w:rPr>
        <w:t>或负偏离</w:t>
      </w:r>
      <w:r>
        <w:rPr>
          <w:rFonts w:hint="eastAsia" w:ascii="宋体" w:hAnsi="宋体" w:cs="仿宋"/>
          <w:szCs w:val="21"/>
        </w:rPr>
        <w:t>，则在评分过程中根据评审内容作扣分处理，硬件需求及参数中含“▲”重要指标的，需提供产品模块合格证书、照片或检测报告证明复印件并盖章。</w:t>
      </w:r>
    </w:p>
    <w:p w14:paraId="7F2E59B2">
      <w:pPr>
        <w:rPr>
          <w:rFonts w:hint="eastAsia" w:ascii="宋体" w:hAnsi="宋体" w:cs="仿宋"/>
          <w:szCs w:val="21"/>
        </w:rPr>
      </w:pPr>
    </w:p>
    <w:p w14:paraId="2CB0E093">
      <w:pPr>
        <w:numPr>
          <w:ilvl w:val="0"/>
          <w:numId w:val="2"/>
        </w:numPr>
        <w:rPr>
          <w:rFonts w:hint="eastAsia" w:ascii="宋体" w:hAnsi="宋体" w:cs="仿宋"/>
          <w:b/>
          <w:bCs/>
          <w:szCs w:val="21"/>
        </w:rPr>
      </w:pPr>
      <w:r>
        <w:rPr>
          <w:rFonts w:hint="eastAsia" w:ascii="宋体" w:hAnsi="宋体" w:cs="仿宋"/>
          <w:b/>
          <w:bCs/>
          <w:szCs w:val="21"/>
        </w:rPr>
        <w:t>项目采购清单</w:t>
      </w:r>
    </w:p>
    <w:tbl>
      <w:tblPr>
        <w:tblStyle w:val="12"/>
        <w:tblW w:w="9351" w:type="dxa"/>
        <w:jc w:val="center"/>
        <w:tblLayout w:type="autofit"/>
        <w:tblCellMar>
          <w:top w:w="0" w:type="dxa"/>
          <w:left w:w="108" w:type="dxa"/>
          <w:bottom w:w="0" w:type="dxa"/>
          <w:right w:w="108" w:type="dxa"/>
        </w:tblCellMar>
      </w:tblPr>
      <w:tblGrid>
        <w:gridCol w:w="2972"/>
        <w:gridCol w:w="1418"/>
        <w:gridCol w:w="1701"/>
        <w:gridCol w:w="3260"/>
      </w:tblGrid>
      <w:tr w14:paraId="13112065">
        <w:tblPrEx>
          <w:tblCellMar>
            <w:top w:w="0" w:type="dxa"/>
            <w:left w:w="108" w:type="dxa"/>
            <w:bottom w:w="0" w:type="dxa"/>
            <w:right w:w="108" w:type="dxa"/>
          </w:tblCellMar>
        </w:tblPrEx>
        <w:trPr>
          <w:trHeight w:val="553" w:hRule="atLeas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36A7A">
            <w:pPr>
              <w:jc w:val="center"/>
              <w:rPr>
                <w:rFonts w:hint="eastAsia" w:ascii="宋体" w:hAnsi="宋体" w:cs="仿宋"/>
                <w:sz w:val="24"/>
                <w:szCs w:val="24"/>
              </w:rPr>
            </w:pPr>
            <w:r>
              <w:rPr>
                <w:rFonts w:hint="eastAsia" w:ascii="宋体" w:hAnsi="宋体" w:cs="仿宋"/>
                <w:sz w:val="24"/>
                <w:szCs w:val="24"/>
              </w:rPr>
              <w:t>产品名称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3C65">
            <w:pPr>
              <w:jc w:val="center"/>
              <w:rPr>
                <w:rFonts w:hint="eastAsia" w:ascii="宋体" w:hAnsi="宋体" w:cs="仿宋"/>
                <w:sz w:val="24"/>
                <w:szCs w:val="24"/>
              </w:rPr>
            </w:pPr>
            <w:r>
              <w:rPr>
                <w:rFonts w:hint="eastAsia" w:ascii="宋体" w:hAnsi="宋体" w:cs="仿宋"/>
                <w:sz w:val="24"/>
                <w:szCs w:val="24"/>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7DD5">
            <w:pPr>
              <w:jc w:val="center"/>
              <w:rPr>
                <w:rFonts w:hint="eastAsia" w:ascii="宋体" w:hAnsi="宋体" w:cs="仿宋"/>
                <w:sz w:val="24"/>
                <w:szCs w:val="24"/>
              </w:rPr>
            </w:pPr>
            <w:r>
              <w:rPr>
                <w:rFonts w:hint="eastAsia" w:ascii="宋体" w:hAnsi="宋体" w:cs="仿宋"/>
                <w:sz w:val="24"/>
                <w:szCs w:val="24"/>
              </w:rPr>
              <w:t>单位</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Pr>
          <w:p w14:paraId="318580E9">
            <w:pPr>
              <w:jc w:val="center"/>
              <w:rPr>
                <w:rFonts w:hint="eastAsia" w:ascii="宋体" w:hAnsi="宋体" w:cs="仿宋"/>
                <w:sz w:val="24"/>
                <w:szCs w:val="24"/>
              </w:rPr>
            </w:pPr>
            <w:r>
              <w:rPr>
                <w:rFonts w:hint="eastAsia" w:ascii="宋体" w:hAnsi="宋体" w:cs="仿宋"/>
                <w:sz w:val="24"/>
                <w:szCs w:val="24"/>
              </w:rPr>
              <w:t>交货期</w:t>
            </w:r>
          </w:p>
        </w:tc>
      </w:tr>
      <w:tr w14:paraId="6A4723DD">
        <w:tblPrEx>
          <w:tblCellMar>
            <w:top w:w="0" w:type="dxa"/>
            <w:left w:w="108" w:type="dxa"/>
            <w:bottom w:w="0" w:type="dxa"/>
            <w:right w:w="108" w:type="dxa"/>
          </w:tblCellMar>
        </w:tblPrEx>
        <w:trPr>
          <w:trHeight w:val="379" w:hRule="atLeas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14FD">
            <w:pPr>
              <w:jc w:val="left"/>
              <w:rPr>
                <w:rFonts w:hint="eastAsia" w:ascii="宋体" w:hAnsi="宋体" w:cs="仿宋"/>
                <w:sz w:val="24"/>
                <w:szCs w:val="24"/>
              </w:rPr>
            </w:pPr>
            <w:r>
              <w:rPr>
                <w:rFonts w:hint="eastAsia" w:ascii="宋体" w:hAnsi="宋体" w:cs="仿宋"/>
                <w:sz w:val="24"/>
                <w:szCs w:val="24"/>
              </w:rPr>
              <w:t>出入院结算终端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BD78">
            <w:pPr>
              <w:jc w:val="center"/>
              <w:rPr>
                <w:rFonts w:hint="eastAsia" w:ascii="宋体" w:hAnsi="宋体" w:cs="仿宋"/>
                <w:sz w:val="24"/>
                <w:szCs w:val="24"/>
              </w:rPr>
            </w:pPr>
            <w:r>
              <w:rPr>
                <w:rFonts w:hint="eastAsia" w:ascii="宋体" w:hAnsi="宋体" w:cs="仿宋"/>
                <w:sz w:val="24"/>
                <w:szCs w:val="24"/>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ECE7">
            <w:pPr>
              <w:jc w:val="center"/>
              <w:rPr>
                <w:rFonts w:hint="eastAsia" w:ascii="宋体" w:hAnsi="宋体" w:cs="仿宋"/>
                <w:sz w:val="24"/>
                <w:szCs w:val="24"/>
              </w:rPr>
            </w:pPr>
            <w:r>
              <w:rPr>
                <w:rFonts w:hint="eastAsia" w:ascii="宋体" w:hAnsi="宋体" w:cs="仿宋"/>
                <w:sz w:val="24"/>
                <w:szCs w:val="24"/>
              </w:rPr>
              <w:t>台</w:t>
            </w:r>
          </w:p>
        </w:tc>
        <w:tc>
          <w:tcPr>
            <w:tcW w:w="3260" w:type="dxa"/>
            <w:vMerge w:val="restart"/>
            <w:tcBorders>
              <w:top w:val="single" w:color="000000" w:sz="4" w:space="0"/>
              <w:left w:val="single" w:color="000000" w:sz="4" w:space="0"/>
              <w:right w:val="single" w:color="000000" w:sz="4" w:space="0"/>
            </w:tcBorders>
            <w:shd w:val="clear" w:color="auto" w:fill="FFFFFF"/>
          </w:tcPr>
          <w:p w14:paraId="01D51264">
            <w:pPr>
              <w:keepNext/>
              <w:snapToGrid w:val="0"/>
              <w:spacing w:line="360" w:lineRule="auto"/>
              <w:jc w:val="left"/>
              <w:textAlignment w:val="center"/>
              <w:rPr>
                <w:rFonts w:hint="eastAsia" w:ascii="宋体" w:hAnsi="宋体" w:cs="仿宋"/>
                <w:sz w:val="24"/>
                <w:szCs w:val="24"/>
              </w:rPr>
            </w:pPr>
            <w:r>
              <w:rPr>
                <w:rFonts w:hint="eastAsia" w:ascii="宋体" w:hAnsi="宋体"/>
                <w:sz w:val="24"/>
                <w:szCs w:val="24"/>
              </w:rPr>
              <w:t>合同签订后6</w:t>
            </w:r>
            <w:r>
              <w:rPr>
                <w:rFonts w:ascii="宋体" w:hAnsi="宋体"/>
                <w:sz w:val="24"/>
                <w:szCs w:val="24"/>
              </w:rPr>
              <w:t>0</w:t>
            </w:r>
            <w:r>
              <w:rPr>
                <w:rFonts w:hint="eastAsia" w:ascii="宋体" w:hAnsi="宋体"/>
                <w:sz w:val="24"/>
                <w:szCs w:val="24"/>
              </w:rPr>
              <w:t>天内完成设备的供货、安装、调试，并交付给招标人正常使用</w:t>
            </w:r>
          </w:p>
        </w:tc>
      </w:tr>
      <w:tr w14:paraId="428A0AAC">
        <w:tblPrEx>
          <w:tblCellMar>
            <w:top w:w="0" w:type="dxa"/>
            <w:left w:w="108" w:type="dxa"/>
            <w:bottom w:w="0" w:type="dxa"/>
            <w:right w:w="108" w:type="dxa"/>
          </w:tblCellMar>
        </w:tblPrEx>
        <w:trPr>
          <w:trHeight w:val="500" w:hRule="atLeas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92BB">
            <w:pPr>
              <w:widowControl/>
              <w:jc w:val="left"/>
              <w:textAlignment w:val="center"/>
              <w:rPr>
                <w:rFonts w:hint="eastAsia" w:ascii="宋体" w:hAnsi="宋体" w:cs="仿宋"/>
                <w:sz w:val="24"/>
                <w:szCs w:val="24"/>
              </w:rPr>
            </w:pPr>
            <w:r>
              <w:rPr>
                <w:rFonts w:hint="eastAsia" w:ascii="宋体" w:hAnsi="宋体" w:cs="仿宋"/>
                <w:sz w:val="24"/>
                <w:szCs w:val="24"/>
              </w:rPr>
              <w:t>出入院自助结算系统实施费</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905C">
            <w:pPr>
              <w:widowControl/>
              <w:jc w:val="center"/>
              <w:textAlignment w:val="center"/>
              <w:rPr>
                <w:rFonts w:hint="eastAsia" w:ascii="宋体" w:hAnsi="宋体" w:cs="仿宋"/>
                <w:sz w:val="24"/>
                <w:szCs w:val="24"/>
              </w:rPr>
            </w:pPr>
            <w:r>
              <w:rPr>
                <w:rFonts w:hint="eastAsia" w:ascii="宋体" w:hAnsi="宋体" w:cs="仿宋"/>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0254">
            <w:pPr>
              <w:widowControl/>
              <w:jc w:val="center"/>
              <w:textAlignment w:val="center"/>
              <w:rPr>
                <w:rFonts w:hint="eastAsia" w:ascii="宋体" w:hAnsi="宋体" w:cs="仿宋"/>
                <w:sz w:val="24"/>
                <w:szCs w:val="24"/>
              </w:rPr>
            </w:pPr>
            <w:r>
              <w:rPr>
                <w:rFonts w:hint="eastAsia" w:ascii="宋体" w:hAnsi="宋体" w:cs="仿宋"/>
                <w:sz w:val="24"/>
                <w:szCs w:val="24"/>
              </w:rPr>
              <w:t>套</w:t>
            </w:r>
          </w:p>
        </w:tc>
        <w:tc>
          <w:tcPr>
            <w:tcW w:w="3260" w:type="dxa"/>
            <w:vMerge w:val="continue"/>
            <w:tcBorders>
              <w:left w:val="single" w:color="000000" w:sz="4" w:space="0"/>
              <w:right w:val="single" w:color="000000" w:sz="4" w:space="0"/>
            </w:tcBorders>
            <w:shd w:val="clear" w:color="auto" w:fill="FFFFFF"/>
          </w:tcPr>
          <w:p w14:paraId="3AC11CEB">
            <w:pPr>
              <w:widowControl/>
              <w:jc w:val="center"/>
              <w:textAlignment w:val="center"/>
              <w:rPr>
                <w:rFonts w:hint="eastAsia" w:ascii="宋体" w:hAnsi="宋体" w:cs="仿宋"/>
                <w:sz w:val="24"/>
                <w:szCs w:val="24"/>
              </w:rPr>
            </w:pPr>
          </w:p>
        </w:tc>
      </w:tr>
      <w:tr w14:paraId="1E0DECBC">
        <w:tblPrEx>
          <w:tblCellMar>
            <w:top w:w="0" w:type="dxa"/>
            <w:left w:w="108" w:type="dxa"/>
            <w:bottom w:w="0" w:type="dxa"/>
            <w:right w:w="108" w:type="dxa"/>
          </w:tblCellMar>
        </w:tblPrEx>
        <w:trPr>
          <w:trHeight w:val="581" w:hRule="atLeas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1A16">
            <w:pPr>
              <w:widowControl/>
              <w:jc w:val="left"/>
              <w:textAlignment w:val="center"/>
              <w:rPr>
                <w:rFonts w:hint="eastAsia" w:ascii="宋体" w:hAnsi="宋体" w:eastAsia="宋体" w:cs="仿宋"/>
                <w:sz w:val="24"/>
                <w:szCs w:val="24"/>
                <w:lang w:val="en-US" w:eastAsia="zh-CN"/>
              </w:rPr>
            </w:pPr>
            <w:bookmarkStart w:id="0" w:name="_Hlk208867335"/>
            <w:r>
              <w:rPr>
                <w:rFonts w:hint="eastAsia" w:ascii="宋体" w:hAnsi="宋体" w:cs="仿宋"/>
                <w:sz w:val="24"/>
                <w:szCs w:val="24"/>
              </w:rPr>
              <w:t>小程序</w:t>
            </w:r>
            <w:bookmarkEnd w:id="0"/>
            <w:r>
              <w:rPr>
                <w:rFonts w:hint="eastAsia" w:ascii="宋体" w:hAnsi="宋体" w:cs="仿宋"/>
                <w:sz w:val="24"/>
                <w:szCs w:val="24"/>
                <w:lang w:val="en-US" w:eastAsia="zh-CN"/>
              </w:rPr>
              <w:t>升级</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C0F7">
            <w:pPr>
              <w:widowControl/>
              <w:jc w:val="center"/>
              <w:textAlignment w:val="center"/>
              <w:rPr>
                <w:rFonts w:hint="eastAsia" w:ascii="宋体" w:hAnsi="宋体" w:cs="仿宋"/>
                <w:sz w:val="24"/>
                <w:szCs w:val="24"/>
              </w:rPr>
            </w:pPr>
            <w:r>
              <w:rPr>
                <w:rFonts w:hint="eastAsia" w:ascii="宋体" w:hAnsi="宋体" w:cs="仿宋"/>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E815">
            <w:pPr>
              <w:widowControl/>
              <w:jc w:val="center"/>
              <w:textAlignment w:val="center"/>
              <w:rPr>
                <w:rFonts w:hint="eastAsia" w:ascii="宋体" w:hAnsi="宋体" w:cs="仿宋"/>
                <w:sz w:val="24"/>
                <w:szCs w:val="24"/>
              </w:rPr>
            </w:pPr>
            <w:r>
              <w:rPr>
                <w:rFonts w:hint="eastAsia" w:ascii="宋体" w:hAnsi="宋体" w:cs="仿宋"/>
                <w:sz w:val="24"/>
                <w:szCs w:val="24"/>
              </w:rPr>
              <w:t>套</w:t>
            </w:r>
          </w:p>
        </w:tc>
        <w:tc>
          <w:tcPr>
            <w:tcW w:w="3260" w:type="dxa"/>
            <w:vMerge w:val="continue"/>
            <w:tcBorders>
              <w:left w:val="single" w:color="000000" w:sz="4" w:space="0"/>
              <w:right w:val="single" w:color="000000" w:sz="4" w:space="0"/>
            </w:tcBorders>
            <w:shd w:val="clear" w:color="auto" w:fill="FFFFFF"/>
          </w:tcPr>
          <w:p w14:paraId="358A1039">
            <w:pPr>
              <w:widowControl/>
              <w:jc w:val="center"/>
              <w:textAlignment w:val="center"/>
              <w:rPr>
                <w:rFonts w:hint="eastAsia" w:ascii="宋体" w:hAnsi="宋体" w:cs="仿宋"/>
                <w:sz w:val="24"/>
                <w:szCs w:val="24"/>
              </w:rPr>
            </w:pPr>
          </w:p>
        </w:tc>
      </w:tr>
      <w:tr w14:paraId="2A57A1AC">
        <w:tblPrEx>
          <w:tblCellMar>
            <w:top w:w="0" w:type="dxa"/>
            <w:left w:w="108" w:type="dxa"/>
            <w:bottom w:w="0" w:type="dxa"/>
            <w:right w:w="108" w:type="dxa"/>
          </w:tblCellMar>
        </w:tblPrEx>
        <w:trPr>
          <w:trHeight w:val="581" w:hRule="atLeast"/>
          <w:jc w:val="center"/>
        </w:trPr>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FB1D">
            <w:pPr>
              <w:widowControl/>
              <w:jc w:val="left"/>
              <w:textAlignment w:val="center"/>
              <w:rPr>
                <w:rFonts w:hint="default" w:ascii="宋体" w:hAnsi="宋体" w:eastAsia="宋体" w:cs="仿宋"/>
                <w:sz w:val="24"/>
                <w:szCs w:val="24"/>
                <w:lang w:val="en-US" w:eastAsia="zh-CN"/>
              </w:rPr>
            </w:pPr>
            <w:r>
              <w:rPr>
                <w:rFonts w:hint="eastAsia" w:ascii="宋体" w:hAnsi="宋体" w:cs="仿宋"/>
                <w:sz w:val="24"/>
                <w:szCs w:val="24"/>
                <w:lang w:val="en-US" w:eastAsia="zh-CN"/>
              </w:rPr>
              <w:t>服务器</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B839">
            <w:pPr>
              <w:widowControl/>
              <w:jc w:val="center"/>
              <w:textAlignment w:val="center"/>
              <w:rPr>
                <w:rFonts w:hint="eastAsia" w:ascii="宋体" w:hAnsi="宋体" w:eastAsia="宋体" w:cs="仿宋"/>
                <w:sz w:val="24"/>
                <w:szCs w:val="24"/>
                <w:lang w:val="en-US" w:eastAsia="zh-CN"/>
              </w:rPr>
            </w:pPr>
            <w:r>
              <w:rPr>
                <w:rFonts w:hint="eastAsia" w:ascii="宋体" w:hAnsi="宋体" w:cs="仿宋"/>
                <w:sz w:val="24"/>
                <w:szCs w:val="24"/>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750A">
            <w:pPr>
              <w:widowControl/>
              <w:jc w:val="center"/>
              <w:textAlignment w:val="center"/>
              <w:rPr>
                <w:rFonts w:hint="eastAsia" w:ascii="宋体" w:hAnsi="宋体" w:eastAsia="宋体" w:cs="仿宋"/>
                <w:sz w:val="24"/>
                <w:szCs w:val="24"/>
                <w:lang w:val="en-US" w:eastAsia="zh-CN"/>
              </w:rPr>
            </w:pPr>
            <w:r>
              <w:rPr>
                <w:rFonts w:hint="eastAsia" w:ascii="宋体" w:hAnsi="宋体" w:cs="仿宋"/>
                <w:sz w:val="24"/>
                <w:szCs w:val="24"/>
                <w:lang w:val="en-US" w:eastAsia="zh-CN"/>
              </w:rPr>
              <w:t>台</w:t>
            </w:r>
          </w:p>
        </w:tc>
        <w:tc>
          <w:tcPr>
            <w:tcW w:w="3260" w:type="dxa"/>
            <w:vMerge w:val="continue"/>
            <w:tcBorders>
              <w:left w:val="single" w:color="000000" w:sz="4" w:space="0"/>
              <w:bottom w:val="single" w:color="000000" w:sz="4" w:space="0"/>
              <w:right w:val="single" w:color="000000" w:sz="4" w:space="0"/>
            </w:tcBorders>
            <w:shd w:val="clear" w:color="auto" w:fill="FFFFFF"/>
          </w:tcPr>
          <w:p w14:paraId="4D27C5A1">
            <w:pPr>
              <w:widowControl/>
              <w:jc w:val="center"/>
              <w:textAlignment w:val="center"/>
              <w:rPr>
                <w:rFonts w:hint="eastAsia" w:ascii="宋体" w:hAnsi="宋体" w:cs="仿宋"/>
                <w:sz w:val="24"/>
                <w:szCs w:val="24"/>
              </w:rPr>
            </w:pPr>
          </w:p>
        </w:tc>
      </w:tr>
    </w:tbl>
    <w:p w14:paraId="65F1C3B2">
      <w:pPr>
        <w:numPr>
          <w:ilvl w:val="0"/>
          <w:numId w:val="2"/>
        </w:numPr>
        <w:rPr>
          <w:rFonts w:hint="eastAsia" w:ascii="宋体" w:hAnsi="宋体" w:cs="仿宋"/>
          <w:b/>
          <w:bCs/>
          <w:szCs w:val="21"/>
        </w:rPr>
      </w:pPr>
      <w:r>
        <w:rPr>
          <w:rFonts w:hint="eastAsia" w:ascii="宋体" w:hAnsi="宋体" w:cs="仿宋"/>
          <w:b/>
          <w:bCs/>
          <w:szCs w:val="21"/>
        </w:rPr>
        <w:t>软硬件需求及参数</w:t>
      </w:r>
    </w:p>
    <w:p w14:paraId="535D3296">
      <w:pPr>
        <w:pStyle w:val="22"/>
        <w:rPr>
          <w:rFonts w:hint="eastAsia"/>
        </w:rPr>
      </w:pPr>
      <w:r>
        <w:rPr>
          <w:rFonts w:hint="eastAsia"/>
        </w:rPr>
        <w:t>出入院结算终端技术参数</w:t>
      </w:r>
    </w:p>
    <w:tbl>
      <w:tblPr>
        <w:tblStyle w:val="12"/>
        <w:tblW w:w="9402" w:type="dxa"/>
        <w:jc w:val="center"/>
        <w:tblLayout w:type="fixed"/>
        <w:tblCellMar>
          <w:top w:w="0" w:type="dxa"/>
          <w:left w:w="108" w:type="dxa"/>
          <w:bottom w:w="0" w:type="dxa"/>
          <w:right w:w="108" w:type="dxa"/>
        </w:tblCellMar>
      </w:tblPr>
      <w:tblGrid>
        <w:gridCol w:w="737"/>
        <w:gridCol w:w="2042"/>
        <w:gridCol w:w="6623"/>
      </w:tblGrid>
      <w:tr w14:paraId="7F60BEE8">
        <w:tblPrEx>
          <w:tblCellMar>
            <w:top w:w="0" w:type="dxa"/>
            <w:left w:w="108" w:type="dxa"/>
            <w:bottom w:w="0" w:type="dxa"/>
            <w:right w:w="108" w:type="dxa"/>
          </w:tblCellMar>
        </w:tblPrEx>
        <w:trPr>
          <w:trHeight w:val="52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396A7FAE">
            <w:pPr>
              <w:widowControl/>
              <w:textAlignment w:val="center"/>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序号</w:t>
            </w:r>
          </w:p>
        </w:tc>
        <w:tc>
          <w:tcPr>
            <w:tcW w:w="2042" w:type="dxa"/>
            <w:tcBorders>
              <w:top w:val="single" w:color="000000" w:sz="4" w:space="0"/>
              <w:left w:val="single" w:color="000000" w:sz="4" w:space="0"/>
              <w:bottom w:val="single" w:color="000000" w:sz="4" w:space="0"/>
              <w:right w:val="single" w:color="000000" w:sz="4" w:space="0"/>
            </w:tcBorders>
            <w:vAlign w:val="center"/>
          </w:tcPr>
          <w:p w14:paraId="45B11239">
            <w:pPr>
              <w:widowControl/>
              <w:jc w:val="center"/>
              <w:textAlignment w:val="center"/>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功能模块</w:t>
            </w:r>
          </w:p>
        </w:tc>
        <w:tc>
          <w:tcPr>
            <w:tcW w:w="6623" w:type="dxa"/>
            <w:tcBorders>
              <w:top w:val="single" w:color="000000" w:sz="4" w:space="0"/>
              <w:left w:val="single" w:color="000000" w:sz="4" w:space="0"/>
              <w:bottom w:val="single" w:color="000000" w:sz="4" w:space="0"/>
              <w:right w:val="single" w:color="000000" w:sz="4" w:space="0"/>
            </w:tcBorders>
            <w:vAlign w:val="center"/>
          </w:tcPr>
          <w:p w14:paraId="3514F0A5">
            <w:pPr>
              <w:widowControl/>
              <w:jc w:val="center"/>
              <w:textAlignment w:val="center"/>
              <w:rPr>
                <w:rFonts w:hint="eastAsia" w:ascii="宋体" w:hAnsi="宋体" w:eastAsia="宋体" w:cs="宋体"/>
                <w:b/>
                <w:bCs/>
                <w:color w:val="000000"/>
                <w:sz w:val="24"/>
                <w:szCs w:val="24"/>
              </w:rPr>
            </w:pPr>
            <w:r>
              <w:rPr>
                <w:rStyle w:val="19"/>
                <w:rFonts w:hint="eastAsia" w:ascii="宋体" w:hAnsi="宋体" w:eastAsia="宋体" w:cs="宋体"/>
                <w:sz w:val="24"/>
                <w:szCs w:val="24"/>
                <w:lang w:bidi="ar"/>
              </w:rPr>
              <w:t>技术参数</w:t>
            </w:r>
          </w:p>
        </w:tc>
      </w:tr>
      <w:tr w14:paraId="698957E2">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3D88C9B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43B00A16">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机柜模块</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537FD13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外形：新颖美观、尊贵；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材料：为冷轧钢材料，坚硬厚实不易变形；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表层处理：防锈、防腐、耐磨；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内部结构：布线规范整齐；</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外部结构：各部件模块与机柜结合紧密，布局合理，工艺精细；</w:t>
            </w:r>
          </w:p>
        </w:tc>
      </w:tr>
      <w:tr w14:paraId="431D0C8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4FD6872">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89CB41C">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EB64FB7">
            <w:pPr>
              <w:jc w:val="left"/>
              <w:rPr>
                <w:rFonts w:hint="eastAsia" w:ascii="宋体" w:hAnsi="宋体" w:eastAsia="宋体" w:cs="宋体"/>
                <w:color w:val="000000"/>
                <w:sz w:val="24"/>
                <w:szCs w:val="24"/>
              </w:rPr>
            </w:pPr>
          </w:p>
        </w:tc>
      </w:tr>
      <w:tr w14:paraId="3763371B">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4C756F5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03DBC44">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6B6C5E1C">
            <w:pPr>
              <w:jc w:val="left"/>
              <w:rPr>
                <w:rFonts w:hint="eastAsia" w:ascii="宋体" w:hAnsi="宋体" w:eastAsia="宋体" w:cs="宋体"/>
                <w:color w:val="000000"/>
                <w:sz w:val="24"/>
                <w:szCs w:val="24"/>
              </w:rPr>
            </w:pPr>
          </w:p>
        </w:tc>
      </w:tr>
      <w:tr w14:paraId="115A9D3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445E60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89708AA">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534457E">
            <w:pPr>
              <w:jc w:val="left"/>
              <w:rPr>
                <w:rFonts w:hint="eastAsia" w:ascii="宋体" w:hAnsi="宋体" w:eastAsia="宋体" w:cs="宋体"/>
                <w:color w:val="000000"/>
                <w:sz w:val="24"/>
                <w:szCs w:val="24"/>
              </w:rPr>
            </w:pPr>
          </w:p>
        </w:tc>
      </w:tr>
      <w:tr w14:paraId="0A33FD4E">
        <w:tblPrEx>
          <w:tblCellMar>
            <w:top w:w="0" w:type="dxa"/>
            <w:left w:w="108" w:type="dxa"/>
            <w:bottom w:w="0" w:type="dxa"/>
            <w:right w:w="108" w:type="dxa"/>
          </w:tblCellMar>
        </w:tblPrEx>
        <w:trPr>
          <w:trHeight w:val="627"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C4CE692">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D36485B">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6829250">
            <w:pPr>
              <w:jc w:val="left"/>
              <w:rPr>
                <w:rFonts w:hint="eastAsia" w:ascii="宋体" w:hAnsi="宋体" w:eastAsia="宋体" w:cs="宋体"/>
                <w:color w:val="000000"/>
                <w:sz w:val="24"/>
                <w:szCs w:val="24"/>
              </w:rPr>
            </w:pPr>
          </w:p>
        </w:tc>
      </w:tr>
      <w:tr w14:paraId="6343558A">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07893EB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3738318C">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电源模块</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01D1A8B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通过CCC认证；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输入：220VAC；</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输出：5VDC、12VDC、24VDC、220VAC；</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保护种类：短路/过压/过流/过温；</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额定功率：150W/300W；</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效率：≥84%；</w:t>
            </w:r>
          </w:p>
        </w:tc>
      </w:tr>
      <w:tr w14:paraId="2DD5A95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9358B25">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627C62A">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EE9E3D1">
            <w:pPr>
              <w:jc w:val="left"/>
              <w:rPr>
                <w:rFonts w:hint="eastAsia" w:ascii="宋体" w:hAnsi="宋体" w:eastAsia="宋体" w:cs="宋体"/>
                <w:color w:val="000000"/>
                <w:sz w:val="24"/>
                <w:szCs w:val="24"/>
              </w:rPr>
            </w:pPr>
          </w:p>
        </w:tc>
      </w:tr>
      <w:tr w14:paraId="6207F50E">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8CEFF7E">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82C7325">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C4A1B59">
            <w:pPr>
              <w:jc w:val="left"/>
              <w:rPr>
                <w:rFonts w:hint="eastAsia" w:ascii="宋体" w:hAnsi="宋体" w:eastAsia="宋体" w:cs="宋体"/>
                <w:color w:val="000000"/>
                <w:sz w:val="24"/>
                <w:szCs w:val="24"/>
              </w:rPr>
            </w:pPr>
          </w:p>
        </w:tc>
      </w:tr>
      <w:tr w14:paraId="7D34C2CD">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650FE1D">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4C318B2E">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3B54C17">
            <w:pPr>
              <w:jc w:val="left"/>
              <w:rPr>
                <w:rFonts w:hint="eastAsia" w:ascii="宋体" w:hAnsi="宋体" w:eastAsia="宋体" w:cs="宋体"/>
                <w:color w:val="000000"/>
                <w:sz w:val="24"/>
                <w:szCs w:val="24"/>
              </w:rPr>
            </w:pPr>
          </w:p>
        </w:tc>
      </w:tr>
      <w:tr w14:paraId="73F77A39">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C22385E">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7D95EC3">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69155F57">
            <w:pPr>
              <w:jc w:val="left"/>
              <w:rPr>
                <w:rFonts w:hint="eastAsia" w:ascii="宋体" w:hAnsi="宋体" w:eastAsia="宋体" w:cs="宋体"/>
                <w:color w:val="000000"/>
                <w:sz w:val="24"/>
                <w:szCs w:val="24"/>
              </w:rPr>
            </w:pPr>
          </w:p>
        </w:tc>
      </w:tr>
      <w:tr w14:paraId="41349CE9">
        <w:tblPrEx>
          <w:tblCellMar>
            <w:top w:w="0" w:type="dxa"/>
            <w:left w:w="108" w:type="dxa"/>
            <w:bottom w:w="0" w:type="dxa"/>
            <w:right w:w="108" w:type="dxa"/>
          </w:tblCellMar>
        </w:tblPrEx>
        <w:trPr>
          <w:trHeight w:val="391"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818D2F1">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B6159AA">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0B9C12D">
            <w:pPr>
              <w:jc w:val="left"/>
              <w:rPr>
                <w:rFonts w:hint="eastAsia" w:ascii="宋体" w:hAnsi="宋体" w:eastAsia="宋体" w:cs="宋体"/>
                <w:color w:val="000000"/>
                <w:sz w:val="24"/>
                <w:szCs w:val="24"/>
              </w:rPr>
            </w:pPr>
          </w:p>
        </w:tc>
      </w:tr>
      <w:tr w14:paraId="6BB1F754">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1A746E0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7FAD3AFC">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工控主机</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33BCC3D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处理器：Intel 多核3.0GHz；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内存：8G；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硬盘：256G固态或500G机械硬盘；</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预装Windows10 64位系统；</w:t>
            </w:r>
          </w:p>
        </w:tc>
      </w:tr>
      <w:tr w14:paraId="3DBB350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56A44C2">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8DC8809">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F5BBF00">
            <w:pPr>
              <w:jc w:val="left"/>
              <w:rPr>
                <w:rFonts w:hint="eastAsia" w:ascii="宋体" w:hAnsi="宋体" w:eastAsia="宋体" w:cs="宋体"/>
                <w:color w:val="000000"/>
                <w:sz w:val="24"/>
                <w:szCs w:val="24"/>
              </w:rPr>
            </w:pPr>
          </w:p>
        </w:tc>
      </w:tr>
      <w:tr w14:paraId="58B3FCD9">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1EEE33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490080D">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491CEB6">
            <w:pPr>
              <w:jc w:val="left"/>
              <w:rPr>
                <w:rFonts w:hint="eastAsia" w:ascii="宋体" w:hAnsi="宋体" w:eastAsia="宋体" w:cs="宋体"/>
                <w:color w:val="000000"/>
                <w:sz w:val="24"/>
                <w:szCs w:val="24"/>
              </w:rPr>
            </w:pPr>
          </w:p>
        </w:tc>
      </w:tr>
      <w:tr w14:paraId="062314AB">
        <w:tblPrEx>
          <w:tblCellMar>
            <w:top w:w="0" w:type="dxa"/>
            <w:left w:w="108" w:type="dxa"/>
            <w:bottom w:w="0" w:type="dxa"/>
            <w:right w:w="108" w:type="dxa"/>
          </w:tblCellMar>
        </w:tblPrEx>
        <w:trPr>
          <w:trHeight w:val="43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BF7FDC8">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43CF992E">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0E34440B">
            <w:pPr>
              <w:jc w:val="left"/>
              <w:rPr>
                <w:rFonts w:hint="eastAsia" w:ascii="宋体" w:hAnsi="宋体" w:eastAsia="宋体" w:cs="宋体"/>
                <w:color w:val="000000"/>
                <w:sz w:val="24"/>
                <w:szCs w:val="24"/>
              </w:rPr>
            </w:pPr>
          </w:p>
        </w:tc>
      </w:tr>
      <w:tr w14:paraId="514B610B">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0ADCA03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4CFB2B62">
            <w:pPr>
              <w:widowControl/>
              <w:jc w:val="center"/>
              <w:textAlignment w:val="center"/>
              <w:rPr>
                <w:rStyle w:val="20"/>
                <w:rFonts w:hint="eastAsia" w:ascii="宋体" w:hAnsi="宋体" w:eastAsia="宋体" w:cs="宋体"/>
                <w:sz w:val="24"/>
                <w:szCs w:val="24"/>
                <w:lang w:bidi="ar"/>
              </w:rPr>
            </w:pPr>
            <w:r>
              <w:rPr>
                <w:rStyle w:val="20"/>
                <w:rFonts w:hint="eastAsia" w:ascii="宋体" w:hAnsi="宋体" w:eastAsia="宋体" w:cs="宋体"/>
                <w:sz w:val="24"/>
                <w:szCs w:val="24"/>
                <w:lang w:bidi="ar"/>
              </w:rPr>
              <w:t>触显一体屏</w:t>
            </w:r>
          </w:p>
          <w:p w14:paraId="5ABC1A6D">
            <w:pPr>
              <w:pStyle w:val="6"/>
              <w:rPr>
                <w:rFonts w:hint="eastAsia" w:ascii="宋体" w:hAnsi="宋体" w:eastAsia="宋体" w:cs="宋体"/>
                <w:sz w:val="24"/>
                <w:szCs w:val="24"/>
              </w:rPr>
            </w:pP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7D4EC0E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尺寸/类型：32寸电容触显屏；</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分辨率(像素)：1920*1080；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亮度：350cd/m²；</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对比度：1200:1；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色值：16.7M；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可视角度(U/D/L/R)：89/89/89/89；</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响应时间：8ms；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背灯MTBF：30000；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支持触摸点数：10点；</w:t>
            </w:r>
          </w:p>
        </w:tc>
      </w:tr>
      <w:tr w14:paraId="16340EE1">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3D6B80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F5F37B0">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2E855E5">
            <w:pPr>
              <w:jc w:val="left"/>
              <w:rPr>
                <w:rFonts w:hint="eastAsia" w:ascii="宋体" w:hAnsi="宋体" w:eastAsia="宋体" w:cs="宋体"/>
                <w:color w:val="000000"/>
                <w:sz w:val="24"/>
                <w:szCs w:val="24"/>
              </w:rPr>
            </w:pPr>
          </w:p>
        </w:tc>
      </w:tr>
      <w:tr w14:paraId="7289514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62B9BA9">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1FF9F00">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6839F76">
            <w:pPr>
              <w:jc w:val="left"/>
              <w:rPr>
                <w:rFonts w:hint="eastAsia" w:ascii="宋体" w:hAnsi="宋体" w:eastAsia="宋体" w:cs="宋体"/>
                <w:color w:val="000000"/>
                <w:sz w:val="24"/>
                <w:szCs w:val="24"/>
              </w:rPr>
            </w:pPr>
          </w:p>
        </w:tc>
      </w:tr>
      <w:tr w14:paraId="137F31C7">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8FEE6DC">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5EB3AE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C3F4D24">
            <w:pPr>
              <w:jc w:val="left"/>
              <w:rPr>
                <w:rFonts w:hint="eastAsia" w:ascii="宋体" w:hAnsi="宋体" w:eastAsia="宋体" w:cs="宋体"/>
                <w:color w:val="000000"/>
                <w:sz w:val="24"/>
                <w:szCs w:val="24"/>
              </w:rPr>
            </w:pPr>
          </w:p>
        </w:tc>
      </w:tr>
      <w:tr w14:paraId="160B864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1A54EA7">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DC7085B">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7983A91">
            <w:pPr>
              <w:jc w:val="left"/>
              <w:rPr>
                <w:rFonts w:hint="eastAsia" w:ascii="宋体" w:hAnsi="宋体" w:eastAsia="宋体" w:cs="宋体"/>
                <w:color w:val="000000"/>
                <w:sz w:val="24"/>
                <w:szCs w:val="24"/>
              </w:rPr>
            </w:pPr>
          </w:p>
        </w:tc>
      </w:tr>
      <w:tr w14:paraId="202C9BC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32BDF3C">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51FE187">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31BE4FD">
            <w:pPr>
              <w:jc w:val="left"/>
              <w:rPr>
                <w:rFonts w:hint="eastAsia" w:ascii="宋体" w:hAnsi="宋体" w:eastAsia="宋体" w:cs="宋体"/>
                <w:color w:val="000000"/>
                <w:sz w:val="24"/>
                <w:szCs w:val="24"/>
              </w:rPr>
            </w:pPr>
          </w:p>
        </w:tc>
      </w:tr>
      <w:tr w14:paraId="13B7E06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A61AB70">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FFAC8B8">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2F31D4D">
            <w:pPr>
              <w:jc w:val="left"/>
              <w:rPr>
                <w:rFonts w:hint="eastAsia" w:ascii="宋体" w:hAnsi="宋体" w:eastAsia="宋体" w:cs="宋体"/>
                <w:color w:val="000000"/>
                <w:sz w:val="24"/>
                <w:szCs w:val="24"/>
              </w:rPr>
            </w:pPr>
          </w:p>
        </w:tc>
      </w:tr>
      <w:tr w14:paraId="6F78AD41">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0278EB5">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89A625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5BB5A01">
            <w:pPr>
              <w:jc w:val="left"/>
              <w:rPr>
                <w:rFonts w:hint="eastAsia" w:ascii="宋体" w:hAnsi="宋体" w:eastAsia="宋体" w:cs="宋体"/>
                <w:color w:val="000000"/>
                <w:sz w:val="24"/>
                <w:szCs w:val="24"/>
              </w:rPr>
            </w:pPr>
          </w:p>
        </w:tc>
      </w:tr>
      <w:tr w14:paraId="3C9930CD">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39B8F1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1CD8EEC">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5F0A93C">
            <w:pPr>
              <w:jc w:val="left"/>
              <w:rPr>
                <w:rFonts w:hint="eastAsia" w:ascii="宋体" w:hAnsi="宋体" w:eastAsia="宋体" w:cs="宋体"/>
                <w:color w:val="000000"/>
                <w:sz w:val="24"/>
                <w:szCs w:val="24"/>
              </w:rPr>
            </w:pPr>
          </w:p>
        </w:tc>
      </w:tr>
      <w:tr w14:paraId="4BF3A6CB">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5BF1F65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6C839D6D">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三合一电动读卡器</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103B3F2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三卡合一：磁卡读、IC卡读写、非接IC卡读写；</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支持电动吸卡吐卡，带后端吞卡功能，受控进、退、吞卡的功能；</w:t>
            </w:r>
            <w:r>
              <w:rPr>
                <w:rFonts w:hint="eastAsia" w:ascii="宋体" w:hAnsi="宋体" w:eastAsia="宋体" w:cs="宋体"/>
                <w:color w:val="000000"/>
                <w:kern w:val="0"/>
                <w:sz w:val="24"/>
                <w:szCs w:val="24"/>
                <w:lang w:bidi="ar"/>
              </w:rPr>
              <w:br w:type="textWrapping"/>
            </w:r>
            <w:r>
              <w:rPr>
                <w:rFonts w:hint="eastAsia" w:ascii="宋体" w:hAnsi="宋体" w:eastAsia="宋体" w:cs="宋体"/>
                <w:sz w:val="24"/>
                <w:szCs w:val="24"/>
              </w:rPr>
              <w:t>通过PBOC3.0认证（投标文件中提供认证证书复印件）；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卡机寿命：≥100万次；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具有容错和特殊维护处理的功能：异常卡处理、掉电处理等；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通信接口RS-232；</w:t>
            </w:r>
          </w:p>
        </w:tc>
      </w:tr>
      <w:tr w14:paraId="2855D1A4">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D52A6D7">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46D771ED">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523A798C">
            <w:pPr>
              <w:jc w:val="left"/>
              <w:rPr>
                <w:rFonts w:hint="eastAsia" w:ascii="宋体" w:hAnsi="宋体" w:eastAsia="宋体" w:cs="宋体"/>
                <w:color w:val="000000"/>
                <w:sz w:val="24"/>
                <w:szCs w:val="24"/>
              </w:rPr>
            </w:pPr>
          </w:p>
        </w:tc>
      </w:tr>
      <w:tr w14:paraId="29010BE5">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F585BFD">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BCDE9D3">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59039AB">
            <w:pPr>
              <w:jc w:val="left"/>
              <w:rPr>
                <w:rFonts w:hint="eastAsia" w:ascii="宋体" w:hAnsi="宋体" w:eastAsia="宋体" w:cs="宋体"/>
                <w:color w:val="000000"/>
                <w:sz w:val="24"/>
                <w:szCs w:val="24"/>
              </w:rPr>
            </w:pPr>
          </w:p>
        </w:tc>
      </w:tr>
      <w:tr w14:paraId="5FE6E6D8">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8322191">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263E7532">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522B783">
            <w:pPr>
              <w:jc w:val="left"/>
              <w:rPr>
                <w:rFonts w:hint="eastAsia" w:ascii="宋体" w:hAnsi="宋体" w:eastAsia="宋体" w:cs="宋体"/>
                <w:color w:val="000000"/>
                <w:sz w:val="24"/>
                <w:szCs w:val="24"/>
              </w:rPr>
            </w:pPr>
          </w:p>
        </w:tc>
      </w:tr>
      <w:tr w14:paraId="4B1AC3C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3832C689">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EF735FD">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CDED193">
            <w:pPr>
              <w:jc w:val="left"/>
              <w:rPr>
                <w:rFonts w:hint="eastAsia" w:ascii="宋体" w:hAnsi="宋体" w:eastAsia="宋体" w:cs="宋体"/>
                <w:color w:val="000000"/>
                <w:sz w:val="24"/>
                <w:szCs w:val="24"/>
              </w:rPr>
            </w:pPr>
          </w:p>
        </w:tc>
      </w:tr>
      <w:tr w14:paraId="50FBD9A8">
        <w:tblPrEx>
          <w:tblCellMar>
            <w:top w:w="0" w:type="dxa"/>
            <w:left w:w="108" w:type="dxa"/>
            <w:bottom w:w="0" w:type="dxa"/>
            <w:right w:w="108" w:type="dxa"/>
          </w:tblCellMar>
        </w:tblPrEx>
        <w:trPr>
          <w:trHeight w:val="81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CD4844D">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FE458DC">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5631D66C">
            <w:pPr>
              <w:jc w:val="left"/>
              <w:rPr>
                <w:rFonts w:hint="eastAsia" w:ascii="宋体" w:hAnsi="宋体" w:eastAsia="宋体" w:cs="宋体"/>
                <w:color w:val="000000"/>
                <w:sz w:val="24"/>
                <w:szCs w:val="24"/>
              </w:rPr>
            </w:pPr>
          </w:p>
        </w:tc>
      </w:tr>
      <w:tr w14:paraId="2AAB1DB9">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68D9D58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07E076AE">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密码键盘</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4935A942">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EPP硬件加密键盘；</w:t>
            </w:r>
            <w:r>
              <w:rPr>
                <w:rFonts w:hint="eastAsia" w:ascii="宋体" w:hAnsi="宋体" w:eastAsia="宋体" w:cs="宋体"/>
                <w:color w:val="000000"/>
                <w:kern w:val="0"/>
                <w:sz w:val="24"/>
                <w:szCs w:val="24"/>
                <w:lang w:bidi="ar"/>
              </w:rPr>
              <w:br w:type="textWrapping"/>
            </w:r>
            <w:r>
              <w:rPr>
                <w:rFonts w:hint="eastAsia" w:ascii="宋体" w:hAnsi="宋体" w:eastAsia="宋体" w:cs="宋体"/>
                <w:sz w:val="24"/>
                <w:szCs w:val="24"/>
              </w:rPr>
              <w:t>通过银联认证和国密认证；（投标文件中提供认证证书复印件）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支持DES，3DES算法，支持国密、ATM协议；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使用3DES加密算法加密2048字节的运算时间小于2秒；</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软件：支持最新Triple DES算法,可以支持ANSI 、ECB等标准；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密钥管理：可存储16组64位的密钥，只能写入不能读出，加密后如拆离键盘，必须自动启动密钥自毁功能；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键数：16键金属键盘，10个数字键，6个功能键；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整体设计可实现防尘，防水，防暴；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加装密码键盘防护罩；</w:t>
            </w:r>
          </w:p>
        </w:tc>
      </w:tr>
      <w:tr w14:paraId="68F4A8C6">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1A00665">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3220F67">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CB5E3E4">
            <w:pPr>
              <w:jc w:val="left"/>
              <w:rPr>
                <w:rFonts w:hint="eastAsia" w:ascii="宋体" w:hAnsi="宋体" w:eastAsia="宋体" w:cs="宋体"/>
                <w:color w:val="000000"/>
                <w:sz w:val="24"/>
                <w:szCs w:val="24"/>
              </w:rPr>
            </w:pPr>
          </w:p>
        </w:tc>
      </w:tr>
      <w:tr w14:paraId="1A15D6A5">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CFB9304">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2A43C730">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053D41E6">
            <w:pPr>
              <w:jc w:val="left"/>
              <w:rPr>
                <w:rFonts w:hint="eastAsia" w:ascii="宋体" w:hAnsi="宋体" w:eastAsia="宋体" w:cs="宋体"/>
                <w:color w:val="000000"/>
                <w:sz w:val="24"/>
                <w:szCs w:val="24"/>
              </w:rPr>
            </w:pPr>
          </w:p>
        </w:tc>
      </w:tr>
      <w:tr w14:paraId="011BE230">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2D8335C">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4B372BD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E997B4C">
            <w:pPr>
              <w:jc w:val="left"/>
              <w:rPr>
                <w:rFonts w:hint="eastAsia" w:ascii="宋体" w:hAnsi="宋体" w:eastAsia="宋体" w:cs="宋体"/>
                <w:color w:val="000000"/>
                <w:sz w:val="24"/>
                <w:szCs w:val="24"/>
              </w:rPr>
            </w:pPr>
          </w:p>
        </w:tc>
      </w:tr>
      <w:tr w14:paraId="49C8984B">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5C0FB2B">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7706F25">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F64D192">
            <w:pPr>
              <w:jc w:val="left"/>
              <w:rPr>
                <w:rFonts w:hint="eastAsia" w:ascii="宋体" w:hAnsi="宋体" w:eastAsia="宋体" w:cs="宋体"/>
                <w:color w:val="000000"/>
                <w:sz w:val="24"/>
                <w:szCs w:val="24"/>
              </w:rPr>
            </w:pPr>
          </w:p>
        </w:tc>
      </w:tr>
      <w:tr w14:paraId="3AA1E7A4">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F874F50">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4FA704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6B220D2">
            <w:pPr>
              <w:jc w:val="left"/>
              <w:rPr>
                <w:rFonts w:hint="eastAsia" w:ascii="宋体" w:hAnsi="宋体" w:eastAsia="宋体" w:cs="宋体"/>
                <w:color w:val="000000"/>
                <w:sz w:val="24"/>
                <w:szCs w:val="24"/>
              </w:rPr>
            </w:pPr>
          </w:p>
        </w:tc>
      </w:tr>
      <w:tr w14:paraId="73A35AE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0403FC3">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BDB1D17">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FF7E1EF">
            <w:pPr>
              <w:jc w:val="left"/>
              <w:rPr>
                <w:rFonts w:hint="eastAsia" w:ascii="宋体" w:hAnsi="宋体" w:eastAsia="宋体" w:cs="宋体"/>
                <w:color w:val="000000"/>
                <w:sz w:val="24"/>
                <w:szCs w:val="24"/>
              </w:rPr>
            </w:pPr>
          </w:p>
        </w:tc>
      </w:tr>
      <w:tr w14:paraId="1AE251C3">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CE40C6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3BD21F0">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9CBCF72">
            <w:pPr>
              <w:jc w:val="left"/>
              <w:rPr>
                <w:rFonts w:hint="eastAsia" w:ascii="宋体" w:hAnsi="宋体" w:eastAsia="宋体" w:cs="宋体"/>
                <w:color w:val="000000"/>
                <w:sz w:val="24"/>
                <w:szCs w:val="24"/>
              </w:rPr>
            </w:pPr>
          </w:p>
        </w:tc>
      </w:tr>
      <w:tr w14:paraId="7CFC1CE8">
        <w:tblPrEx>
          <w:tblCellMar>
            <w:top w:w="0" w:type="dxa"/>
            <w:left w:w="108" w:type="dxa"/>
            <w:bottom w:w="0" w:type="dxa"/>
            <w:right w:w="108" w:type="dxa"/>
          </w:tblCellMar>
        </w:tblPrEx>
        <w:trPr>
          <w:trHeight w:val="987"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767575D">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28F8D7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6832B950">
            <w:pPr>
              <w:jc w:val="left"/>
              <w:rPr>
                <w:rFonts w:hint="eastAsia" w:ascii="宋体" w:hAnsi="宋体" w:eastAsia="宋体" w:cs="宋体"/>
                <w:color w:val="000000"/>
                <w:sz w:val="24"/>
                <w:szCs w:val="24"/>
              </w:rPr>
            </w:pPr>
          </w:p>
        </w:tc>
      </w:tr>
      <w:tr w14:paraId="7A2C39CF">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6EEDF13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394C5580">
            <w:pPr>
              <w:widowControl/>
              <w:jc w:val="center"/>
              <w:textAlignment w:val="center"/>
              <w:rPr>
                <w:rFonts w:hint="eastAsia" w:ascii="宋体" w:hAnsi="宋体" w:eastAsia="宋体" w:cs="宋体"/>
                <w:color w:val="000000"/>
                <w:sz w:val="24"/>
                <w:szCs w:val="24"/>
              </w:rPr>
            </w:pPr>
            <w:r>
              <w:rPr>
                <w:rStyle w:val="21"/>
                <w:rFonts w:hint="eastAsia" w:ascii="宋体" w:hAnsi="宋体" w:eastAsia="宋体" w:cs="宋体"/>
                <w:sz w:val="24"/>
                <w:szCs w:val="24"/>
                <w:lang w:bidi="ar"/>
              </w:rPr>
              <w:t>凭条打印机</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4078ED1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打印方式：行式热敏打印；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纸张宽度：80mm；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分辨率：≥203dpi；</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打印速度：≥150mm/s；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最大纸卷：外径≥150mm；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打印头寿命：50KM，切刀寿命：150万次；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有防堵纸、黑白检测、纸将尽、纸尽传感器检测功能</w:t>
            </w:r>
          </w:p>
        </w:tc>
      </w:tr>
      <w:tr w14:paraId="1B0959C3">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DB2ABB8">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A726C84">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2B9C00C">
            <w:pPr>
              <w:jc w:val="left"/>
              <w:rPr>
                <w:rFonts w:hint="eastAsia" w:ascii="宋体" w:hAnsi="宋体" w:eastAsia="宋体" w:cs="宋体"/>
                <w:color w:val="000000"/>
                <w:sz w:val="24"/>
                <w:szCs w:val="24"/>
              </w:rPr>
            </w:pPr>
          </w:p>
        </w:tc>
      </w:tr>
      <w:tr w14:paraId="56B39C15">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0C559AB">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E0DC811">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1C110F0">
            <w:pPr>
              <w:jc w:val="left"/>
              <w:rPr>
                <w:rFonts w:hint="eastAsia" w:ascii="宋体" w:hAnsi="宋体" w:eastAsia="宋体" w:cs="宋体"/>
                <w:color w:val="000000"/>
                <w:sz w:val="24"/>
                <w:szCs w:val="24"/>
              </w:rPr>
            </w:pPr>
          </w:p>
        </w:tc>
      </w:tr>
      <w:tr w14:paraId="45AD100F">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4377A3C0">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FD1D99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0952B5C">
            <w:pPr>
              <w:jc w:val="left"/>
              <w:rPr>
                <w:rFonts w:hint="eastAsia" w:ascii="宋体" w:hAnsi="宋体" w:eastAsia="宋体" w:cs="宋体"/>
                <w:color w:val="000000"/>
                <w:sz w:val="24"/>
                <w:szCs w:val="24"/>
              </w:rPr>
            </w:pPr>
          </w:p>
        </w:tc>
      </w:tr>
      <w:tr w14:paraId="115CB32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B4DECA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77CE7BD">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DD2F70F">
            <w:pPr>
              <w:jc w:val="left"/>
              <w:rPr>
                <w:rFonts w:hint="eastAsia" w:ascii="宋体" w:hAnsi="宋体" w:eastAsia="宋体" w:cs="宋体"/>
                <w:color w:val="000000"/>
                <w:sz w:val="24"/>
                <w:szCs w:val="24"/>
              </w:rPr>
            </w:pPr>
          </w:p>
        </w:tc>
      </w:tr>
      <w:tr w14:paraId="53138C2A">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C5265B8">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015094D">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212B76C">
            <w:pPr>
              <w:jc w:val="left"/>
              <w:rPr>
                <w:rFonts w:hint="eastAsia" w:ascii="宋体" w:hAnsi="宋体" w:eastAsia="宋体" w:cs="宋体"/>
                <w:color w:val="000000"/>
                <w:sz w:val="24"/>
                <w:szCs w:val="24"/>
              </w:rPr>
            </w:pPr>
          </w:p>
        </w:tc>
      </w:tr>
      <w:tr w14:paraId="706DF343">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FF510AF">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78DD2DA">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6DEE7C3">
            <w:pPr>
              <w:jc w:val="left"/>
              <w:rPr>
                <w:rFonts w:hint="eastAsia" w:ascii="宋体" w:hAnsi="宋体" w:eastAsia="宋体" w:cs="宋体"/>
                <w:color w:val="000000"/>
                <w:sz w:val="24"/>
                <w:szCs w:val="24"/>
              </w:rPr>
            </w:pPr>
          </w:p>
        </w:tc>
      </w:tr>
      <w:tr w14:paraId="5CE2E55A">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451A3F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1B10B1C4">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条码扫描模块</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6A8073A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像素：640x480；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光源：白光；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指示：蜂鸣器 指示灯；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扫描类型：影像式；</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最小识别精度：≥5mil</w:t>
            </w:r>
          </w:p>
        </w:tc>
      </w:tr>
      <w:tr w14:paraId="7564191B">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785934D">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2A70B024">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0220D46">
            <w:pPr>
              <w:jc w:val="left"/>
              <w:rPr>
                <w:rFonts w:hint="eastAsia" w:ascii="宋体" w:hAnsi="宋体" w:eastAsia="宋体" w:cs="宋体"/>
                <w:color w:val="000000"/>
                <w:sz w:val="24"/>
                <w:szCs w:val="24"/>
              </w:rPr>
            </w:pPr>
          </w:p>
        </w:tc>
      </w:tr>
      <w:tr w14:paraId="6AD49F92">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C24297B">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258132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7E36CDF">
            <w:pPr>
              <w:jc w:val="left"/>
              <w:rPr>
                <w:rFonts w:hint="eastAsia" w:ascii="宋体" w:hAnsi="宋体" w:eastAsia="宋体" w:cs="宋体"/>
                <w:color w:val="000000"/>
                <w:sz w:val="24"/>
                <w:szCs w:val="24"/>
              </w:rPr>
            </w:pPr>
          </w:p>
        </w:tc>
      </w:tr>
      <w:tr w14:paraId="5F17BDED">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9FA87EA">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B3D2128">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32DCCD5">
            <w:pPr>
              <w:jc w:val="left"/>
              <w:rPr>
                <w:rFonts w:hint="eastAsia" w:ascii="宋体" w:hAnsi="宋体" w:eastAsia="宋体" w:cs="宋体"/>
                <w:color w:val="000000"/>
                <w:sz w:val="24"/>
                <w:szCs w:val="24"/>
              </w:rPr>
            </w:pPr>
          </w:p>
        </w:tc>
      </w:tr>
      <w:tr w14:paraId="2F84769F">
        <w:tblPrEx>
          <w:tblCellMar>
            <w:top w:w="0" w:type="dxa"/>
            <w:left w:w="108" w:type="dxa"/>
            <w:bottom w:w="0" w:type="dxa"/>
            <w:right w:w="108" w:type="dxa"/>
          </w:tblCellMar>
        </w:tblPrEx>
        <w:trPr>
          <w:trHeight w:val="328"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CDE0FEE">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E15E757">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0958D232">
            <w:pPr>
              <w:jc w:val="left"/>
              <w:rPr>
                <w:rFonts w:hint="eastAsia" w:ascii="宋体" w:hAnsi="宋体" w:eastAsia="宋体" w:cs="宋体"/>
                <w:color w:val="000000"/>
                <w:sz w:val="24"/>
                <w:szCs w:val="24"/>
              </w:rPr>
            </w:pPr>
          </w:p>
        </w:tc>
      </w:tr>
      <w:tr w14:paraId="37BD8FE7">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07C77C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0B0FFDF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黑白激光打印</w:t>
            </w:r>
          </w:p>
          <w:p w14:paraId="7F8EC83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（惠普4004）</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23A3DDD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打印速度：40ppm；</w:t>
            </w:r>
          </w:p>
          <w:p w14:paraId="6083591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最高分辨率： 1200x1200dpi；</w:t>
            </w:r>
          </w:p>
          <w:p w14:paraId="29FE10E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首页打印时间：≤6.3秒；</w:t>
            </w:r>
          </w:p>
          <w:p w14:paraId="12DBAC0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月打印负荷：最高80000页；</w:t>
            </w:r>
          </w:p>
          <w:p w14:paraId="1062C21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标配250页进纸盒；</w:t>
            </w:r>
          </w:p>
        </w:tc>
      </w:tr>
      <w:tr w14:paraId="57CBD8CD">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E4661B0">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D1E95CB">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9658C80">
            <w:pPr>
              <w:jc w:val="left"/>
              <w:rPr>
                <w:rFonts w:hint="eastAsia" w:ascii="宋体" w:hAnsi="宋体" w:eastAsia="宋体" w:cs="宋体"/>
                <w:color w:val="000000"/>
                <w:sz w:val="24"/>
                <w:szCs w:val="24"/>
              </w:rPr>
            </w:pPr>
          </w:p>
        </w:tc>
      </w:tr>
      <w:tr w14:paraId="38472BE7">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42490332">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60C5D0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3596A13">
            <w:pPr>
              <w:jc w:val="left"/>
              <w:rPr>
                <w:rFonts w:hint="eastAsia" w:ascii="宋体" w:hAnsi="宋体" w:eastAsia="宋体" w:cs="宋体"/>
                <w:color w:val="000000"/>
                <w:sz w:val="24"/>
                <w:szCs w:val="24"/>
              </w:rPr>
            </w:pPr>
          </w:p>
        </w:tc>
      </w:tr>
      <w:tr w14:paraId="714B8A45">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D6BFDF5">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2FA6CF4">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6C32BB62">
            <w:pPr>
              <w:jc w:val="left"/>
              <w:rPr>
                <w:rFonts w:hint="eastAsia" w:ascii="宋体" w:hAnsi="宋体" w:eastAsia="宋体" w:cs="宋体"/>
                <w:color w:val="000000"/>
                <w:sz w:val="24"/>
                <w:szCs w:val="24"/>
              </w:rPr>
            </w:pPr>
          </w:p>
        </w:tc>
      </w:tr>
      <w:tr w14:paraId="7624EDB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A047A04">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8C9DC8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131DB7E8">
            <w:pPr>
              <w:jc w:val="left"/>
              <w:rPr>
                <w:rFonts w:hint="eastAsia" w:ascii="宋体" w:hAnsi="宋体" w:eastAsia="宋体" w:cs="宋体"/>
                <w:color w:val="000000"/>
                <w:sz w:val="24"/>
                <w:szCs w:val="24"/>
              </w:rPr>
            </w:pPr>
          </w:p>
        </w:tc>
      </w:tr>
      <w:tr w14:paraId="0D98B054">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1C136D1">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C60AA98">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537D6BAD">
            <w:pPr>
              <w:jc w:val="left"/>
              <w:rPr>
                <w:rFonts w:hint="eastAsia" w:ascii="宋体" w:hAnsi="宋体" w:eastAsia="宋体" w:cs="宋体"/>
                <w:color w:val="000000"/>
                <w:sz w:val="24"/>
                <w:szCs w:val="24"/>
              </w:rPr>
            </w:pPr>
          </w:p>
        </w:tc>
      </w:tr>
      <w:tr w14:paraId="5FD4D9EE">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35B1503F">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E605088">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7FFE74D4">
            <w:pPr>
              <w:jc w:val="left"/>
              <w:rPr>
                <w:rFonts w:hint="eastAsia" w:ascii="宋体" w:hAnsi="宋体" w:eastAsia="宋体" w:cs="宋体"/>
                <w:color w:val="000000"/>
                <w:sz w:val="24"/>
                <w:szCs w:val="24"/>
              </w:rPr>
            </w:pPr>
          </w:p>
        </w:tc>
      </w:tr>
      <w:tr w14:paraId="451CEE6B">
        <w:tblPrEx>
          <w:tblCellMar>
            <w:top w:w="0" w:type="dxa"/>
            <w:left w:w="108" w:type="dxa"/>
            <w:bottom w:w="0" w:type="dxa"/>
            <w:right w:w="108" w:type="dxa"/>
          </w:tblCellMar>
        </w:tblPrEx>
        <w:trPr>
          <w:trHeight w:val="31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03B9757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042" w:type="dxa"/>
            <w:vMerge w:val="restart"/>
            <w:tcBorders>
              <w:top w:val="single" w:color="000000" w:sz="4" w:space="0"/>
              <w:left w:val="single" w:color="000000" w:sz="4" w:space="0"/>
              <w:bottom w:val="single" w:color="000000" w:sz="4" w:space="0"/>
              <w:right w:val="single" w:color="000000" w:sz="4" w:space="0"/>
            </w:tcBorders>
            <w:vAlign w:val="center"/>
          </w:tcPr>
          <w:p w14:paraId="7CDC8004">
            <w:pPr>
              <w:widowControl/>
              <w:jc w:val="center"/>
              <w:textAlignment w:val="center"/>
              <w:rPr>
                <w:rFonts w:hint="eastAsia" w:ascii="宋体" w:hAnsi="宋体" w:eastAsia="宋体" w:cs="宋体"/>
                <w:color w:val="000000"/>
                <w:sz w:val="24"/>
                <w:szCs w:val="24"/>
              </w:rPr>
            </w:pPr>
            <w:r>
              <w:rPr>
                <w:rStyle w:val="21"/>
                <w:rFonts w:hint="eastAsia" w:ascii="宋体" w:hAnsi="宋体" w:eastAsia="宋体" w:cs="宋体"/>
                <w:sz w:val="24"/>
                <w:szCs w:val="24"/>
                <w:lang w:bidi="ar"/>
              </w:rPr>
              <w:t>二代身份证阅读器</w:t>
            </w:r>
          </w:p>
        </w:tc>
        <w:tc>
          <w:tcPr>
            <w:tcW w:w="6623" w:type="dxa"/>
            <w:vMerge w:val="restart"/>
            <w:tcBorders>
              <w:top w:val="single" w:color="000000" w:sz="4" w:space="0"/>
              <w:left w:val="single" w:color="000000" w:sz="4" w:space="0"/>
              <w:bottom w:val="single" w:color="000000" w:sz="4" w:space="0"/>
              <w:right w:val="single" w:color="000000" w:sz="4" w:space="0"/>
            </w:tcBorders>
            <w:vAlign w:val="center"/>
          </w:tcPr>
          <w:p w14:paraId="32280A3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射频技术：符合ISO14443 Type B标准；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保密模块：身份证核验系统专用模块；</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读卡距离：0-50mm；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读卡时间：1.0s；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通讯接口：USB通讯接口；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通过公安部认证；</w:t>
            </w:r>
          </w:p>
        </w:tc>
      </w:tr>
      <w:tr w14:paraId="1BDA2D42">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1F3642E">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156DC00">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C42DB0C">
            <w:pPr>
              <w:jc w:val="left"/>
              <w:rPr>
                <w:rFonts w:hint="eastAsia" w:ascii="宋体" w:hAnsi="宋体" w:eastAsia="宋体" w:cs="宋体"/>
                <w:color w:val="000000"/>
                <w:sz w:val="24"/>
                <w:szCs w:val="24"/>
              </w:rPr>
            </w:pPr>
          </w:p>
        </w:tc>
      </w:tr>
      <w:tr w14:paraId="72281538">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C0704E9">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54542081">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A6FE81B">
            <w:pPr>
              <w:jc w:val="left"/>
              <w:rPr>
                <w:rFonts w:hint="eastAsia" w:ascii="宋体" w:hAnsi="宋体" w:eastAsia="宋体" w:cs="宋体"/>
                <w:color w:val="000000"/>
                <w:sz w:val="24"/>
                <w:szCs w:val="24"/>
              </w:rPr>
            </w:pPr>
          </w:p>
        </w:tc>
      </w:tr>
      <w:tr w14:paraId="246D1AEF">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6C2F524">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004319DC">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943ADBE">
            <w:pPr>
              <w:jc w:val="left"/>
              <w:rPr>
                <w:rFonts w:hint="eastAsia" w:ascii="宋体" w:hAnsi="宋体" w:eastAsia="宋体" w:cs="宋体"/>
                <w:color w:val="000000"/>
                <w:sz w:val="24"/>
                <w:szCs w:val="24"/>
              </w:rPr>
            </w:pPr>
          </w:p>
        </w:tc>
      </w:tr>
      <w:tr w14:paraId="0B790EAA">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8AEFA93">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3BCF9246">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252B5C1A">
            <w:pPr>
              <w:jc w:val="left"/>
              <w:rPr>
                <w:rFonts w:hint="eastAsia" w:ascii="宋体" w:hAnsi="宋体" w:eastAsia="宋体" w:cs="宋体"/>
                <w:color w:val="000000"/>
                <w:sz w:val="24"/>
                <w:szCs w:val="24"/>
              </w:rPr>
            </w:pPr>
          </w:p>
        </w:tc>
      </w:tr>
      <w:tr w14:paraId="4049A57D">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3E345298">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78516BF4">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66A76E91">
            <w:pPr>
              <w:jc w:val="left"/>
              <w:rPr>
                <w:rFonts w:hint="eastAsia" w:ascii="宋体" w:hAnsi="宋体" w:eastAsia="宋体" w:cs="宋体"/>
                <w:color w:val="000000"/>
                <w:sz w:val="24"/>
                <w:szCs w:val="24"/>
              </w:rPr>
            </w:pPr>
          </w:p>
        </w:tc>
      </w:tr>
      <w:tr w14:paraId="77C85D4C">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45E8D11">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1A56AB28">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09F0D92E">
            <w:pPr>
              <w:jc w:val="left"/>
              <w:rPr>
                <w:rFonts w:hint="eastAsia" w:ascii="宋体" w:hAnsi="宋体" w:eastAsia="宋体" w:cs="宋体"/>
                <w:color w:val="000000"/>
                <w:sz w:val="24"/>
                <w:szCs w:val="24"/>
              </w:rPr>
            </w:pPr>
          </w:p>
        </w:tc>
      </w:tr>
      <w:tr w14:paraId="2C3E3C97">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CB03786">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6F4F06E3">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45C8324B">
            <w:pPr>
              <w:jc w:val="left"/>
              <w:rPr>
                <w:rFonts w:hint="eastAsia" w:ascii="宋体" w:hAnsi="宋体" w:eastAsia="宋体" w:cs="宋体"/>
                <w:color w:val="000000"/>
                <w:sz w:val="24"/>
                <w:szCs w:val="24"/>
              </w:rPr>
            </w:pPr>
          </w:p>
        </w:tc>
      </w:tr>
      <w:tr w14:paraId="7B64D184">
        <w:tblPrEx>
          <w:tblCellMar>
            <w:top w:w="0" w:type="dxa"/>
            <w:left w:w="108" w:type="dxa"/>
            <w:bottom w:w="0" w:type="dxa"/>
            <w:right w:w="108" w:type="dxa"/>
          </w:tblCellMar>
        </w:tblPrEx>
        <w:trPr>
          <w:trHeight w:val="31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6AA7426C">
            <w:pPr>
              <w:jc w:val="center"/>
              <w:rPr>
                <w:rFonts w:hint="eastAsia" w:ascii="宋体" w:hAnsi="宋体" w:eastAsia="宋体" w:cs="宋体"/>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vAlign w:val="center"/>
          </w:tcPr>
          <w:p w14:paraId="2DAC13B5">
            <w:pPr>
              <w:jc w:val="center"/>
              <w:rPr>
                <w:rFonts w:hint="eastAsia" w:ascii="宋体" w:hAnsi="宋体" w:eastAsia="宋体" w:cs="宋体"/>
                <w:color w:val="000000"/>
                <w:sz w:val="24"/>
                <w:szCs w:val="24"/>
              </w:rPr>
            </w:pPr>
          </w:p>
        </w:tc>
        <w:tc>
          <w:tcPr>
            <w:tcW w:w="6623" w:type="dxa"/>
            <w:vMerge w:val="continue"/>
            <w:tcBorders>
              <w:top w:val="single" w:color="000000" w:sz="4" w:space="0"/>
              <w:left w:val="single" w:color="000000" w:sz="4" w:space="0"/>
              <w:bottom w:val="single" w:color="000000" w:sz="4" w:space="0"/>
              <w:right w:val="single" w:color="000000" w:sz="4" w:space="0"/>
            </w:tcBorders>
            <w:vAlign w:val="center"/>
          </w:tcPr>
          <w:p w14:paraId="3D7CE4DD">
            <w:pPr>
              <w:jc w:val="left"/>
              <w:rPr>
                <w:rFonts w:hint="eastAsia" w:ascii="宋体" w:hAnsi="宋体" w:eastAsia="宋体" w:cs="宋体"/>
                <w:color w:val="000000"/>
                <w:sz w:val="24"/>
                <w:szCs w:val="24"/>
              </w:rPr>
            </w:pPr>
          </w:p>
        </w:tc>
      </w:tr>
      <w:tr w14:paraId="39893B2C">
        <w:tblPrEx>
          <w:tblCellMar>
            <w:top w:w="0" w:type="dxa"/>
            <w:left w:w="108" w:type="dxa"/>
            <w:bottom w:w="0" w:type="dxa"/>
            <w:right w:w="108" w:type="dxa"/>
          </w:tblCellMar>
        </w:tblPrEx>
        <w:trPr>
          <w:trHeight w:val="611"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5C6AF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042" w:type="dxa"/>
            <w:tcBorders>
              <w:top w:val="single" w:color="000000" w:sz="4" w:space="0"/>
              <w:left w:val="single" w:color="000000" w:sz="4" w:space="0"/>
              <w:bottom w:val="single" w:color="000000" w:sz="4" w:space="0"/>
              <w:right w:val="single" w:color="000000" w:sz="4" w:space="0"/>
            </w:tcBorders>
            <w:vAlign w:val="center"/>
          </w:tcPr>
          <w:p w14:paraId="125A3A48">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lang w:bidi="ar"/>
              </w:rPr>
              <w:t>亚克力面板</w:t>
            </w:r>
          </w:p>
        </w:tc>
        <w:tc>
          <w:tcPr>
            <w:tcW w:w="6623" w:type="dxa"/>
            <w:tcBorders>
              <w:top w:val="single" w:color="000000" w:sz="4" w:space="0"/>
              <w:left w:val="single" w:color="000000" w:sz="4" w:space="0"/>
              <w:bottom w:val="single" w:color="000000" w:sz="4" w:space="0"/>
              <w:right w:val="single" w:color="000000" w:sz="4" w:space="0"/>
            </w:tcBorders>
            <w:vAlign w:val="center"/>
          </w:tcPr>
          <w:p w14:paraId="2A7A8691">
            <w:pPr>
              <w:widowControl/>
              <w:jc w:val="left"/>
              <w:textAlignment w:val="center"/>
              <w:rPr>
                <w:rFonts w:hint="eastAsia" w:ascii="宋体" w:hAnsi="宋体" w:eastAsia="宋体" w:cs="宋体"/>
                <w:color w:val="000000"/>
                <w:sz w:val="24"/>
                <w:szCs w:val="24"/>
              </w:rPr>
            </w:pPr>
            <w:r>
              <w:rPr>
                <w:rStyle w:val="21"/>
                <w:rFonts w:hint="eastAsia" w:ascii="宋体" w:hAnsi="宋体" w:eastAsia="宋体" w:cs="宋体"/>
                <w:sz w:val="24"/>
                <w:szCs w:val="24"/>
                <w:lang w:bidi="ar"/>
              </w:rPr>
              <w:t>磨砂亚克力背光板，可定制LOGO</w:t>
            </w:r>
          </w:p>
        </w:tc>
      </w:tr>
    </w:tbl>
    <w:p w14:paraId="64C639F9"/>
    <w:p w14:paraId="563CB13A">
      <w:pPr>
        <w:pStyle w:val="22"/>
        <w:rPr>
          <w:rFonts w:hint="eastAsia"/>
        </w:rPr>
      </w:pPr>
      <w:r>
        <w:rPr>
          <w:rFonts w:hint="eastAsia"/>
        </w:rPr>
        <w:t>出入院自助结算系统功能清单</w:t>
      </w:r>
    </w:p>
    <w:tbl>
      <w:tblPr>
        <w:tblStyle w:val="12"/>
        <w:tblpPr w:leftFromText="180" w:rightFromText="180" w:vertAnchor="text" w:horzAnchor="page" w:tblpXSpec="center" w:tblpY="424"/>
        <w:tblOverlap w:val="never"/>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29"/>
        <w:gridCol w:w="4542"/>
        <w:gridCol w:w="2129"/>
      </w:tblGrid>
      <w:tr w14:paraId="4F05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1" w:type="dxa"/>
            <w:vAlign w:val="center"/>
          </w:tcPr>
          <w:p w14:paraId="2C65CC5B">
            <w:pPr>
              <w:jc w:val="center"/>
              <w:rPr>
                <w:rFonts w:hint="eastAsia" w:ascii="宋体" w:hAnsi="宋体" w:cs="仿宋"/>
                <w:b/>
                <w:bCs/>
                <w:sz w:val="24"/>
                <w:szCs w:val="24"/>
              </w:rPr>
            </w:pPr>
            <w:r>
              <w:rPr>
                <w:rFonts w:hint="eastAsia" w:ascii="宋体" w:hAnsi="宋体" w:cs="仿宋"/>
                <w:b/>
                <w:bCs/>
                <w:sz w:val="24"/>
                <w:szCs w:val="24"/>
              </w:rPr>
              <w:t>序号</w:t>
            </w:r>
          </w:p>
        </w:tc>
        <w:tc>
          <w:tcPr>
            <w:tcW w:w="2429" w:type="dxa"/>
            <w:vAlign w:val="center"/>
          </w:tcPr>
          <w:p w14:paraId="585D8950">
            <w:pPr>
              <w:jc w:val="center"/>
              <w:rPr>
                <w:rFonts w:hint="eastAsia" w:ascii="宋体" w:hAnsi="宋体" w:cs="仿宋"/>
                <w:b/>
                <w:bCs/>
                <w:sz w:val="24"/>
                <w:szCs w:val="24"/>
              </w:rPr>
            </w:pPr>
            <w:r>
              <w:rPr>
                <w:rFonts w:hint="eastAsia" w:ascii="宋体" w:hAnsi="宋体" w:cs="仿宋"/>
                <w:b/>
                <w:bCs/>
                <w:sz w:val="24"/>
                <w:szCs w:val="24"/>
              </w:rPr>
              <w:t>业务功能列表</w:t>
            </w:r>
          </w:p>
        </w:tc>
        <w:tc>
          <w:tcPr>
            <w:tcW w:w="4542" w:type="dxa"/>
            <w:vAlign w:val="center"/>
          </w:tcPr>
          <w:p w14:paraId="17699C21">
            <w:pPr>
              <w:jc w:val="center"/>
              <w:rPr>
                <w:rFonts w:hint="eastAsia" w:ascii="宋体" w:hAnsi="宋体" w:cs="仿宋"/>
                <w:b/>
                <w:bCs/>
                <w:sz w:val="24"/>
                <w:szCs w:val="24"/>
              </w:rPr>
            </w:pPr>
            <w:r>
              <w:rPr>
                <w:rFonts w:hint="eastAsia" w:ascii="宋体" w:hAnsi="宋体" w:cs="仿宋"/>
                <w:b/>
                <w:bCs/>
                <w:sz w:val="24"/>
                <w:szCs w:val="24"/>
              </w:rPr>
              <w:t>功能描述</w:t>
            </w:r>
          </w:p>
        </w:tc>
        <w:tc>
          <w:tcPr>
            <w:tcW w:w="2129" w:type="dxa"/>
            <w:vAlign w:val="center"/>
          </w:tcPr>
          <w:p w14:paraId="49975E34">
            <w:pPr>
              <w:jc w:val="center"/>
              <w:rPr>
                <w:rFonts w:hint="eastAsia" w:ascii="宋体" w:hAnsi="宋体" w:cs="仿宋"/>
                <w:b/>
                <w:bCs/>
                <w:sz w:val="24"/>
                <w:szCs w:val="24"/>
              </w:rPr>
            </w:pPr>
            <w:r>
              <w:rPr>
                <w:rFonts w:hint="eastAsia" w:ascii="宋体" w:hAnsi="宋体" w:cs="仿宋"/>
                <w:b/>
                <w:bCs/>
                <w:sz w:val="24"/>
                <w:szCs w:val="24"/>
              </w:rPr>
              <w:t>备注说明</w:t>
            </w:r>
          </w:p>
        </w:tc>
      </w:tr>
      <w:tr w14:paraId="3065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2A53AFB9">
            <w:pPr>
              <w:pStyle w:val="22"/>
              <w:numPr>
                <w:ilvl w:val="0"/>
                <w:numId w:val="3"/>
              </w:numPr>
              <w:rPr>
                <w:rFonts w:hint="eastAsia"/>
                <w:sz w:val="24"/>
                <w:szCs w:val="24"/>
              </w:rPr>
            </w:pPr>
          </w:p>
        </w:tc>
        <w:tc>
          <w:tcPr>
            <w:tcW w:w="2429" w:type="dxa"/>
            <w:vAlign w:val="center"/>
          </w:tcPr>
          <w:p w14:paraId="67890D64">
            <w:pPr>
              <w:rPr>
                <w:rFonts w:hint="eastAsia" w:ascii="宋体" w:hAnsi="宋体" w:cs="仿宋"/>
                <w:sz w:val="24"/>
                <w:szCs w:val="24"/>
              </w:rPr>
            </w:pPr>
            <w:r>
              <w:rPr>
                <w:rFonts w:hint="eastAsia" w:ascii="宋体" w:hAnsi="宋体" w:cs="仿宋"/>
                <w:sz w:val="24"/>
                <w:szCs w:val="24"/>
              </w:rPr>
              <w:t>一站式入院办理</w:t>
            </w:r>
          </w:p>
        </w:tc>
        <w:tc>
          <w:tcPr>
            <w:tcW w:w="4542" w:type="dxa"/>
            <w:vAlign w:val="center"/>
          </w:tcPr>
          <w:p w14:paraId="0FD3B695">
            <w:pPr>
              <w:rPr>
                <w:rFonts w:hint="eastAsia" w:ascii="宋体" w:hAnsi="宋体" w:cs="仿宋"/>
                <w:sz w:val="24"/>
                <w:szCs w:val="24"/>
              </w:rPr>
            </w:pPr>
            <w:r>
              <w:rPr>
                <w:rFonts w:hint="eastAsia" w:ascii="宋体" w:hAnsi="宋体" w:cs="仿宋"/>
                <w:sz w:val="24"/>
                <w:szCs w:val="24"/>
              </w:rPr>
              <w:t>患者通过自助终端进行办理入院功能</w:t>
            </w:r>
          </w:p>
        </w:tc>
        <w:tc>
          <w:tcPr>
            <w:tcW w:w="2129" w:type="dxa"/>
            <w:vAlign w:val="center"/>
          </w:tcPr>
          <w:p w14:paraId="48103244">
            <w:pPr>
              <w:rPr>
                <w:rFonts w:hint="eastAsia" w:ascii="宋体" w:hAnsi="宋体" w:cs="仿宋"/>
                <w:color w:val="000000"/>
                <w:sz w:val="24"/>
                <w:szCs w:val="24"/>
                <w:shd w:val="clear" w:color="auto" w:fill="FFFFFF"/>
              </w:rPr>
            </w:pPr>
          </w:p>
        </w:tc>
      </w:tr>
      <w:tr w14:paraId="222E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38666A19">
            <w:pPr>
              <w:pStyle w:val="22"/>
              <w:numPr>
                <w:ilvl w:val="0"/>
                <w:numId w:val="3"/>
              </w:numPr>
              <w:rPr>
                <w:rFonts w:hint="eastAsia"/>
                <w:sz w:val="24"/>
                <w:szCs w:val="24"/>
              </w:rPr>
            </w:pPr>
          </w:p>
        </w:tc>
        <w:tc>
          <w:tcPr>
            <w:tcW w:w="2429" w:type="dxa"/>
            <w:vAlign w:val="center"/>
          </w:tcPr>
          <w:p w14:paraId="4C0101E5">
            <w:pPr>
              <w:rPr>
                <w:rFonts w:hint="eastAsia" w:ascii="宋体" w:hAnsi="宋体" w:cs="仿宋"/>
                <w:sz w:val="24"/>
                <w:szCs w:val="24"/>
              </w:rPr>
            </w:pPr>
            <w:r>
              <w:rPr>
                <w:rFonts w:hint="eastAsia" w:ascii="宋体" w:hAnsi="宋体" w:cs="仿宋"/>
                <w:sz w:val="24"/>
                <w:szCs w:val="24"/>
              </w:rPr>
              <w:t>住院押金充值</w:t>
            </w:r>
          </w:p>
        </w:tc>
        <w:tc>
          <w:tcPr>
            <w:tcW w:w="4542" w:type="dxa"/>
            <w:vAlign w:val="center"/>
          </w:tcPr>
          <w:p w14:paraId="5DB28C99">
            <w:pPr>
              <w:rPr>
                <w:rFonts w:hint="eastAsia" w:ascii="宋体" w:hAnsi="宋体" w:cs="仿宋"/>
                <w:sz w:val="24"/>
                <w:szCs w:val="24"/>
              </w:rPr>
            </w:pPr>
            <w:r>
              <w:rPr>
                <w:rFonts w:hint="eastAsia" w:ascii="宋体" w:hAnsi="宋体" w:cs="仿宋"/>
                <w:sz w:val="24"/>
                <w:szCs w:val="24"/>
              </w:rPr>
              <w:t>在自助设备上实现住院患者住院押金充值功能</w:t>
            </w:r>
          </w:p>
        </w:tc>
        <w:tc>
          <w:tcPr>
            <w:tcW w:w="2129" w:type="dxa"/>
            <w:vAlign w:val="center"/>
          </w:tcPr>
          <w:p w14:paraId="25C8C4B1">
            <w:pPr>
              <w:rPr>
                <w:rFonts w:hint="eastAsia" w:ascii="宋体" w:hAnsi="宋体" w:cs="仿宋"/>
                <w:color w:val="000000"/>
                <w:sz w:val="24"/>
                <w:szCs w:val="24"/>
                <w:shd w:val="clear" w:color="auto" w:fill="FFFFFF"/>
              </w:rPr>
            </w:pPr>
          </w:p>
        </w:tc>
      </w:tr>
      <w:tr w14:paraId="504C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1" w:type="dxa"/>
            <w:vAlign w:val="center"/>
          </w:tcPr>
          <w:p w14:paraId="6CB7401F">
            <w:pPr>
              <w:pStyle w:val="22"/>
              <w:numPr>
                <w:ilvl w:val="0"/>
                <w:numId w:val="3"/>
              </w:numPr>
              <w:rPr>
                <w:rFonts w:hint="eastAsia"/>
                <w:sz w:val="24"/>
                <w:szCs w:val="24"/>
              </w:rPr>
            </w:pPr>
          </w:p>
        </w:tc>
        <w:tc>
          <w:tcPr>
            <w:tcW w:w="2429" w:type="dxa"/>
            <w:vAlign w:val="center"/>
          </w:tcPr>
          <w:p w14:paraId="4D23E6BD">
            <w:pPr>
              <w:rPr>
                <w:rFonts w:hint="eastAsia" w:ascii="宋体" w:hAnsi="宋体" w:cs="仿宋"/>
                <w:sz w:val="24"/>
                <w:szCs w:val="24"/>
              </w:rPr>
            </w:pPr>
            <w:r>
              <w:rPr>
                <w:rFonts w:hint="eastAsia" w:ascii="宋体" w:hAnsi="宋体" w:cs="仿宋"/>
                <w:sz w:val="24"/>
                <w:szCs w:val="24"/>
              </w:rPr>
              <w:t>住院日清单查询</w:t>
            </w:r>
          </w:p>
        </w:tc>
        <w:tc>
          <w:tcPr>
            <w:tcW w:w="4542" w:type="dxa"/>
            <w:vAlign w:val="center"/>
          </w:tcPr>
          <w:p w14:paraId="7557B5B3">
            <w:pPr>
              <w:rPr>
                <w:rFonts w:hint="eastAsia" w:ascii="宋体" w:hAnsi="宋体" w:cs="仿宋"/>
                <w:sz w:val="24"/>
                <w:szCs w:val="24"/>
              </w:rPr>
            </w:pPr>
            <w:r>
              <w:rPr>
                <w:rFonts w:hint="eastAsia" w:ascii="宋体" w:hAnsi="宋体" w:cs="仿宋"/>
                <w:sz w:val="24"/>
                <w:szCs w:val="24"/>
              </w:rPr>
              <w:t>在自助设备上实现住院患者住院清单查询打印。</w:t>
            </w:r>
          </w:p>
        </w:tc>
        <w:tc>
          <w:tcPr>
            <w:tcW w:w="2129" w:type="dxa"/>
            <w:vAlign w:val="center"/>
          </w:tcPr>
          <w:p w14:paraId="40E29A73">
            <w:pPr>
              <w:rPr>
                <w:rFonts w:hint="eastAsia" w:ascii="宋体" w:hAnsi="宋体" w:cs="仿宋"/>
                <w:color w:val="000000"/>
                <w:sz w:val="24"/>
                <w:szCs w:val="24"/>
                <w:shd w:val="clear" w:color="auto" w:fill="FFFFFF"/>
              </w:rPr>
            </w:pPr>
          </w:p>
        </w:tc>
      </w:tr>
      <w:tr w14:paraId="1991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0F0992DE">
            <w:pPr>
              <w:pStyle w:val="22"/>
              <w:numPr>
                <w:ilvl w:val="0"/>
                <w:numId w:val="3"/>
              </w:numPr>
              <w:rPr>
                <w:rFonts w:hint="eastAsia"/>
                <w:sz w:val="24"/>
                <w:szCs w:val="24"/>
              </w:rPr>
            </w:pPr>
          </w:p>
        </w:tc>
        <w:tc>
          <w:tcPr>
            <w:tcW w:w="2429" w:type="dxa"/>
            <w:vAlign w:val="center"/>
          </w:tcPr>
          <w:p w14:paraId="7D540D5C">
            <w:pPr>
              <w:rPr>
                <w:rFonts w:hint="eastAsia" w:ascii="宋体" w:hAnsi="宋体" w:cs="仿宋"/>
                <w:sz w:val="24"/>
                <w:szCs w:val="24"/>
              </w:rPr>
            </w:pPr>
            <w:r>
              <w:rPr>
                <w:rFonts w:hint="eastAsia" w:ascii="宋体" w:hAnsi="宋体" w:cs="仿宋"/>
                <w:sz w:val="24"/>
                <w:szCs w:val="24"/>
              </w:rPr>
              <w:t>医保电子凭证支付</w:t>
            </w:r>
          </w:p>
        </w:tc>
        <w:tc>
          <w:tcPr>
            <w:tcW w:w="4542" w:type="dxa"/>
            <w:vAlign w:val="center"/>
          </w:tcPr>
          <w:p w14:paraId="1C9183E7">
            <w:pPr>
              <w:rPr>
                <w:rFonts w:hint="eastAsia" w:ascii="宋体" w:hAnsi="宋体" w:cs="仿宋"/>
                <w:sz w:val="24"/>
                <w:szCs w:val="24"/>
              </w:rPr>
            </w:pPr>
            <w:r>
              <w:rPr>
                <w:rFonts w:hint="eastAsia" w:ascii="宋体" w:hAnsi="宋体" w:cs="仿宋"/>
                <w:sz w:val="24"/>
                <w:szCs w:val="24"/>
              </w:rPr>
              <w:t>在自助设备上实现医保电子凭证支付功能</w:t>
            </w:r>
          </w:p>
        </w:tc>
        <w:tc>
          <w:tcPr>
            <w:tcW w:w="2129" w:type="dxa"/>
            <w:vAlign w:val="center"/>
          </w:tcPr>
          <w:p w14:paraId="157DE39A">
            <w:pPr>
              <w:rPr>
                <w:rFonts w:hint="eastAsia" w:ascii="宋体" w:hAnsi="宋体" w:cs="仿宋"/>
                <w:color w:val="000000"/>
                <w:sz w:val="24"/>
                <w:szCs w:val="24"/>
                <w:shd w:val="clear" w:color="auto" w:fill="FFFFFF"/>
              </w:rPr>
            </w:pPr>
          </w:p>
        </w:tc>
      </w:tr>
      <w:tr w14:paraId="0539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75031C2B">
            <w:pPr>
              <w:pStyle w:val="22"/>
              <w:numPr>
                <w:ilvl w:val="0"/>
                <w:numId w:val="3"/>
              </w:numPr>
              <w:rPr>
                <w:rFonts w:hint="eastAsia"/>
                <w:sz w:val="24"/>
                <w:szCs w:val="24"/>
              </w:rPr>
            </w:pPr>
          </w:p>
        </w:tc>
        <w:tc>
          <w:tcPr>
            <w:tcW w:w="2429" w:type="dxa"/>
            <w:vAlign w:val="center"/>
          </w:tcPr>
          <w:p w14:paraId="135CA099">
            <w:pPr>
              <w:rPr>
                <w:rFonts w:hint="eastAsia" w:ascii="宋体" w:hAnsi="宋体" w:cs="仿宋"/>
                <w:sz w:val="24"/>
                <w:szCs w:val="24"/>
              </w:rPr>
            </w:pPr>
            <w:r>
              <w:rPr>
                <w:rFonts w:hint="eastAsia" w:ascii="宋体" w:hAnsi="宋体" w:cs="仿宋"/>
                <w:sz w:val="24"/>
                <w:szCs w:val="24"/>
              </w:rPr>
              <w:t>银行卡支付</w:t>
            </w:r>
          </w:p>
        </w:tc>
        <w:tc>
          <w:tcPr>
            <w:tcW w:w="4542" w:type="dxa"/>
            <w:vAlign w:val="center"/>
          </w:tcPr>
          <w:p w14:paraId="6389D48A">
            <w:pPr>
              <w:rPr>
                <w:rFonts w:hint="eastAsia" w:ascii="宋体" w:hAnsi="宋体" w:cs="仿宋"/>
                <w:sz w:val="24"/>
                <w:szCs w:val="24"/>
              </w:rPr>
            </w:pPr>
            <w:r>
              <w:rPr>
                <w:rFonts w:hint="eastAsia" w:ascii="宋体" w:hAnsi="宋体" w:cs="仿宋"/>
                <w:sz w:val="24"/>
                <w:szCs w:val="24"/>
              </w:rPr>
              <w:t>在自助设备上实现银行卡支付</w:t>
            </w:r>
          </w:p>
        </w:tc>
        <w:tc>
          <w:tcPr>
            <w:tcW w:w="2129" w:type="dxa"/>
            <w:vAlign w:val="center"/>
          </w:tcPr>
          <w:p w14:paraId="39AB8C7F">
            <w:pPr>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银行卡对接银联专线</w:t>
            </w:r>
          </w:p>
        </w:tc>
      </w:tr>
      <w:tr w14:paraId="313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13902D9E">
            <w:pPr>
              <w:pStyle w:val="22"/>
              <w:numPr>
                <w:ilvl w:val="0"/>
                <w:numId w:val="3"/>
              </w:numPr>
              <w:rPr>
                <w:rFonts w:hint="eastAsia"/>
                <w:sz w:val="24"/>
                <w:szCs w:val="24"/>
              </w:rPr>
            </w:pPr>
          </w:p>
        </w:tc>
        <w:tc>
          <w:tcPr>
            <w:tcW w:w="2429" w:type="dxa"/>
            <w:vAlign w:val="center"/>
          </w:tcPr>
          <w:p w14:paraId="1D32B0E3">
            <w:pPr>
              <w:rPr>
                <w:rFonts w:hint="eastAsia" w:ascii="宋体" w:hAnsi="宋体" w:cs="仿宋"/>
                <w:sz w:val="24"/>
                <w:szCs w:val="24"/>
              </w:rPr>
            </w:pPr>
            <w:r>
              <w:rPr>
                <w:rFonts w:hint="eastAsia" w:ascii="宋体" w:hAnsi="宋体" w:cs="仿宋"/>
                <w:sz w:val="24"/>
                <w:szCs w:val="24"/>
              </w:rPr>
              <w:t>扫码支付</w:t>
            </w:r>
          </w:p>
        </w:tc>
        <w:tc>
          <w:tcPr>
            <w:tcW w:w="4542" w:type="dxa"/>
            <w:vAlign w:val="center"/>
          </w:tcPr>
          <w:p w14:paraId="3CB8A791">
            <w:pPr>
              <w:rPr>
                <w:rFonts w:hint="eastAsia" w:ascii="宋体" w:hAnsi="宋体" w:cs="仿宋"/>
                <w:sz w:val="24"/>
                <w:szCs w:val="24"/>
              </w:rPr>
            </w:pPr>
            <w:r>
              <w:rPr>
                <w:rFonts w:hint="eastAsia" w:ascii="宋体" w:hAnsi="宋体" w:cs="仿宋"/>
                <w:sz w:val="24"/>
                <w:szCs w:val="24"/>
              </w:rPr>
              <w:t>在自助设备上支持患者微信扫码支付</w:t>
            </w:r>
          </w:p>
        </w:tc>
        <w:tc>
          <w:tcPr>
            <w:tcW w:w="2129" w:type="dxa"/>
            <w:vAlign w:val="center"/>
          </w:tcPr>
          <w:p w14:paraId="13013ADF">
            <w:pPr>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扫码支付对接HIS扫码平台</w:t>
            </w:r>
          </w:p>
        </w:tc>
      </w:tr>
      <w:tr w14:paraId="47AA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70223A4A">
            <w:pPr>
              <w:pStyle w:val="22"/>
              <w:numPr>
                <w:ilvl w:val="0"/>
                <w:numId w:val="3"/>
              </w:numPr>
              <w:rPr>
                <w:rFonts w:hint="eastAsia"/>
                <w:sz w:val="24"/>
                <w:szCs w:val="24"/>
              </w:rPr>
            </w:pPr>
          </w:p>
        </w:tc>
        <w:tc>
          <w:tcPr>
            <w:tcW w:w="2429" w:type="dxa"/>
            <w:vAlign w:val="center"/>
          </w:tcPr>
          <w:p w14:paraId="6C232C9B">
            <w:pPr>
              <w:rPr>
                <w:rFonts w:hint="eastAsia" w:ascii="宋体" w:hAnsi="宋体" w:cs="仿宋"/>
                <w:sz w:val="24"/>
                <w:szCs w:val="24"/>
              </w:rPr>
            </w:pPr>
            <w:r>
              <w:rPr>
                <w:rFonts w:hint="eastAsia" w:ascii="宋体" w:hAnsi="宋体" w:cs="仿宋"/>
                <w:sz w:val="24"/>
                <w:szCs w:val="24"/>
              </w:rPr>
              <w:t>自助出院结算</w:t>
            </w:r>
          </w:p>
        </w:tc>
        <w:tc>
          <w:tcPr>
            <w:tcW w:w="4542" w:type="dxa"/>
            <w:vAlign w:val="center"/>
          </w:tcPr>
          <w:p w14:paraId="1C731CBD">
            <w:pPr>
              <w:rPr>
                <w:rFonts w:hint="eastAsia" w:ascii="宋体" w:hAnsi="宋体" w:cs="仿宋"/>
                <w:sz w:val="24"/>
                <w:szCs w:val="24"/>
              </w:rPr>
            </w:pPr>
            <w:r>
              <w:rPr>
                <w:rFonts w:hint="eastAsia" w:ascii="宋体" w:hAnsi="宋体" w:cs="仿宋"/>
                <w:sz w:val="24"/>
                <w:szCs w:val="24"/>
              </w:rPr>
              <w:t>在自助设备上实现自助出院结算功能</w:t>
            </w:r>
          </w:p>
        </w:tc>
        <w:tc>
          <w:tcPr>
            <w:tcW w:w="2129" w:type="dxa"/>
            <w:vAlign w:val="center"/>
          </w:tcPr>
          <w:p w14:paraId="07223DD4">
            <w:pPr>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医院医保满足情况下，可实现医保结算</w:t>
            </w:r>
          </w:p>
        </w:tc>
      </w:tr>
      <w:tr w14:paraId="17BA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78B7484B">
            <w:pPr>
              <w:pStyle w:val="22"/>
              <w:numPr>
                <w:ilvl w:val="0"/>
                <w:numId w:val="3"/>
              </w:numPr>
              <w:rPr>
                <w:rFonts w:hint="eastAsia"/>
                <w:sz w:val="24"/>
                <w:szCs w:val="24"/>
              </w:rPr>
            </w:pPr>
          </w:p>
        </w:tc>
        <w:tc>
          <w:tcPr>
            <w:tcW w:w="2429" w:type="dxa"/>
            <w:vAlign w:val="center"/>
          </w:tcPr>
          <w:p w14:paraId="2A5D6DEB">
            <w:pPr>
              <w:rPr>
                <w:rFonts w:hint="eastAsia" w:ascii="宋体" w:hAnsi="宋体" w:cs="仿宋"/>
                <w:sz w:val="24"/>
                <w:szCs w:val="24"/>
              </w:rPr>
            </w:pPr>
            <w:r>
              <w:rPr>
                <w:rFonts w:hint="eastAsia" w:ascii="宋体" w:hAnsi="宋体" w:cs="仿宋"/>
                <w:sz w:val="24"/>
                <w:szCs w:val="24"/>
              </w:rPr>
              <w:t>住院电子发票打印</w:t>
            </w:r>
          </w:p>
        </w:tc>
        <w:tc>
          <w:tcPr>
            <w:tcW w:w="4542" w:type="dxa"/>
            <w:vAlign w:val="center"/>
          </w:tcPr>
          <w:p w14:paraId="5D4E8FD5">
            <w:pPr>
              <w:rPr>
                <w:rFonts w:hint="eastAsia" w:ascii="宋体" w:hAnsi="宋体" w:cs="仿宋"/>
                <w:sz w:val="24"/>
                <w:szCs w:val="24"/>
              </w:rPr>
            </w:pPr>
            <w:r>
              <w:rPr>
                <w:rFonts w:hint="eastAsia" w:ascii="宋体" w:hAnsi="宋体" w:cs="仿宋"/>
                <w:sz w:val="24"/>
                <w:szCs w:val="24"/>
              </w:rPr>
              <w:t>在自助设备上实现住院电子发票打印</w:t>
            </w:r>
          </w:p>
        </w:tc>
        <w:tc>
          <w:tcPr>
            <w:tcW w:w="2129" w:type="dxa"/>
            <w:vAlign w:val="center"/>
          </w:tcPr>
          <w:p w14:paraId="29F0D8D0">
            <w:pPr>
              <w:rPr>
                <w:rFonts w:hint="eastAsia" w:ascii="宋体" w:hAnsi="宋体" w:cs="仿宋"/>
                <w:color w:val="000000"/>
                <w:sz w:val="24"/>
                <w:szCs w:val="24"/>
                <w:shd w:val="clear" w:color="auto" w:fill="FFFFFF"/>
              </w:rPr>
            </w:pPr>
          </w:p>
        </w:tc>
      </w:tr>
      <w:tr w14:paraId="535D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31" w:type="dxa"/>
            <w:vAlign w:val="center"/>
          </w:tcPr>
          <w:p w14:paraId="67447747">
            <w:pPr>
              <w:pStyle w:val="22"/>
              <w:numPr>
                <w:ilvl w:val="0"/>
                <w:numId w:val="3"/>
              </w:numPr>
              <w:rPr>
                <w:rFonts w:hint="eastAsia"/>
                <w:sz w:val="24"/>
                <w:szCs w:val="24"/>
              </w:rPr>
            </w:pPr>
          </w:p>
        </w:tc>
        <w:tc>
          <w:tcPr>
            <w:tcW w:w="2429" w:type="dxa"/>
            <w:vAlign w:val="center"/>
          </w:tcPr>
          <w:p w14:paraId="48A0DCE6">
            <w:pPr>
              <w:rPr>
                <w:rFonts w:hint="eastAsia" w:ascii="宋体" w:hAnsi="宋体" w:cs="仿宋"/>
                <w:sz w:val="24"/>
                <w:szCs w:val="24"/>
              </w:rPr>
            </w:pPr>
            <w:r>
              <w:rPr>
                <w:rFonts w:hint="eastAsia" w:ascii="宋体" w:hAnsi="宋体" w:cs="仿宋"/>
                <w:sz w:val="24"/>
                <w:szCs w:val="24"/>
              </w:rPr>
              <w:t>住院总清单打印</w:t>
            </w:r>
          </w:p>
        </w:tc>
        <w:tc>
          <w:tcPr>
            <w:tcW w:w="4542" w:type="dxa"/>
            <w:vAlign w:val="center"/>
          </w:tcPr>
          <w:p w14:paraId="5E4731EE">
            <w:pPr>
              <w:rPr>
                <w:rFonts w:hint="eastAsia" w:ascii="宋体" w:hAnsi="宋体" w:cs="仿宋"/>
                <w:sz w:val="24"/>
                <w:szCs w:val="24"/>
              </w:rPr>
            </w:pPr>
            <w:r>
              <w:rPr>
                <w:rFonts w:hint="eastAsia" w:ascii="宋体" w:hAnsi="宋体" w:cs="仿宋"/>
                <w:sz w:val="24"/>
                <w:szCs w:val="24"/>
              </w:rPr>
              <w:t>在自助设备上实现住院患者住院清单查询打印。</w:t>
            </w:r>
          </w:p>
        </w:tc>
        <w:tc>
          <w:tcPr>
            <w:tcW w:w="2129" w:type="dxa"/>
            <w:vAlign w:val="center"/>
          </w:tcPr>
          <w:p w14:paraId="6C535126">
            <w:pPr>
              <w:rPr>
                <w:rFonts w:hint="eastAsia" w:ascii="宋体" w:hAnsi="宋体" w:cs="仿宋"/>
                <w:color w:val="000000"/>
                <w:sz w:val="24"/>
                <w:szCs w:val="24"/>
                <w:shd w:val="clear" w:color="auto" w:fill="FFFFFF"/>
              </w:rPr>
            </w:pPr>
          </w:p>
        </w:tc>
      </w:tr>
    </w:tbl>
    <w:p w14:paraId="04539780">
      <w:pPr>
        <w:rPr>
          <w:rFonts w:ascii="宋体" w:hAnsi="宋体"/>
          <w:szCs w:val="21"/>
        </w:rPr>
      </w:pPr>
    </w:p>
    <w:p w14:paraId="3C47DFE9">
      <w:pPr>
        <w:rPr>
          <w:rFonts w:hint="eastAsia" w:ascii="宋体" w:hAnsi="宋体"/>
          <w:szCs w:val="21"/>
        </w:rPr>
      </w:pPr>
    </w:p>
    <w:p w14:paraId="7294B6CB">
      <w:pPr>
        <w:pStyle w:val="22"/>
        <w:shd w:val="clear"/>
        <w:rPr>
          <w:rFonts w:hint="eastAsia"/>
          <w:b w:val="0"/>
          <w:bCs w:val="0"/>
          <w:color w:val="auto"/>
          <w:highlight w:val="none"/>
        </w:rPr>
      </w:pPr>
      <w:bookmarkStart w:id="1" w:name="_Hlk208868259"/>
      <w:r>
        <w:rPr>
          <w:rFonts w:hint="eastAsia"/>
          <w:b w:val="0"/>
          <w:bCs w:val="0"/>
          <w:color w:val="auto"/>
          <w:highlight w:val="none"/>
        </w:rPr>
        <w:t>微信小程序</w:t>
      </w:r>
      <w:bookmarkEnd w:id="1"/>
      <w:r>
        <w:rPr>
          <w:rFonts w:hint="eastAsia"/>
          <w:b w:val="0"/>
          <w:bCs w:val="0"/>
          <w:color w:val="auto"/>
          <w:highlight w:val="none"/>
        </w:rPr>
        <w:t>功能清单</w:t>
      </w:r>
    </w:p>
    <w:tbl>
      <w:tblPr>
        <w:tblStyle w:val="13"/>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988"/>
        <w:gridCol w:w="1257"/>
        <w:gridCol w:w="1969"/>
        <w:gridCol w:w="5630"/>
      </w:tblGrid>
      <w:tr w14:paraId="0148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BEA44CE">
            <w:pPr>
              <w:widowControl/>
              <w:snapToGrid w:val="0"/>
              <w:jc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eastAsia="zh-CN" w:bidi="ar"/>
              </w:rPr>
              <w:t>需求</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55E4A70">
            <w:pPr>
              <w:widowControl/>
              <w:snapToGrid w:val="0"/>
              <w:jc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eastAsia="zh-CN" w:bidi="ar"/>
              </w:rPr>
              <w:t>小类</w:t>
            </w: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0D5A55A0">
            <w:pPr>
              <w:widowControl/>
              <w:snapToGrid w:val="0"/>
              <w:jc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eastAsia="zh-CN" w:bidi="ar"/>
              </w:rPr>
              <w:t>明细</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D9391AC">
            <w:pPr>
              <w:widowControl/>
              <w:snapToGrid w:val="0"/>
              <w:jc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eastAsia="zh-CN" w:bidi="ar"/>
              </w:rPr>
              <w:t>具体内容</w:t>
            </w:r>
          </w:p>
        </w:tc>
      </w:tr>
      <w:tr w14:paraId="4E10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restart"/>
            <w:tcBorders>
              <w:top w:val="single" w:color="auto" w:sz="4" w:space="0"/>
              <w:left w:val="single" w:color="auto" w:sz="4" w:space="0"/>
              <w:right w:val="single" w:color="auto" w:sz="4" w:space="0"/>
            </w:tcBorders>
            <w:shd w:val="clear" w:color="auto" w:fill="auto"/>
            <w:vAlign w:val="center"/>
          </w:tcPr>
          <w:p w14:paraId="08184874">
            <w:pPr>
              <w:widowControl/>
              <w:snapToGrid w:val="0"/>
              <w:jc w:val="center"/>
              <w:rPr>
                <w:rFonts w:ascii="仿宋" w:hAnsi="仿宋" w:eastAsia="仿宋" w:cs="仿宋"/>
                <w:sz w:val="24"/>
                <w:szCs w:val="24"/>
              </w:rPr>
            </w:pPr>
            <w:r>
              <w:rPr>
                <w:rFonts w:ascii="仿宋" w:hAnsi="仿宋" w:eastAsia="仿宋" w:cs="仿宋"/>
                <w:b/>
                <w:bCs/>
                <w:kern w:val="0"/>
                <w:sz w:val="24"/>
                <w:szCs w:val="24"/>
                <w:lang w:bidi="ar"/>
              </w:rPr>
              <w:t>患者线上服务应用系统</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6A04FE7">
            <w:pPr>
              <w:widowControl/>
              <w:snapToGrid w:val="0"/>
              <w:jc w:val="center"/>
              <w:rPr>
                <w:rFonts w:ascii="仿宋" w:hAnsi="仿宋" w:eastAsia="仿宋" w:cs="仿宋"/>
                <w:sz w:val="24"/>
                <w:szCs w:val="24"/>
              </w:rPr>
            </w:pPr>
            <w:r>
              <w:rPr>
                <w:rFonts w:hint="eastAsia" w:ascii="仿宋" w:hAnsi="仿宋" w:eastAsia="仿宋" w:cs="仿宋"/>
                <w:kern w:val="0"/>
                <w:sz w:val="24"/>
                <w:szCs w:val="24"/>
                <w:lang w:bidi="ar"/>
              </w:rPr>
              <w:t>UI设计</w:t>
            </w: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F261F81">
            <w:pPr>
              <w:widowControl/>
              <w:snapToGrid w:val="0"/>
              <w:jc w:val="left"/>
              <w:rPr>
                <w:rFonts w:ascii="仿宋" w:hAnsi="仿宋" w:eastAsia="仿宋" w:cs="仿宋"/>
                <w:sz w:val="24"/>
                <w:szCs w:val="24"/>
              </w:rPr>
            </w:pPr>
            <w:r>
              <w:rPr>
                <w:rFonts w:ascii="仿宋" w:hAnsi="仿宋" w:eastAsia="仿宋" w:cs="仿宋"/>
                <w:kern w:val="0"/>
                <w:sz w:val="24"/>
                <w:szCs w:val="24"/>
                <w:lang w:bidi="ar"/>
              </w:rPr>
              <w:t>UI</w:t>
            </w:r>
            <w:r>
              <w:rPr>
                <w:rFonts w:hint="eastAsia" w:ascii="仿宋" w:hAnsi="仿宋" w:eastAsia="仿宋" w:cs="仿宋"/>
                <w:kern w:val="0"/>
                <w:sz w:val="24"/>
                <w:szCs w:val="24"/>
                <w:lang w:bidi="ar"/>
              </w:rPr>
              <w:t>架构设计</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4939D93">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医院官网总体架构风格设计</w:t>
            </w:r>
            <w:r>
              <w:rPr>
                <w:rFonts w:ascii="仿宋" w:hAnsi="仿宋" w:eastAsia="仿宋" w:cs="仿宋"/>
                <w:kern w:val="0"/>
                <w:sz w:val="24"/>
                <w:szCs w:val="24"/>
                <w:lang w:bidi="ar"/>
              </w:rPr>
              <w:t>,包含</w:t>
            </w:r>
            <w:r>
              <w:rPr>
                <w:rFonts w:hint="eastAsia" w:ascii="仿宋" w:hAnsi="仿宋" w:eastAsia="仿宋" w:cs="仿宋"/>
                <w:kern w:val="0"/>
                <w:sz w:val="24"/>
                <w:szCs w:val="24"/>
                <w:lang w:bidi="ar"/>
              </w:rPr>
              <w:t>诊前、诊中、诊后服务架构设计</w:t>
            </w:r>
          </w:p>
        </w:tc>
      </w:tr>
      <w:tr w14:paraId="3064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77E635FD">
            <w:pPr>
              <w:snapToGrid w:val="0"/>
              <w:jc w:val="center"/>
              <w:rPr>
                <w:rFonts w:ascii="仿宋" w:hAnsi="仿宋" w:eastAsia="仿宋" w:cs="仿宋"/>
                <w:sz w:val="24"/>
                <w:szCs w:val="24"/>
              </w:rPr>
            </w:pPr>
          </w:p>
        </w:tc>
        <w:tc>
          <w:tcPr>
            <w:tcW w:w="1257" w:type="dxa"/>
            <w:vMerge w:val="restart"/>
            <w:tcBorders>
              <w:top w:val="single" w:color="auto" w:sz="4" w:space="0"/>
              <w:left w:val="single" w:color="auto" w:sz="4" w:space="0"/>
              <w:right w:val="single" w:color="auto" w:sz="4" w:space="0"/>
            </w:tcBorders>
            <w:shd w:val="clear" w:color="auto" w:fill="auto"/>
            <w:vAlign w:val="center"/>
          </w:tcPr>
          <w:p w14:paraId="55B221AC">
            <w:pPr>
              <w:widowControl/>
              <w:snapToGrid w:val="0"/>
              <w:jc w:val="center"/>
              <w:rPr>
                <w:rFonts w:ascii="仿宋" w:hAnsi="仿宋" w:eastAsia="仿宋" w:cs="仿宋"/>
                <w:sz w:val="24"/>
                <w:szCs w:val="24"/>
              </w:rPr>
            </w:pPr>
          </w:p>
          <w:p w14:paraId="2DC29994">
            <w:pPr>
              <w:snapToGrid w:val="0"/>
              <w:jc w:val="center"/>
              <w:rPr>
                <w:rFonts w:ascii="仿宋" w:hAnsi="仿宋" w:eastAsia="仿宋" w:cs="仿宋"/>
                <w:sz w:val="24"/>
                <w:szCs w:val="24"/>
              </w:rPr>
            </w:pPr>
            <w:r>
              <w:rPr>
                <w:rFonts w:hint="eastAsia" w:ascii="仿宋" w:hAnsi="仿宋" w:eastAsia="仿宋" w:cs="仿宋"/>
                <w:kern w:val="0"/>
                <w:sz w:val="24"/>
                <w:szCs w:val="24"/>
                <w:lang w:bidi="ar"/>
              </w:rPr>
              <w:t>诊前服务</w:t>
            </w: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1D8A914B">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医院宣传的前端和接口开发以及流程组织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7F4AB82">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医院介绍、来院导航、科室介绍、医生介绍，健康宣教</w:t>
            </w:r>
            <w:r>
              <w:rPr>
                <w:rFonts w:ascii="仿宋" w:hAnsi="仿宋" w:eastAsia="仿宋" w:cs="仿宋"/>
                <w:sz w:val="24"/>
                <w:szCs w:val="24"/>
              </w:rPr>
              <w:t xml:space="preserve"> </w:t>
            </w:r>
          </w:p>
        </w:tc>
      </w:tr>
      <w:tr w14:paraId="66E3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9F91403">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03817D87">
            <w:pPr>
              <w:widowControl/>
              <w:snapToGrid w:val="0"/>
              <w:jc w:val="center"/>
              <w:rPr>
                <w:rFonts w:ascii="仿宋" w:hAnsi="仿宋" w:eastAsia="仿宋" w:cs="仿宋"/>
                <w:sz w:val="24"/>
                <w:szCs w:val="24"/>
              </w:rPr>
            </w:pP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19B94DA1">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就诊流程的前端和接口开发以及流程组织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4E3EC0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医院就诊流程公示：医院门诊流程（身份认证、预约挂号</w:t>
            </w:r>
            <w:r>
              <w:rPr>
                <w:rFonts w:ascii="仿宋" w:hAnsi="仿宋" w:eastAsia="仿宋" w:cs="仿宋"/>
                <w:kern w:val="0"/>
                <w:sz w:val="24"/>
                <w:szCs w:val="24"/>
                <w:lang w:bidi="ar"/>
              </w:rPr>
              <w:t>、</w:t>
            </w:r>
            <w:r>
              <w:rPr>
                <w:rFonts w:hint="eastAsia" w:ascii="仿宋" w:hAnsi="仿宋" w:eastAsia="仿宋" w:cs="仿宋"/>
                <w:kern w:val="0"/>
                <w:sz w:val="24"/>
                <w:szCs w:val="24"/>
                <w:lang w:bidi="ar"/>
              </w:rPr>
              <w:t>智能分诊导医、在线交费</w:t>
            </w:r>
            <w:r>
              <w:rPr>
                <w:rFonts w:ascii="仿宋" w:hAnsi="仿宋" w:eastAsia="仿宋" w:cs="仿宋"/>
                <w:kern w:val="0"/>
                <w:sz w:val="24"/>
                <w:szCs w:val="24"/>
                <w:lang w:bidi="ar"/>
              </w:rPr>
              <w:t>、</w:t>
            </w:r>
            <w:r>
              <w:rPr>
                <w:rFonts w:hint="eastAsia" w:ascii="仿宋" w:hAnsi="仿宋" w:eastAsia="仿宋" w:cs="仿宋"/>
                <w:kern w:val="0"/>
                <w:sz w:val="24"/>
                <w:szCs w:val="24"/>
                <w:lang w:bidi="ar"/>
              </w:rPr>
              <w:t>就诊信息查看、费用查看</w:t>
            </w:r>
            <w:r>
              <w:rPr>
                <w:rFonts w:ascii="仿宋" w:hAnsi="仿宋" w:eastAsia="仿宋" w:cs="仿宋"/>
                <w:kern w:val="0"/>
                <w:sz w:val="24"/>
                <w:szCs w:val="24"/>
                <w:lang w:bidi="ar"/>
              </w:rPr>
              <w:t>、</w:t>
            </w:r>
            <w:r>
              <w:rPr>
                <w:rFonts w:hint="eastAsia" w:ascii="仿宋" w:hAnsi="仿宋" w:eastAsia="仿宋" w:cs="仿宋"/>
                <w:kern w:val="0"/>
                <w:sz w:val="24"/>
                <w:szCs w:val="24"/>
                <w:lang w:bidi="ar"/>
              </w:rPr>
              <w:t>检验检查结果查看、药品配送、院内导航</w:t>
            </w:r>
            <w:r>
              <w:rPr>
                <w:rFonts w:ascii="仿宋" w:hAnsi="仿宋" w:eastAsia="仿宋" w:cs="仿宋"/>
                <w:kern w:val="0"/>
                <w:sz w:val="24"/>
                <w:szCs w:val="24"/>
                <w:lang w:bidi="ar"/>
              </w:rPr>
              <w:t>、</w:t>
            </w:r>
            <w:r>
              <w:rPr>
                <w:rFonts w:hint="eastAsia" w:ascii="仿宋" w:hAnsi="仿宋" w:eastAsia="仿宋" w:cs="仿宋"/>
                <w:kern w:val="0"/>
                <w:sz w:val="24"/>
                <w:szCs w:val="24"/>
                <w:lang w:bidi="ar"/>
              </w:rPr>
              <w:t>住院预交金、满意度评价建档、医疗服务价格自助查询、自助检查预约）、住院流程（登记、交押金、查看每日费用清单、出院结算等）</w:t>
            </w:r>
          </w:p>
        </w:tc>
      </w:tr>
      <w:tr w14:paraId="2C76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E717E82">
            <w:pPr>
              <w:snapToGrid w:val="0"/>
              <w:jc w:val="center"/>
              <w:rPr>
                <w:rFonts w:ascii="仿宋" w:hAnsi="仿宋" w:eastAsia="仿宋" w:cs="仿宋"/>
                <w:sz w:val="24"/>
                <w:szCs w:val="24"/>
              </w:rPr>
            </w:pPr>
          </w:p>
        </w:tc>
        <w:tc>
          <w:tcPr>
            <w:tcW w:w="1257" w:type="dxa"/>
            <w:vMerge w:val="restart"/>
            <w:tcBorders>
              <w:top w:val="single" w:color="auto" w:sz="4" w:space="0"/>
              <w:left w:val="single" w:color="auto" w:sz="4" w:space="0"/>
              <w:right w:val="single" w:color="auto" w:sz="4" w:space="0"/>
            </w:tcBorders>
            <w:shd w:val="clear" w:color="auto" w:fill="auto"/>
            <w:vAlign w:val="center"/>
          </w:tcPr>
          <w:p w14:paraId="730F1871">
            <w:pPr>
              <w:widowControl/>
              <w:snapToGrid w:val="0"/>
              <w:jc w:val="center"/>
              <w:rPr>
                <w:rFonts w:ascii="仿宋" w:hAnsi="仿宋" w:eastAsia="仿宋" w:cs="仿宋"/>
                <w:sz w:val="24"/>
                <w:szCs w:val="24"/>
              </w:rPr>
            </w:pPr>
          </w:p>
          <w:p w14:paraId="25299160">
            <w:pPr>
              <w:snapToGrid w:val="0"/>
              <w:jc w:val="center"/>
              <w:rPr>
                <w:rFonts w:ascii="仿宋" w:hAnsi="仿宋" w:eastAsia="仿宋" w:cs="仿宋"/>
                <w:sz w:val="24"/>
                <w:szCs w:val="24"/>
              </w:rPr>
            </w:pPr>
            <w:r>
              <w:rPr>
                <w:rFonts w:hint="eastAsia" w:ascii="仿宋" w:hAnsi="仿宋" w:eastAsia="仿宋" w:cs="仿宋"/>
                <w:kern w:val="0"/>
                <w:sz w:val="24"/>
                <w:szCs w:val="24"/>
                <w:lang w:bidi="ar"/>
              </w:rPr>
              <w:t>门诊全流程</w:t>
            </w:r>
          </w:p>
        </w:tc>
        <w:tc>
          <w:tcPr>
            <w:tcW w:w="1969" w:type="dxa"/>
            <w:vMerge w:val="restart"/>
            <w:tcBorders>
              <w:top w:val="single" w:color="auto" w:sz="4" w:space="0"/>
              <w:left w:val="single" w:color="auto" w:sz="4" w:space="0"/>
              <w:right w:val="single" w:color="auto" w:sz="4" w:space="0"/>
            </w:tcBorders>
            <w:shd w:val="clear" w:color="auto" w:fill="auto"/>
            <w:vAlign w:val="center"/>
          </w:tcPr>
          <w:p w14:paraId="46BAE020">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患者建档及签约的前端和接口开发以及流程组织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A34F3B6">
            <w:pPr>
              <w:widowControl/>
              <w:snapToGrid w:val="0"/>
              <w:jc w:val="left"/>
              <w:rPr>
                <w:rFonts w:ascii="仿宋" w:hAnsi="仿宋" w:eastAsia="仿宋" w:cs="仿宋"/>
                <w:sz w:val="24"/>
                <w:szCs w:val="24"/>
              </w:rPr>
            </w:pPr>
            <w:r>
              <w:rPr>
                <w:rFonts w:hint="eastAsia" w:ascii="仿宋" w:hAnsi="仿宋" w:eastAsia="仿宋" w:cs="仿宋"/>
                <w:color w:val="000000"/>
                <w:kern w:val="0"/>
                <w:sz w:val="24"/>
                <w:lang w:bidi="ar"/>
              </w:rPr>
              <w:t>院内卡建档（支持永居证、身份证、医保卡、军官证、港澳通行证、台湾通行证、小孩出生证号等），通过患者证件，快速为患者在线注册医院院内就诊卡。</w:t>
            </w:r>
          </w:p>
        </w:tc>
      </w:tr>
      <w:tr w14:paraId="7814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E17AA38">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CEA0EDE">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3A494366">
            <w:pPr>
              <w:widowControl/>
              <w:snapToGrid w:val="0"/>
              <w:jc w:val="left"/>
              <w:rPr>
                <w:rFonts w:ascii="仿宋" w:hAnsi="仿宋" w:eastAsia="仿宋" w:cs="仿宋"/>
                <w:color w:val="000000"/>
                <w:kern w:val="0"/>
                <w:sz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7AB777F">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通过对接电子健康码、医保电子凭证及人脸实名认证服务，快速为患者接入电子健康码、医保电子凭证，获取其实名认证信息，快速填充建档内容，完成用户建档流程。</w:t>
            </w:r>
          </w:p>
        </w:tc>
      </w:tr>
      <w:tr w14:paraId="4F4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683162D">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5DF67EA8">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5465E9B7">
            <w:pPr>
              <w:widowControl/>
              <w:snapToGrid w:val="0"/>
              <w:jc w:val="left"/>
              <w:rPr>
                <w:rFonts w:ascii="仿宋" w:hAnsi="仿宋" w:eastAsia="仿宋" w:cs="仿宋"/>
                <w:color w:val="000000"/>
                <w:kern w:val="0"/>
                <w:sz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F15C1F8">
            <w:pPr>
              <w:widowControl/>
              <w:snapToGrid w:val="0"/>
              <w:jc w:val="left"/>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对接信用就医服务实现信用就医签约绑卡服务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挂号页面签约引导。挂号页面前置智能签约引导，针对未签约患者，当患者进入挂号流程时，医院公众号挂号界面系统自动弹出签约浮窗，清晰展示无感支付的优势及签约引导。患者可完成签约后，再继续后续挂号操作，实现支付签约与就诊预约的无缝衔接。</w:t>
            </w:r>
          </w:p>
        </w:tc>
      </w:tr>
      <w:tr w14:paraId="3995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9CA1205">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8222ED1">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026B0270">
            <w:pPr>
              <w:widowControl/>
              <w:snapToGrid w:val="0"/>
              <w:jc w:val="left"/>
              <w:rPr>
                <w:rFonts w:ascii="仿宋" w:hAnsi="仿宋" w:eastAsia="仿宋" w:cs="仿宋"/>
                <w:color w:val="000000"/>
                <w:kern w:val="0"/>
                <w:sz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E49357D">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查看科室介绍信息，如科室名称，图片，科室地址，联系电话，详细介绍信息；查看医生头像、职称、擅长、详细介绍、出诊日期、号源、挂号诊查费用等，查看医生患者服务情况及患者就诊评价；</w:t>
            </w:r>
          </w:p>
        </w:tc>
      </w:tr>
      <w:tr w14:paraId="17F4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52973D6">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24DC0E4">
            <w:pPr>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5BEDD719">
            <w:pPr>
              <w:widowControl/>
              <w:snapToGrid w:val="0"/>
              <w:jc w:val="left"/>
              <w:rPr>
                <w:rFonts w:ascii="仿宋" w:hAnsi="仿宋" w:eastAsia="仿宋" w:cs="仿宋"/>
                <w:color w:val="000000"/>
                <w:kern w:val="0"/>
                <w:sz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E61C5FA">
            <w:pPr>
              <w:snapToGrid w:val="0"/>
              <w:jc w:val="left"/>
              <w:rPr>
                <w:rFonts w:ascii="仿宋" w:hAnsi="仿宋" w:eastAsia="仿宋" w:cs="仿宋"/>
                <w:color w:val="000000"/>
                <w:sz w:val="24"/>
              </w:rPr>
            </w:pPr>
            <w:r>
              <w:rPr>
                <w:rFonts w:hint="eastAsia" w:ascii="仿宋" w:hAnsi="仿宋" w:eastAsia="仿宋" w:cs="仿宋"/>
                <w:color w:val="000000"/>
                <w:sz w:val="24"/>
              </w:rPr>
              <w:t>个人信息页面，患者资料与his同步，可以显示患者待遇类别。</w:t>
            </w:r>
          </w:p>
        </w:tc>
      </w:tr>
      <w:tr w14:paraId="1DB2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BBDBCD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901A014">
            <w:pPr>
              <w:snapToGrid w:val="0"/>
              <w:jc w:val="center"/>
              <w:rPr>
                <w:rFonts w:ascii="仿宋" w:hAnsi="仿宋" w:eastAsia="仿宋" w:cs="仿宋"/>
                <w:sz w:val="24"/>
                <w:szCs w:val="24"/>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3E66E64C">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挂号预约的前端和接口开发以及流程组织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C9DD2F2">
            <w:pPr>
              <w:widowControl/>
              <w:snapToGrid w:val="0"/>
              <w:jc w:val="left"/>
              <w:rPr>
                <w:rFonts w:ascii="仿宋" w:hAnsi="仿宋" w:eastAsia="仿宋" w:cs="仿宋"/>
                <w:sz w:val="24"/>
                <w:szCs w:val="24"/>
              </w:rPr>
            </w:pPr>
            <w:r>
              <w:rPr>
                <w:rFonts w:hint="eastAsia" w:ascii="仿宋" w:hAnsi="仿宋" w:eastAsia="仿宋" w:cs="仿宋"/>
                <w:kern w:val="0"/>
                <w:sz w:val="24"/>
                <w:szCs w:val="24"/>
                <w:lang w:bidi="ar"/>
              </w:rPr>
              <w:t>通过三级目录逐级查找科室；通过输入关键词（科室名称、医生名称、就诊日期等）查询科室列表、医生排班列表和出诊信息。</w:t>
            </w:r>
          </w:p>
        </w:tc>
      </w:tr>
      <w:tr w14:paraId="076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A3B8E3B">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39CC6120">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70B6CD7B">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FF5E51D">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选定科室和医生进行预约挂号，可分时段预约，精确到半小时内，患者确认挂号，锁号下单，预约成功后联动预收缴诊查费，支持在线支付（微信支付、支付宝支付）。</w:t>
            </w:r>
          </w:p>
        </w:tc>
      </w:tr>
      <w:tr w14:paraId="4AFA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0B4FA6E5">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9C25751">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7F9C73C5">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012595C">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查询挂号、预约详情，展示就诊条码。</w:t>
            </w:r>
          </w:p>
        </w:tc>
      </w:tr>
      <w:tr w14:paraId="2859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513A20E">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D3CAF68">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0C21E4BA">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B50730A">
            <w:pPr>
              <w:widowControl/>
              <w:snapToGrid w:val="0"/>
              <w:jc w:val="left"/>
              <w:rPr>
                <w:rFonts w:ascii="仿宋" w:hAnsi="仿宋" w:eastAsia="仿宋" w:cs="仿宋"/>
                <w:kern w:val="0"/>
                <w:sz w:val="24"/>
                <w:szCs w:val="24"/>
                <w:lang w:bidi="ar"/>
              </w:rPr>
            </w:pPr>
            <w:r>
              <w:rPr>
                <w:rFonts w:hint="eastAsia" w:ascii="仿宋" w:hAnsi="仿宋" w:eastAsia="仿宋" w:cs="仿宋"/>
                <w:color w:val="000000"/>
                <w:kern w:val="0"/>
                <w:sz w:val="24"/>
                <w:lang w:bidi="ar"/>
              </w:rPr>
              <w:t>支持预约号源退号，费用原路返回。</w:t>
            </w:r>
          </w:p>
        </w:tc>
      </w:tr>
      <w:tr w14:paraId="209D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DFF7FCE">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DD6BF46">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6274DE88">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889FC38">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sz w:val="24"/>
              </w:rPr>
              <w:t>候补挂号：患者点击进入出现候补知情内容，确定后进入候补，候补成功收到通知，点击进入缴费（逾时未缴费，自动取消候补，候补号源给到下一位候补人员）</w:t>
            </w:r>
          </w:p>
        </w:tc>
      </w:tr>
      <w:tr w14:paraId="0736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167D2FA">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715A2D3">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441468F8">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E0BD6A5">
            <w:pPr>
              <w:widowControl/>
              <w:snapToGrid w:val="0"/>
              <w:jc w:val="left"/>
              <w:rPr>
                <w:rFonts w:ascii="仿宋" w:hAnsi="仿宋" w:eastAsia="仿宋" w:cs="仿宋"/>
                <w:kern w:val="0"/>
                <w:sz w:val="24"/>
                <w:szCs w:val="24"/>
                <w:lang w:bidi="ar"/>
              </w:rPr>
            </w:pPr>
            <w:r>
              <w:rPr>
                <w:rFonts w:hint="eastAsia" w:ascii="仿宋" w:hAnsi="仿宋" w:eastAsia="仿宋" w:cs="仿宋"/>
                <w:color w:val="000000"/>
                <w:kern w:val="0"/>
                <w:sz w:val="24"/>
                <w:lang w:bidi="ar"/>
              </w:rPr>
              <w:t>现场报道：挂号后，可以到自助终端上报到。</w:t>
            </w:r>
          </w:p>
        </w:tc>
      </w:tr>
      <w:tr w14:paraId="186E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E4D44E4">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558BC45">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383B4396">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49CA4E3">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sz w:val="24"/>
              </w:rPr>
              <w:t>病情主诉：患者报道后就诊前，提醒患者填写添加主诉、现病史、过敏史。并在his显示。</w:t>
            </w:r>
          </w:p>
        </w:tc>
      </w:tr>
      <w:tr w14:paraId="2088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1184103">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A830AD2">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043085D">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6A484D0">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sz w:val="24"/>
              </w:rPr>
              <w:t>对疑似倒号、连续爽约（退号）行为的患者，自动加入系统黑名单。支持人工添加/移除系统黑名单。对接公安失信人员名单。可查看爽约名单、次数</w:t>
            </w:r>
          </w:p>
        </w:tc>
      </w:tr>
      <w:tr w14:paraId="57E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22BC8E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4C65A7A">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48899BAA">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2259C14">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智能导诊，可通过点击人体图的身体部位或者 选择相应的症状，为用户智能推荐最适合的就诊科室，引导用户正确预约挂号。并可通过后台配置症状及就诊科室。</w:t>
            </w:r>
          </w:p>
        </w:tc>
      </w:tr>
      <w:tr w14:paraId="68C3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01A52F85">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391CAEF3">
            <w:pPr>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C706B82">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FD92741">
            <w:pPr>
              <w:widowControl/>
              <w:snapToGrid w:val="0"/>
              <w:jc w:val="left"/>
              <w:rPr>
                <w:rFonts w:ascii="仿宋" w:hAnsi="仿宋" w:eastAsia="仿宋" w:cs="仿宋"/>
                <w:color w:val="000000"/>
                <w:kern w:val="0"/>
                <w:sz w:val="24"/>
                <w:lang w:bidi="ar"/>
              </w:rPr>
            </w:pPr>
            <w:r>
              <w:rPr>
                <w:rFonts w:ascii="仿宋" w:hAnsi="仿宋" w:eastAsia="仿宋" w:cs="仿宋"/>
                <w:color w:val="000000"/>
                <w:sz w:val="24"/>
              </w:rPr>
              <w:t>院内导航。</w:t>
            </w:r>
            <w:r>
              <w:rPr>
                <w:rFonts w:hint="eastAsia" w:ascii="仿宋" w:hAnsi="仿宋" w:eastAsia="仿宋" w:cs="仿宋"/>
                <w:color w:val="000000"/>
                <w:sz w:val="24"/>
              </w:rPr>
              <w:t>支持基于院内电子地图，实现院内科室的模拟路线导航，无需去医院服务台问路，可大大缓解现场咨询的压力，提高医院问诊效率。</w:t>
            </w:r>
          </w:p>
        </w:tc>
      </w:tr>
      <w:tr w14:paraId="244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7753FEB">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821F543">
            <w:pPr>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39CACB7B">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3ECF3BE">
            <w:pPr>
              <w:widowControl/>
              <w:snapToGrid w:val="0"/>
              <w:jc w:val="left"/>
              <w:rPr>
                <w:rFonts w:ascii="仿宋" w:hAnsi="仿宋" w:eastAsia="仿宋" w:cs="仿宋"/>
                <w:color w:val="000000"/>
                <w:sz w:val="24"/>
              </w:rPr>
            </w:pPr>
            <w:r>
              <w:rPr>
                <w:rFonts w:hint="eastAsia" w:ascii="仿宋" w:hAnsi="仿宋" w:eastAsia="仿宋" w:cs="仿宋"/>
                <w:color w:val="000000"/>
                <w:sz w:val="24"/>
              </w:rPr>
              <w:t>报道后队列进度实时提醒</w:t>
            </w:r>
          </w:p>
        </w:tc>
      </w:tr>
      <w:tr w14:paraId="0630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BDA2FF4">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C6E5BB1">
            <w:pPr>
              <w:snapToGrid w:val="0"/>
              <w:jc w:val="center"/>
              <w:rPr>
                <w:rFonts w:ascii="仿宋" w:hAnsi="仿宋" w:eastAsia="仿宋" w:cs="仿宋"/>
                <w:sz w:val="24"/>
                <w:szCs w:val="24"/>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50C043A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检查预约的前端和接口开发以及流程组织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AF154C1">
            <w:pPr>
              <w:widowControl/>
              <w:snapToGrid w:val="0"/>
              <w:jc w:val="left"/>
              <w:rPr>
                <w:rFonts w:ascii="仿宋" w:hAnsi="仿宋" w:eastAsia="仿宋" w:cs="仿宋"/>
                <w:sz w:val="24"/>
                <w:szCs w:val="24"/>
              </w:rPr>
            </w:pPr>
            <w:r>
              <w:rPr>
                <w:rFonts w:hint="eastAsia" w:ascii="仿宋" w:hAnsi="仿宋" w:eastAsia="仿宋" w:cs="仿宋"/>
                <w:sz w:val="24"/>
                <w:szCs w:val="24"/>
              </w:rPr>
              <w:t>1. 对接院内统一预约平台，实时查询待预约的检查项目信息。</w:t>
            </w:r>
          </w:p>
          <w:p w14:paraId="174D7B8F">
            <w:pPr>
              <w:widowControl/>
              <w:snapToGrid w:val="0"/>
              <w:jc w:val="left"/>
              <w:rPr>
                <w:rFonts w:ascii="仿宋" w:hAnsi="仿宋" w:eastAsia="仿宋" w:cs="仿宋"/>
                <w:sz w:val="24"/>
                <w:szCs w:val="24"/>
              </w:rPr>
            </w:pPr>
            <w:r>
              <w:rPr>
                <w:rFonts w:hint="eastAsia" w:ascii="仿宋" w:hAnsi="仿宋" w:eastAsia="仿宋" w:cs="仿宋"/>
                <w:sz w:val="24"/>
                <w:szCs w:val="24"/>
              </w:rPr>
              <w:t>2. 查询指定检查项目的排班信息，包含超声科、影像科、内镜科、心电科。自助完成检查时间的分时段预约。系统支持推荐预约时间，多项预约优先选定同一天。</w:t>
            </w:r>
          </w:p>
          <w:p w14:paraId="1289D1C7">
            <w:pPr>
              <w:widowControl/>
              <w:snapToGrid w:val="0"/>
              <w:jc w:val="left"/>
              <w:rPr>
                <w:rFonts w:ascii="仿宋" w:hAnsi="仿宋" w:eastAsia="仿宋" w:cs="仿宋"/>
                <w:sz w:val="24"/>
                <w:szCs w:val="24"/>
              </w:rPr>
            </w:pPr>
            <w:r>
              <w:rPr>
                <w:rFonts w:hint="eastAsia" w:ascii="仿宋" w:hAnsi="仿宋" w:eastAsia="仿宋" w:cs="仿宋"/>
                <w:sz w:val="24"/>
                <w:szCs w:val="24"/>
              </w:rPr>
              <w:t>3. 未执行的检查项目，支持更改预约时间。</w:t>
            </w:r>
          </w:p>
          <w:p w14:paraId="4C4174F1">
            <w:pPr>
              <w:widowControl/>
              <w:snapToGrid w:val="0"/>
              <w:jc w:val="left"/>
              <w:rPr>
                <w:rFonts w:ascii="仿宋" w:hAnsi="仿宋" w:eastAsia="仿宋" w:cs="仿宋"/>
                <w:sz w:val="24"/>
                <w:szCs w:val="24"/>
              </w:rPr>
            </w:pPr>
            <w:r>
              <w:rPr>
                <w:rFonts w:hint="eastAsia" w:ascii="仿宋" w:hAnsi="仿宋" w:eastAsia="仿宋" w:cs="仿宋"/>
                <w:sz w:val="24"/>
                <w:szCs w:val="24"/>
              </w:rPr>
              <w:t>4. 查询已预约的历史记录、预约详细、注意事项信息。</w:t>
            </w:r>
          </w:p>
        </w:tc>
      </w:tr>
      <w:tr w14:paraId="477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7EE81960">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9227754">
            <w:pPr>
              <w:snapToGrid w:val="0"/>
              <w:jc w:val="center"/>
              <w:rPr>
                <w:rFonts w:ascii="仿宋" w:hAnsi="仿宋" w:eastAsia="仿宋" w:cs="仿宋"/>
                <w:sz w:val="24"/>
                <w:szCs w:val="24"/>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2A48AA4F">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0BA558B">
            <w:pPr>
              <w:widowControl/>
              <w:snapToGrid w:val="0"/>
              <w:jc w:val="left"/>
              <w:rPr>
                <w:rFonts w:ascii="仿宋" w:hAnsi="仿宋" w:eastAsia="仿宋" w:cs="仿宋"/>
                <w:sz w:val="24"/>
                <w:szCs w:val="24"/>
              </w:rPr>
            </w:pPr>
            <w:r>
              <w:rPr>
                <w:rFonts w:hint="eastAsia" w:ascii="仿宋" w:hAnsi="仿宋" w:eastAsia="仿宋" w:cs="仿宋"/>
                <w:color w:val="000000"/>
                <w:kern w:val="0"/>
                <w:sz w:val="24"/>
                <w:lang w:bidi="ar"/>
              </w:rPr>
              <w:t>检查预约报道，同科室叫号对接，患者在自助机报到后自动进入分诊队列</w:t>
            </w:r>
          </w:p>
        </w:tc>
      </w:tr>
      <w:tr w14:paraId="646B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14C498A">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6AE09D4">
            <w:pPr>
              <w:snapToGrid w:val="0"/>
              <w:jc w:val="center"/>
              <w:rPr>
                <w:rFonts w:ascii="仿宋" w:hAnsi="仿宋" w:eastAsia="仿宋" w:cs="仿宋"/>
                <w:sz w:val="24"/>
                <w:szCs w:val="24"/>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7DBBC38F">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门诊线上缴费的前端和接口开发以及流程组织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74A31F9">
            <w:pPr>
              <w:widowControl/>
              <w:snapToGrid w:val="0"/>
              <w:jc w:val="left"/>
              <w:rPr>
                <w:rFonts w:ascii="仿宋" w:hAnsi="仿宋" w:eastAsia="仿宋" w:cs="仿宋"/>
                <w:sz w:val="24"/>
                <w:szCs w:val="24"/>
              </w:rPr>
            </w:pPr>
            <w:r>
              <w:rPr>
                <w:rFonts w:hint="eastAsia" w:ascii="仿宋" w:hAnsi="仿宋" w:eastAsia="仿宋" w:cs="仿宋"/>
                <w:color w:val="000000"/>
                <w:kern w:val="0"/>
                <w:sz w:val="24"/>
                <w:lang w:bidi="ar"/>
              </w:rPr>
              <w:t>可实现自费、广州医保患者、省直医保患者、市直医保患者、省内异地医保患者缴费。</w:t>
            </w:r>
          </w:p>
        </w:tc>
      </w:tr>
      <w:tr w14:paraId="0F2C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8E49F5C">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5C24359">
            <w:pPr>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589E6647">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FC68D6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通过扫一扫功能扫窗口、柜台或医生打印的医疗费用订单上的二维码，客户确认后完成支付，包含移动医保支付，医保个账支付、信用就医支付以及全自费银行卡支付（微信、支付宝）。</w:t>
            </w:r>
          </w:p>
        </w:tc>
      </w:tr>
      <w:tr w14:paraId="74C9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C46B67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FD20AA1">
            <w:pPr>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37EEACD0">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A6877CF">
            <w:pPr>
              <w:widowControl/>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可实现体检患者体检缴费</w:t>
            </w:r>
          </w:p>
        </w:tc>
      </w:tr>
      <w:tr w14:paraId="309A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50F3FBD">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50D20BC">
            <w:pPr>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33AD956E">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54A5B3A">
            <w:pPr>
              <w:widowControl/>
              <w:snapToGrid w:val="0"/>
              <w:jc w:val="left"/>
              <w:rPr>
                <w:rFonts w:ascii="仿宋" w:hAnsi="仿宋" w:eastAsia="仿宋" w:cs="仿宋"/>
                <w:sz w:val="24"/>
                <w:szCs w:val="24"/>
              </w:rPr>
            </w:pPr>
            <w:r>
              <w:rPr>
                <w:rFonts w:hint="eastAsia" w:ascii="仿宋" w:hAnsi="仿宋" w:eastAsia="仿宋" w:cs="仿宋"/>
                <w:color w:val="000000"/>
                <w:sz w:val="24"/>
              </w:rPr>
              <w:t>电子票据微信端：与电子票据系统对接，患者缴费后，可在微信上推送电子票据信息。</w:t>
            </w:r>
          </w:p>
        </w:tc>
      </w:tr>
      <w:tr w14:paraId="774B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5BBF511">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6B56AFD">
            <w:pPr>
              <w:snapToGrid w:val="0"/>
              <w:jc w:val="center"/>
              <w:rPr>
                <w:rFonts w:ascii="仿宋" w:hAnsi="仿宋" w:eastAsia="仿宋" w:cs="仿宋"/>
                <w:sz w:val="24"/>
                <w:szCs w:val="24"/>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78D62F44">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门诊查询、缴费订单查询、通知等服务、报告查询的前端和接口开发以及流程组织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BE04F38">
            <w:pPr>
              <w:widowControl/>
              <w:snapToGrid w:val="0"/>
              <w:jc w:val="left"/>
              <w:rPr>
                <w:rFonts w:ascii="仿宋" w:hAnsi="仿宋" w:eastAsia="仿宋" w:cs="仿宋"/>
                <w:sz w:val="24"/>
                <w:szCs w:val="24"/>
              </w:rPr>
            </w:pPr>
            <w:r>
              <w:rPr>
                <w:rFonts w:hint="eastAsia" w:ascii="仿宋" w:hAnsi="仿宋" w:eastAsia="仿宋" w:cs="仿宋"/>
                <w:color w:val="000000"/>
                <w:kern w:val="0"/>
                <w:sz w:val="24"/>
                <w:lang w:bidi="ar"/>
              </w:rPr>
              <w:t>查询患者的门诊挂号记录。查询患者的门诊缴费记录。可查询耗材、治疗、药品信息。</w:t>
            </w:r>
          </w:p>
        </w:tc>
      </w:tr>
      <w:tr w14:paraId="2410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8B25B43">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D63F1AF">
            <w:pPr>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6E3B7FF8">
            <w:pPr>
              <w:widowControl/>
              <w:snapToGrid w:val="0"/>
              <w:jc w:val="left"/>
              <w:rPr>
                <w:rFonts w:ascii="仿宋" w:hAnsi="仿宋" w:eastAsia="仿宋" w:cs="仿宋"/>
                <w:sz w:val="24"/>
                <w:szCs w:val="24"/>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BA92C2D">
            <w:pPr>
              <w:widowControl/>
              <w:snapToGrid w:val="0"/>
              <w:jc w:val="left"/>
              <w:rPr>
                <w:rFonts w:ascii="仿宋" w:hAnsi="仿宋" w:eastAsia="仿宋" w:cs="仿宋"/>
                <w:sz w:val="24"/>
                <w:szCs w:val="24"/>
              </w:rPr>
            </w:pPr>
            <w:r>
              <w:rPr>
                <w:rFonts w:hint="eastAsia" w:ascii="仿宋" w:hAnsi="仿宋" w:eastAsia="仿宋" w:cs="仿宋"/>
                <w:color w:val="000000"/>
                <w:sz w:val="24"/>
              </w:rPr>
              <w:t>通知患者检查、检验、取药指引，通过缴费结果通知，订单明细查询等入口通知患者。</w:t>
            </w:r>
          </w:p>
        </w:tc>
      </w:tr>
      <w:tr w14:paraId="46DF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DF765D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709EE3A">
            <w:pPr>
              <w:widowControl/>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2304DEBE">
            <w:pPr>
              <w:widowControl/>
              <w:snapToGrid w:val="0"/>
              <w:jc w:val="left"/>
              <w:rPr>
                <w:rFonts w:ascii="仿宋" w:hAnsi="仿宋" w:eastAsia="仿宋" w:cs="仿宋"/>
                <w:sz w:val="24"/>
                <w:szCs w:val="24"/>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CE1F74B">
            <w:pPr>
              <w:widowControl/>
              <w:snapToGrid w:val="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联动检查检验预约，客户在查询检查检验指引时可联动医院预约系统，为客户提供线上预约服务，或指引患者到指定窗口预约。</w:t>
            </w:r>
          </w:p>
          <w:p w14:paraId="53D8AAAC">
            <w:pPr>
              <w:widowControl/>
              <w:snapToGrid w:val="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查询指定检查项目的排班信息，自助完成检查时间的分时段预约。系统支持推荐预约时间，多项预约优先选定同一天。</w:t>
            </w:r>
          </w:p>
          <w:p w14:paraId="3A186BB1">
            <w:pPr>
              <w:widowControl/>
              <w:snapToGrid w:val="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未执行的检查项目，支持在线更改预约时间。</w:t>
            </w:r>
          </w:p>
          <w:p w14:paraId="55E82BA8">
            <w:pPr>
              <w:widowControl/>
              <w:snapToGrid w:val="0"/>
              <w:jc w:val="left"/>
              <w:rPr>
                <w:rFonts w:ascii="仿宋" w:eastAsia="仿宋"/>
                <w:sz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查询已预约的历史记录、预约详细、注意事项信息。</w:t>
            </w:r>
          </w:p>
        </w:tc>
      </w:tr>
      <w:tr w14:paraId="3F6F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024289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56352295">
            <w:pPr>
              <w:widowControl/>
              <w:snapToGrid w:val="0"/>
              <w:jc w:val="center"/>
              <w:rPr>
                <w:rFonts w:ascii="仿宋" w:hAnsi="仿宋" w:eastAsia="仿宋" w:cs="仿宋"/>
                <w:sz w:val="24"/>
                <w:szCs w:val="24"/>
              </w:rPr>
            </w:pPr>
          </w:p>
        </w:tc>
        <w:tc>
          <w:tcPr>
            <w:tcW w:w="1969" w:type="dxa"/>
            <w:vMerge w:val="continue"/>
            <w:tcBorders>
              <w:left w:val="single" w:color="auto" w:sz="4" w:space="0"/>
              <w:right w:val="single" w:color="auto" w:sz="4" w:space="0"/>
            </w:tcBorders>
            <w:shd w:val="clear" w:color="auto" w:fill="auto"/>
            <w:vAlign w:val="center"/>
          </w:tcPr>
          <w:p w14:paraId="4F7C9B26">
            <w:pPr>
              <w:widowControl/>
              <w:snapToGrid w:val="0"/>
              <w:jc w:val="left"/>
              <w:rPr>
                <w:rFonts w:ascii="仿宋" w:hAnsi="仿宋" w:eastAsia="仿宋" w:cs="仿宋"/>
                <w:sz w:val="24"/>
                <w:szCs w:val="24"/>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A58E5A8">
            <w:pPr>
              <w:widowControl/>
              <w:snapToGrid w:val="0"/>
              <w:jc w:val="left"/>
              <w:rPr>
                <w:rFonts w:ascii="仿宋" w:hAnsi="仿宋" w:eastAsia="仿宋" w:cs="仿宋"/>
                <w:sz w:val="24"/>
                <w:szCs w:val="24"/>
              </w:rPr>
            </w:pPr>
            <w:r>
              <w:rPr>
                <w:rFonts w:hint="eastAsia" w:ascii="仿宋" w:hAnsi="仿宋" w:eastAsia="仿宋" w:cs="仿宋"/>
                <w:sz w:val="24"/>
                <w:szCs w:val="24"/>
              </w:rPr>
              <w:t>患者可以根据订单号，发起退费申请，医院审核后金额原路退回（对医院未提供服务的订单，可直接完成退款）</w:t>
            </w:r>
          </w:p>
        </w:tc>
      </w:tr>
      <w:tr w14:paraId="176D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B8DD76E">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B8E567F">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E99478A">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95A4748">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个人在本院诊疗历史缴费情况和待缴费情况的查询前端页面开发（通过日期，科室，医生等关键字）</w:t>
            </w:r>
          </w:p>
        </w:tc>
      </w:tr>
      <w:tr w14:paraId="7D0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EE00095">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52834293">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09DD134">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16F7C87">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查询患者检查检验报告单；查看报告详情记录报告发布后，通过消息推送提醒患者领取报告单据。</w:t>
            </w:r>
          </w:p>
        </w:tc>
      </w:tr>
      <w:tr w14:paraId="36EF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EB2F8A4">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12F98306">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09242FAF">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C461062">
            <w:pPr>
              <w:widowControl/>
              <w:snapToGrid w:val="0"/>
              <w:jc w:val="left"/>
              <w:rPr>
                <w:rFonts w:ascii="仿宋" w:hAnsi="仿宋" w:eastAsia="仿宋" w:cs="仿宋"/>
                <w:kern w:val="0"/>
                <w:sz w:val="24"/>
                <w:szCs w:val="24"/>
                <w:lang w:bidi="ar"/>
              </w:rPr>
            </w:pPr>
            <w:r>
              <w:rPr>
                <w:rFonts w:hint="eastAsia" w:ascii="仿宋" w:hAnsi="仿宋" w:eastAsia="仿宋" w:cs="仿宋"/>
                <w:color w:val="000000"/>
                <w:sz w:val="24"/>
              </w:rPr>
              <w:t>处方药品快递：通过药房发药系统与物流公司对接，完成药品的配送服务。支持在线查询药品物流状态信息。</w:t>
            </w:r>
          </w:p>
        </w:tc>
      </w:tr>
      <w:tr w14:paraId="7EBC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97D5C40">
            <w:pPr>
              <w:snapToGrid w:val="0"/>
              <w:jc w:val="center"/>
              <w:rPr>
                <w:rFonts w:ascii="仿宋" w:hAnsi="仿宋" w:eastAsia="仿宋" w:cs="仿宋"/>
                <w:sz w:val="24"/>
                <w:szCs w:val="24"/>
              </w:rPr>
            </w:pPr>
          </w:p>
        </w:tc>
        <w:tc>
          <w:tcPr>
            <w:tcW w:w="1257" w:type="dxa"/>
            <w:tcBorders>
              <w:left w:val="single" w:color="auto" w:sz="4" w:space="0"/>
              <w:bottom w:val="single" w:color="auto" w:sz="4" w:space="0"/>
              <w:right w:val="single" w:color="auto" w:sz="4" w:space="0"/>
            </w:tcBorders>
            <w:shd w:val="clear" w:color="auto" w:fill="auto"/>
            <w:vAlign w:val="center"/>
          </w:tcPr>
          <w:p w14:paraId="7948B00E">
            <w:pPr>
              <w:widowControl/>
              <w:snapToGrid w:val="0"/>
              <w:jc w:val="center"/>
              <w:rPr>
                <w:rFonts w:ascii="仿宋" w:hAnsi="仿宋" w:eastAsia="仿宋" w:cs="仿宋"/>
                <w:kern w:val="0"/>
                <w:sz w:val="24"/>
                <w:szCs w:val="24"/>
                <w:lang w:bidi="ar"/>
              </w:rPr>
            </w:pPr>
          </w:p>
        </w:tc>
        <w:tc>
          <w:tcPr>
            <w:tcW w:w="1969" w:type="dxa"/>
            <w:tcBorders>
              <w:left w:val="single" w:color="auto" w:sz="4" w:space="0"/>
              <w:bottom w:val="single" w:color="auto" w:sz="4" w:space="0"/>
              <w:right w:val="single" w:color="auto" w:sz="4" w:space="0"/>
            </w:tcBorders>
            <w:shd w:val="clear" w:color="auto" w:fill="auto"/>
            <w:vAlign w:val="center"/>
          </w:tcPr>
          <w:p w14:paraId="7496FAC0">
            <w:pPr>
              <w:widowControl/>
              <w:snapToGrid w:val="0"/>
              <w:jc w:val="left"/>
              <w:rPr>
                <w:rFonts w:ascii="仿宋" w:hAnsi="仿宋" w:eastAsia="仿宋" w:cs="仿宋"/>
                <w:kern w:val="0"/>
                <w:sz w:val="24"/>
                <w:szCs w:val="24"/>
                <w:lang w:bidi="ar"/>
              </w:rPr>
            </w:pPr>
            <w:r>
              <w:rPr>
                <w:rFonts w:hint="eastAsia" w:ascii="仿宋" w:hAnsi="仿宋" w:eastAsia="仿宋" w:cs="仿宋"/>
                <w:b/>
                <w:color w:val="000000"/>
                <w:sz w:val="24"/>
              </w:rPr>
              <w:t>职工缴费</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F1E86B8">
            <w:pPr>
              <w:widowControl/>
              <w:snapToGrid w:val="0"/>
              <w:jc w:val="left"/>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w:t>
            </w:r>
            <w:r>
              <w:rPr>
                <w:rFonts w:hint="eastAsia" w:ascii="仿宋" w:hAnsi="仿宋" w:eastAsia="仿宋" w:cs="仿宋"/>
                <w:color w:val="000000"/>
                <w:sz w:val="24"/>
              </w:rPr>
              <w:t>在线交费：录入职工号、姓名、手机号、部门、缴费项目、缴费金额等信息，创建缴费订单，发起在线交费。支持个人信息的自动保存，打开页面时自动加载前一次录入的基本信息，支持重新编辑。2</w:t>
            </w:r>
            <w:r>
              <w:rPr>
                <w:rFonts w:ascii="仿宋" w:hAnsi="仿宋" w:eastAsia="仿宋" w:cs="仿宋"/>
                <w:color w:val="000000"/>
                <w:sz w:val="24"/>
              </w:rPr>
              <w:t>.</w:t>
            </w:r>
            <w:r>
              <w:rPr>
                <w:rFonts w:hint="eastAsia" w:ascii="仿宋" w:hAnsi="仿宋" w:eastAsia="仿宋" w:cs="仿宋"/>
                <w:color w:val="000000"/>
                <w:sz w:val="24"/>
              </w:rPr>
              <w:t>缴费项目：缴费项目可选择体检报告打印单收费、停车费、物业费、水费、电费、房租、房屋押金、其他；</w:t>
            </w:r>
          </w:p>
          <w:p w14:paraId="31231B22">
            <w:pPr>
              <w:widowControl/>
              <w:snapToGrid w:val="0"/>
              <w:jc w:val="left"/>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w:t>
            </w:r>
            <w:r>
              <w:rPr>
                <w:rFonts w:hint="eastAsia" w:ascii="仿宋" w:hAnsi="仿宋" w:eastAsia="仿宋" w:cs="仿宋"/>
                <w:color w:val="000000"/>
                <w:sz w:val="24"/>
              </w:rPr>
              <w:t>缴费记录：支持在线查询个人历史缴费记录；</w:t>
            </w:r>
          </w:p>
          <w:p w14:paraId="2AD4BC79">
            <w:pPr>
              <w:widowControl/>
              <w:snapToGrid w:val="0"/>
              <w:jc w:val="left"/>
              <w:rPr>
                <w:rFonts w:ascii="仿宋" w:hAnsi="仿宋" w:eastAsia="仿宋" w:cs="仿宋"/>
                <w:color w:val="000000"/>
                <w:sz w:val="24"/>
              </w:rPr>
            </w:pPr>
            <w:r>
              <w:rPr>
                <w:rFonts w:hint="eastAsia" w:ascii="仿宋" w:hAnsi="仿宋" w:eastAsia="仿宋" w:cs="仿宋"/>
                <w:color w:val="000000"/>
                <w:sz w:val="24"/>
              </w:rPr>
              <w:t>4</w:t>
            </w:r>
            <w:r>
              <w:rPr>
                <w:rFonts w:ascii="仿宋" w:hAnsi="仿宋" w:eastAsia="仿宋" w:cs="仿宋"/>
                <w:color w:val="000000"/>
                <w:sz w:val="24"/>
              </w:rPr>
              <w:t>.</w:t>
            </w:r>
            <w:r>
              <w:rPr>
                <w:rFonts w:hint="eastAsia" w:ascii="仿宋" w:hAnsi="仿宋" w:eastAsia="仿宋" w:cs="仿宋"/>
                <w:color w:val="000000"/>
                <w:sz w:val="24"/>
              </w:rPr>
              <w:t>退费模块：原路退费。</w:t>
            </w:r>
          </w:p>
          <w:p w14:paraId="3E4F2E9F">
            <w:pPr>
              <w:widowControl/>
              <w:snapToGrid w:val="0"/>
              <w:jc w:val="left"/>
              <w:rPr>
                <w:rFonts w:ascii="仿宋" w:hAnsi="仿宋" w:eastAsia="仿宋" w:cs="仿宋"/>
                <w:color w:val="000000"/>
                <w:sz w:val="24"/>
              </w:rPr>
            </w:pPr>
            <w:r>
              <w:rPr>
                <w:rFonts w:hint="eastAsia" w:ascii="仿宋" w:hAnsi="仿宋" w:eastAsia="仿宋" w:cs="仿宋"/>
                <w:color w:val="000000"/>
                <w:sz w:val="24"/>
              </w:rPr>
              <w:t>5</w:t>
            </w:r>
            <w:r>
              <w:rPr>
                <w:rFonts w:ascii="仿宋" w:hAnsi="仿宋" w:eastAsia="仿宋" w:cs="仿宋"/>
                <w:color w:val="000000"/>
                <w:sz w:val="24"/>
              </w:rPr>
              <w:t>.</w:t>
            </w:r>
            <w:r>
              <w:rPr>
                <w:rFonts w:hint="eastAsia" w:ascii="仿宋" w:hAnsi="仿宋" w:eastAsia="仿宋" w:cs="仿宋"/>
                <w:color w:val="000000"/>
                <w:sz w:val="24"/>
              </w:rPr>
              <w:t>数据统计：支持管理端维护收费类别，查询、统计、报表下载。可以通过后台添加收费项目。</w:t>
            </w:r>
          </w:p>
        </w:tc>
      </w:tr>
      <w:tr w14:paraId="00F2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ADE8CC9">
            <w:pPr>
              <w:snapToGrid w:val="0"/>
              <w:jc w:val="center"/>
              <w:rPr>
                <w:rFonts w:ascii="仿宋" w:hAnsi="仿宋" w:eastAsia="仿宋" w:cs="仿宋"/>
                <w:sz w:val="24"/>
                <w:szCs w:val="24"/>
              </w:rPr>
            </w:pPr>
          </w:p>
        </w:tc>
        <w:tc>
          <w:tcPr>
            <w:tcW w:w="1257" w:type="dxa"/>
            <w:vMerge w:val="restart"/>
            <w:tcBorders>
              <w:left w:val="single" w:color="auto" w:sz="4" w:space="0"/>
              <w:right w:val="single" w:color="auto" w:sz="4" w:space="0"/>
            </w:tcBorders>
            <w:shd w:val="clear" w:color="auto" w:fill="auto"/>
            <w:vAlign w:val="center"/>
          </w:tcPr>
          <w:p w14:paraId="66CBBE87">
            <w:pPr>
              <w:widowControl/>
              <w:snapToGrid w:val="0"/>
              <w:jc w:val="center"/>
              <w:rPr>
                <w:rFonts w:ascii="仿宋" w:hAnsi="仿宋" w:eastAsia="仿宋" w:cs="仿宋"/>
                <w:kern w:val="0"/>
                <w:sz w:val="24"/>
                <w:szCs w:val="24"/>
                <w:lang w:bidi="ar"/>
              </w:rPr>
            </w:pPr>
            <w:r>
              <w:rPr>
                <w:rFonts w:hint="eastAsia" w:ascii="仿宋" w:hAnsi="仿宋" w:eastAsia="仿宋" w:cs="仿宋"/>
                <w:b/>
                <w:color w:val="000000"/>
                <w:sz w:val="24"/>
              </w:rPr>
              <w:t>急诊出车收费</w:t>
            </w:r>
            <w:r>
              <w:rPr>
                <w:rFonts w:hint="eastAsia" w:ascii="仿宋" w:hAnsi="仿宋" w:eastAsia="仿宋" w:cs="仿宋"/>
                <w:b/>
                <w:sz w:val="24"/>
              </w:rPr>
              <w:t>子系统</w:t>
            </w:r>
          </w:p>
        </w:tc>
        <w:tc>
          <w:tcPr>
            <w:tcW w:w="1969" w:type="dxa"/>
            <w:tcBorders>
              <w:left w:val="single" w:color="auto" w:sz="4" w:space="0"/>
              <w:bottom w:val="single" w:color="auto" w:sz="4" w:space="0"/>
              <w:right w:val="single" w:color="auto" w:sz="4" w:space="0"/>
            </w:tcBorders>
            <w:shd w:val="clear" w:color="auto" w:fill="auto"/>
            <w:vAlign w:val="center"/>
          </w:tcPr>
          <w:p w14:paraId="31593422">
            <w:pPr>
              <w:widowControl/>
              <w:snapToGrid w:val="0"/>
              <w:jc w:val="left"/>
              <w:rPr>
                <w:rFonts w:ascii="仿宋" w:hAnsi="仿宋" w:eastAsia="仿宋" w:cs="仿宋"/>
                <w:kern w:val="0"/>
                <w:sz w:val="24"/>
                <w:szCs w:val="24"/>
                <w:lang w:bidi="ar"/>
              </w:rPr>
            </w:pPr>
            <w:r>
              <w:rPr>
                <w:rFonts w:hint="eastAsia" w:ascii="仿宋" w:hAnsi="仿宋" w:eastAsia="仿宋" w:cs="仿宋"/>
                <w:color w:val="000000"/>
                <w:sz w:val="24"/>
                <w:szCs w:val="24"/>
              </w:rPr>
              <w:t>在线预交费用</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631D631">
            <w:pPr>
              <w:widowControl/>
              <w:snapToGrid w:val="0"/>
              <w:jc w:val="left"/>
              <w:rPr>
                <w:rFonts w:ascii="仿宋" w:hAnsi="仿宋" w:eastAsia="仿宋" w:cs="仿宋"/>
                <w:color w:val="000000"/>
                <w:sz w:val="24"/>
              </w:rPr>
            </w:pPr>
            <w:r>
              <w:rPr>
                <w:rFonts w:hint="eastAsia" w:ascii="仿宋" w:hAnsi="仿宋" w:eastAsia="仿宋" w:cs="仿宋"/>
                <w:color w:val="000000"/>
                <w:sz w:val="24"/>
              </w:rPr>
              <w:t>支持扫描微信二维码，录入患者身份证号、患者姓名、预交金额，在线缴纳急诊预收费用。</w:t>
            </w:r>
          </w:p>
        </w:tc>
      </w:tr>
      <w:tr w14:paraId="73F5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01A6E65A">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ADFB28E">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72D1EF33">
            <w:pPr>
              <w:widowControl/>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预交费用查询</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AD2618C">
            <w:pPr>
              <w:widowControl/>
              <w:snapToGrid w:val="0"/>
              <w:jc w:val="left"/>
              <w:rPr>
                <w:rFonts w:ascii="仿宋" w:hAnsi="仿宋" w:eastAsia="仿宋" w:cs="仿宋"/>
                <w:color w:val="000000"/>
                <w:sz w:val="24"/>
              </w:rPr>
            </w:pPr>
            <w:r>
              <w:rPr>
                <w:rFonts w:hint="eastAsia" w:ascii="仿宋" w:hAnsi="仿宋" w:eastAsia="仿宋" w:cs="仿宋"/>
                <w:color w:val="000000"/>
                <w:sz w:val="24"/>
              </w:rPr>
              <w:t>支持通过身份证号、姓名查询预交费用记录（缴纳时间、缴纳金额、交易流水等）</w:t>
            </w:r>
          </w:p>
        </w:tc>
      </w:tr>
      <w:tr w14:paraId="6624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1970E0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3B013812">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38D0E01C">
            <w:pPr>
              <w:widowControl/>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门诊费用转正</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0325648">
            <w:pPr>
              <w:widowControl/>
              <w:snapToGrid w:val="0"/>
              <w:jc w:val="left"/>
              <w:rPr>
                <w:rFonts w:ascii="仿宋" w:hAnsi="仿宋" w:eastAsia="仿宋" w:cs="仿宋"/>
                <w:color w:val="000000"/>
                <w:sz w:val="24"/>
              </w:rPr>
            </w:pPr>
            <w:r>
              <w:rPr>
                <w:rFonts w:hint="eastAsia" w:ascii="仿宋" w:hAnsi="仿宋" w:eastAsia="仿宋" w:cs="仿宋"/>
                <w:color w:val="000000"/>
                <w:sz w:val="24"/>
              </w:rPr>
              <w:t>支持患者就诊后，预交充值金额，直接用于his系统门诊结算。</w:t>
            </w:r>
          </w:p>
        </w:tc>
      </w:tr>
      <w:tr w14:paraId="7C8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0A29DF0">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6991D4DB">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1A9FB924">
            <w:pPr>
              <w:widowControl/>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余额原路返回</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C8E5CE9">
            <w:pPr>
              <w:widowControl/>
              <w:snapToGrid w:val="0"/>
              <w:jc w:val="left"/>
              <w:rPr>
                <w:rFonts w:ascii="仿宋" w:hAnsi="仿宋" w:eastAsia="仿宋" w:cs="仿宋"/>
                <w:color w:val="000000"/>
                <w:sz w:val="24"/>
              </w:rPr>
            </w:pPr>
            <w:r>
              <w:rPr>
                <w:rFonts w:hint="eastAsia" w:ascii="仿宋" w:hAnsi="仿宋" w:eastAsia="仿宋" w:cs="仿宋"/>
                <w:color w:val="000000"/>
                <w:sz w:val="24"/>
              </w:rPr>
              <w:t>支持门诊费用结余后，通过线下收费窗口原路返回</w:t>
            </w:r>
          </w:p>
        </w:tc>
      </w:tr>
      <w:tr w14:paraId="010D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2261307">
            <w:pPr>
              <w:snapToGrid w:val="0"/>
              <w:jc w:val="center"/>
              <w:rPr>
                <w:rFonts w:ascii="仿宋" w:hAnsi="仿宋" w:eastAsia="仿宋" w:cs="仿宋"/>
                <w:sz w:val="24"/>
                <w:szCs w:val="24"/>
              </w:rPr>
            </w:pPr>
          </w:p>
        </w:tc>
        <w:tc>
          <w:tcPr>
            <w:tcW w:w="1257" w:type="dxa"/>
            <w:vMerge w:val="restart"/>
            <w:tcBorders>
              <w:left w:val="single" w:color="auto" w:sz="4" w:space="0"/>
              <w:right w:val="single" w:color="auto" w:sz="4" w:space="0"/>
            </w:tcBorders>
            <w:shd w:val="clear" w:color="auto" w:fill="auto"/>
            <w:vAlign w:val="center"/>
          </w:tcPr>
          <w:p w14:paraId="29B4C8E3">
            <w:pPr>
              <w:widowControl/>
              <w:snapToGrid w:val="0"/>
              <w:jc w:val="center"/>
              <w:rPr>
                <w:rFonts w:ascii="仿宋" w:hAnsi="仿宋" w:eastAsia="仿宋" w:cs="仿宋"/>
                <w:b/>
                <w:color w:val="000000"/>
                <w:sz w:val="24"/>
              </w:rPr>
            </w:pPr>
            <w:r>
              <w:rPr>
                <w:rFonts w:hint="eastAsia" w:ascii="仿宋" w:hAnsi="仿宋" w:eastAsia="仿宋" w:cs="仿宋"/>
                <w:b/>
                <w:color w:val="000000"/>
                <w:sz w:val="24"/>
              </w:rPr>
              <w:t>体检加项收费</w:t>
            </w:r>
          </w:p>
        </w:tc>
        <w:tc>
          <w:tcPr>
            <w:tcW w:w="1969" w:type="dxa"/>
            <w:tcBorders>
              <w:left w:val="single" w:color="auto" w:sz="4" w:space="0"/>
              <w:bottom w:val="single" w:color="auto" w:sz="4" w:space="0"/>
              <w:right w:val="single" w:color="auto" w:sz="4" w:space="0"/>
            </w:tcBorders>
            <w:shd w:val="clear" w:color="auto" w:fill="auto"/>
            <w:vAlign w:val="center"/>
          </w:tcPr>
          <w:p w14:paraId="178B8209">
            <w:pPr>
              <w:pStyle w:val="23"/>
              <w:snapToGrid w:val="0"/>
              <w:spacing w:line="240" w:lineRule="auto"/>
              <w:ind w:right="34" w:rightChars="16" w:firstLine="0"/>
              <w:jc w:val="left"/>
              <w:rPr>
                <w:rFonts w:ascii="仿宋" w:hAnsi="仿宋" w:eastAsia="仿宋" w:cs="仿宋"/>
                <w:sz w:val="24"/>
                <w:szCs w:val="24"/>
              </w:rPr>
            </w:pPr>
            <w:r>
              <w:rPr>
                <w:rFonts w:hint="eastAsia" w:ascii="仿宋" w:hAnsi="仿宋" w:eastAsia="仿宋" w:cs="仿宋"/>
                <w:color w:val="000000"/>
                <w:sz w:val="24"/>
                <w:szCs w:val="24"/>
              </w:rPr>
              <w:t>授权账号登录</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E085761">
            <w:pPr>
              <w:snapToGrid w:val="0"/>
              <w:jc w:val="left"/>
              <w:rPr>
                <w:rFonts w:ascii="仿宋" w:hAnsi="仿宋" w:eastAsia="仿宋" w:cs="仿宋"/>
                <w:color w:val="000000"/>
                <w:sz w:val="24"/>
              </w:rPr>
            </w:pPr>
            <w:r>
              <w:rPr>
                <w:rFonts w:hint="eastAsia" w:ascii="仿宋" w:hAnsi="仿宋" w:eastAsia="仿宋" w:cs="仿宋"/>
                <w:color w:val="000000"/>
                <w:sz w:val="24"/>
              </w:rPr>
              <w:t>支持已授权的医生通过手机号登录微信收费小程序或公众号，无权限医生禁止使用。</w:t>
            </w:r>
          </w:p>
        </w:tc>
      </w:tr>
      <w:tr w14:paraId="1BB2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B1FEF90">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43366259">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1867B917">
            <w:pPr>
              <w:snapToGrid w:val="0"/>
              <w:ind w:right="34" w:rightChars="16"/>
              <w:jc w:val="left"/>
              <w:rPr>
                <w:rFonts w:ascii="仿宋" w:hAnsi="仿宋" w:eastAsia="仿宋" w:cs="仿宋"/>
                <w:sz w:val="24"/>
              </w:rPr>
            </w:pPr>
            <w:r>
              <w:rPr>
                <w:rFonts w:hint="eastAsia" w:ascii="仿宋" w:hAnsi="仿宋" w:eastAsia="仿宋" w:cs="仿宋"/>
                <w:color w:val="000000"/>
                <w:sz w:val="24"/>
              </w:rPr>
              <w:t>开立加项医嘱</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E346924">
            <w:pPr>
              <w:snapToGrid w:val="0"/>
              <w:jc w:val="left"/>
              <w:rPr>
                <w:rFonts w:ascii="仿宋" w:hAnsi="仿宋" w:eastAsia="仿宋" w:cs="仿宋"/>
                <w:color w:val="000000"/>
                <w:sz w:val="24"/>
              </w:rPr>
            </w:pPr>
            <w:r>
              <w:rPr>
                <w:rFonts w:hint="eastAsia" w:ascii="仿宋" w:hAnsi="仿宋" w:eastAsia="仿宋" w:cs="仿宋"/>
                <w:color w:val="000000"/>
                <w:sz w:val="24"/>
              </w:rPr>
              <w:t>支持通过姓名、体检号/身份证号查询验证体检用户信息，选择体检加项项目，开立体检医嘱，生成体检加项收费订单。</w:t>
            </w:r>
          </w:p>
        </w:tc>
      </w:tr>
      <w:tr w14:paraId="29E1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873203B">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3A8407D">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48BED912">
            <w:pPr>
              <w:snapToGrid w:val="0"/>
              <w:ind w:right="34" w:rightChars="16"/>
              <w:jc w:val="left"/>
              <w:rPr>
                <w:rFonts w:ascii="仿宋" w:hAnsi="仿宋" w:eastAsia="仿宋" w:cs="仿宋"/>
                <w:color w:val="000000"/>
                <w:sz w:val="24"/>
              </w:rPr>
            </w:pPr>
            <w:r>
              <w:rPr>
                <w:rFonts w:hint="eastAsia" w:ascii="仿宋" w:hAnsi="仿宋" w:eastAsia="仿宋" w:cs="仿宋"/>
                <w:color w:val="000000"/>
                <w:sz w:val="24"/>
              </w:rPr>
              <w:t>扫码收费</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C9A6353">
            <w:pPr>
              <w:snapToGrid w:val="0"/>
              <w:jc w:val="left"/>
              <w:rPr>
                <w:rFonts w:ascii="仿宋" w:hAnsi="仿宋" w:eastAsia="仿宋" w:cs="仿宋"/>
                <w:color w:val="000000"/>
                <w:sz w:val="24"/>
              </w:rPr>
            </w:pPr>
            <w:r>
              <w:rPr>
                <w:rFonts w:hint="eastAsia" w:ascii="仿宋" w:hAnsi="仿宋" w:eastAsia="仿宋" w:cs="仿宋"/>
                <w:color w:val="000000"/>
                <w:sz w:val="24"/>
              </w:rPr>
              <w:t>支持通过扫一扫功能，扫描患者微信付款二维码，收取体检加项订单费用。订单费用回写院内收费系统。</w:t>
            </w:r>
          </w:p>
        </w:tc>
      </w:tr>
      <w:tr w14:paraId="0985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4756031">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5F80FC4">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7881B57B">
            <w:pPr>
              <w:snapToGrid w:val="0"/>
              <w:ind w:right="34" w:rightChars="16"/>
              <w:jc w:val="left"/>
              <w:rPr>
                <w:rFonts w:ascii="仿宋" w:hAnsi="仿宋" w:eastAsia="仿宋" w:cs="仿宋"/>
                <w:color w:val="000000"/>
                <w:sz w:val="24"/>
              </w:rPr>
            </w:pPr>
            <w:r>
              <w:rPr>
                <w:rFonts w:hint="eastAsia" w:ascii="仿宋" w:hAnsi="仿宋" w:eastAsia="仿宋" w:cs="仿宋"/>
                <w:color w:val="000000"/>
                <w:sz w:val="24"/>
              </w:rPr>
              <w:t>收费记录查询</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31C2360">
            <w:pPr>
              <w:snapToGrid w:val="0"/>
              <w:jc w:val="left"/>
              <w:rPr>
                <w:rFonts w:ascii="仿宋" w:hAnsi="仿宋" w:eastAsia="仿宋" w:cs="仿宋"/>
                <w:color w:val="000000"/>
                <w:sz w:val="24"/>
              </w:rPr>
            </w:pPr>
            <w:r>
              <w:rPr>
                <w:rFonts w:hint="eastAsia" w:ascii="仿宋" w:hAnsi="仿宋" w:eastAsia="仿宋" w:cs="仿宋"/>
                <w:color w:val="000000"/>
                <w:sz w:val="24"/>
              </w:rPr>
              <w:t>支持收费记录的查询。</w:t>
            </w:r>
          </w:p>
        </w:tc>
      </w:tr>
      <w:tr w14:paraId="6928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FBEA95C">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0074312D">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048F3D7B">
            <w:pPr>
              <w:snapToGrid w:val="0"/>
              <w:ind w:right="34" w:rightChars="16"/>
              <w:jc w:val="left"/>
              <w:rPr>
                <w:rFonts w:ascii="仿宋" w:hAnsi="仿宋" w:eastAsia="仿宋" w:cs="仿宋"/>
                <w:color w:val="000000"/>
                <w:sz w:val="24"/>
              </w:rPr>
            </w:pPr>
            <w:r>
              <w:rPr>
                <w:rFonts w:hint="eastAsia" w:ascii="仿宋" w:hAnsi="仿宋" w:eastAsia="仿宋" w:cs="仿宋"/>
                <w:color w:val="000000"/>
                <w:sz w:val="24"/>
              </w:rPr>
              <w:t>体检提醒</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63638A8">
            <w:pPr>
              <w:snapToGrid w:val="0"/>
              <w:jc w:val="left"/>
              <w:rPr>
                <w:rFonts w:ascii="仿宋" w:hAnsi="仿宋" w:eastAsia="仿宋" w:cs="仿宋"/>
                <w:color w:val="000000"/>
                <w:sz w:val="24"/>
              </w:rPr>
            </w:pPr>
            <w:r>
              <w:rPr>
                <w:rFonts w:hint="eastAsia" w:ascii="仿宋" w:hAnsi="仿宋" w:eastAsia="仿宋" w:cs="仿宋"/>
                <w:color w:val="000000"/>
                <w:sz w:val="24"/>
              </w:rPr>
              <w:t>每年一次体检提醒，慢性病等特殊患者可设置半年或一个月体检提醒。</w:t>
            </w:r>
          </w:p>
        </w:tc>
      </w:tr>
      <w:tr w14:paraId="1F82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40523EE">
            <w:pPr>
              <w:snapToGrid w:val="0"/>
              <w:jc w:val="center"/>
              <w:rPr>
                <w:rFonts w:ascii="仿宋" w:hAnsi="仿宋" w:eastAsia="仿宋" w:cs="仿宋"/>
                <w:sz w:val="24"/>
                <w:szCs w:val="24"/>
              </w:rPr>
            </w:pPr>
          </w:p>
        </w:tc>
        <w:tc>
          <w:tcPr>
            <w:tcW w:w="1257" w:type="dxa"/>
            <w:vMerge w:val="restart"/>
            <w:tcBorders>
              <w:left w:val="single" w:color="auto" w:sz="4" w:space="0"/>
              <w:right w:val="single" w:color="auto" w:sz="4" w:space="0"/>
            </w:tcBorders>
            <w:shd w:val="clear" w:color="auto" w:fill="auto"/>
            <w:vAlign w:val="center"/>
          </w:tcPr>
          <w:p w14:paraId="1AA17F7A">
            <w:pPr>
              <w:widowControl/>
              <w:snapToGrid w:val="0"/>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住院病历打印预约</w:t>
            </w:r>
          </w:p>
        </w:tc>
        <w:tc>
          <w:tcPr>
            <w:tcW w:w="1969" w:type="dxa"/>
            <w:tcBorders>
              <w:left w:val="single" w:color="auto" w:sz="4" w:space="0"/>
              <w:bottom w:val="single" w:color="auto" w:sz="4" w:space="0"/>
              <w:right w:val="single" w:color="auto" w:sz="4" w:space="0"/>
            </w:tcBorders>
            <w:shd w:val="clear" w:color="auto" w:fill="auto"/>
            <w:vAlign w:val="center"/>
          </w:tcPr>
          <w:p w14:paraId="4A1B1D4A">
            <w:pPr>
              <w:snapToGrid w:val="0"/>
              <w:ind w:right="34" w:rightChars="16"/>
              <w:jc w:val="left"/>
              <w:rPr>
                <w:rFonts w:hint="eastAsia" w:ascii="仿宋" w:hAnsi="仿宋" w:eastAsia="仿宋" w:cs="仿宋"/>
                <w:color w:val="000000"/>
                <w:sz w:val="24"/>
              </w:rPr>
            </w:pPr>
            <w:r>
              <w:rPr>
                <w:rFonts w:hint="eastAsia" w:ascii="仿宋" w:hAnsi="仿宋" w:eastAsia="仿宋" w:cs="仿宋"/>
                <w:color w:val="000000"/>
                <w:sz w:val="24"/>
              </w:rPr>
              <w:t>身份认证与隐私保护</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4B22BC6">
            <w:pPr>
              <w:snapToGrid w:val="0"/>
              <w:jc w:val="left"/>
              <w:rPr>
                <w:rFonts w:hint="eastAsia" w:ascii="仿宋" w:hAnsi="仿宋" w:eastAsia="仿宋" w:cs="仿宋"/>
                <w:color w:val="000000"/>
                <w:sz w:val="24"/>
              </w:rPr>
            </w:pPr>
            <w:r>
              <w:rPr>
                <w:rFonts w:hint="eastAsia" w:ascii="仿宋" w:hAnsi="仿宋" w:eastAsia="仿宋" w:cs="仿宋"/>
                <w:color w:val="000000"/>
                <w:sz w:val="24"/>
              </w:rPr>
              <w:t>支持身份证、社保卡、人脸识别等多重身份验证；</w:t>
            </w:r>
          </w:p>
          <w:p w14:paraId="56FA8008">
            <w:pPr>
              <w:snapToGrid w:val="0"/>
              <w:jc w:val="left"/>
              <w:rPr>
                <w:rFonts w:hint="eastAsia" w:ascii="仿宋" w:hAnsi="仿宋" w:eastAsia="仿宋" w:cs="仿宋"/>
                <w:color w:val="000000"/>
                <w:sz w:val="24"/>
              </w:rPr>
            </w:pPr>
            <w:r>
              <w:rPr>
                <w:rFonts w:hint="eastAsia" w:ascii="仿宋" w:hAnsi="仿宋" w:eastAsia="仿宋" w:cs="仿宋"/>
                <w:color w:val="000000"/>
                <w:sz w:val="24"/>
              </w:rPr>
              <w:t>确保患者隐私，防止信息泄露。</w:t>
            </w:r>
          </w:p>
        </w:tc>
      </w:tr>
      <w:tr w14:paraId="74DA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0590A13">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5E39003D">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177AD07E">
            <w:pPr>
              <w:snapToGrid w:val="0"/>
              <w:ind w:right="34" w:rightChars="16"/>
              <w:jc w:val="left"/>
              <w:rPr>
                <w:rFonts w:hint="eastAsia" w:ascii="仿宋" w:hAnsi="仿宋" w:eastAsia="仿宋" w:cs="仿宋"/>
                <w:color w:val="000000"/>
                <w:sz w:val="24"/>
              </w:rPr>
            </w:pPr>
            <w:r>
              <w:rPr>
                <w:rFonts w:hint="eastAsia" w:ascii="仿宋" w:hAnsi="仿宋" w:eastAsia="仿宋" w:cs="仿宋"/>
                <w:color w:val="000000"/>
                <w:sz w:val="24"/>
              </w:rPr>
              <w:t>打印内容自定义与套餐选择</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050F892">
            <w:pPr>
              <w:snapToGrid w:val="0"/>
              <w:jc w:val="left"/>
              <w:rPr>
                <w:rFonts w:hint="eastAsia" w:ascii="仿宋" w:hAnsi="仿宋" w:eastAsia="仿宋" w:cs="仿宋"/>
                <w:color w:val="000000"/>
                <w:sz w:val="24"/>
              </w:rPr>
            </w:pPr>
            <w:r>
              <w:rPr>
                <w:rFonts w:hint="eastAsia" w:ascii="仿宋" w:hAnsi="仿宋" w:eastAsia="仿宋" w:cs="仿宋"/>
                <w:color w:val="000000"/>
                <w:sz w:val="24"/>
              </w:rPr>
              <w:t>提供常用打印套餐（如保险理赔、医保报销、司法用途等）；</w:t>
            </w:r>
          </w:p>
          <w:p w14:paraId="44B03620">
            <w:pPr>
              <w:snapToGrid w:val="0"/>
              <w:jc w:val="left"/>
              <w:rPr>
                <w:rFonts w:hint="eastAsia" w:ascii="仿宋" w:hAnsi="仿宋" w:eastAsia="仿宋" w:cs="仿宋"/>
                <w:color w:val="000000"/>
                <w:sz w:val="24"/>
                <w:lang w:eastAsia="zh-CN"/>
              </w:rPr>
            </w:pPr>
            <w:r>
              <w:rPr>
                <w:rFonts w:hint="eastAsia" w:ascii="仿宋" w:hAnsi="仿宋" w:eastAsia="仿宋" w:cs="仿宋"/>
                <w:color w:val="000000"/>
                <w:sz w:val="24"/>
              </w:rPr>
              <w:t>支持患者按需勾选打印内容，避免不必要浪费</w:t>
            </w:r>
            <w:r>
              <w:rPr>
                <w:rFonts w:hint="eastAsia" w:ascii="仿宋" w:hAnsi="仿宋" w:eastAsia="仿宋" w:cs="仿宋"/>
                <w:color w:val="000000"/>
                <w:sz w:val="24"/>
                <w:lang w:eastAsia="zh-CN"/>
              </w:rPr>
              <w:t>；</w:t>
            </w:r>
          </w:p>
        </w:tc>
      </w:tr>
      <w:tr w14:paraId="3AF7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1D22895">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431A36BA">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15FD0D6D">
            <w:pPr>
              <w:snapToGrid w:val="0"/>
              <w:ind w:right="34" w:rightChars="16"/>
              <w:jc w:val="left"/>
              <w:rPr>
                <w:rFonts w:hint="eastAsia" w:ascii="仿宋" w:hAnsi="仿宋" w:eastAsia="仿宋" w:cs="仿宋"/>
                <w:color w:val="000000"/>
                <w:sz w:val="24"/>
              </w:rPr>
            </w:pPr>
            <w:r>
              <w:rPr>
                <w:rFonts w:hint="eastAsia" w:ascii="仿宋" w:hAnsi="仿宋" w:eastAsia="仿宋" w:cs="仿宋"/>
                <w:color w:val="000000"/>
                <w:sz w:val="24"/>
              </w:rPr>
              <w:t>费用管理与支付</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23C3C7B">
            <w:pPr>
              <w:snapToGrid w:val="0"/>
              <w:jc w:val="left"/>
              <w:rPr>
                <w:rFonts w:hint="eastAsia" w:ascii="仿宋" w:hAnsi="仿宋" w:eastAsia="仿宋" w:cs="仿宋"/>
                <w:color w:val="000000"/>
                <w:sz w:val="24"/>
              </w:rPr>
            </w:pPr>
            <w:r>
              <w:rPr>
                <w:rFonts w:hint="eastAsia" w:ascii="仿宋" w:hAnsi="仿宋" w:eastAsia="仿宋" w:cs="仿宋"/>
                <w:color w:val="000000"/>
                <w:sz w:val="24"/>
              </w:rPr>
              <w:t>自动计算打印费用，支持微信、支付宝等移动支付；</w:t>
            </w:r>
          </w:p>
          <w:p w14:paraId="5909F871">
            <w:pPr>
              <w:snapToGrid w:val="0"/>
              <w:jc w:val="left"/>
              <w:rPr>
                <w:rFonts w:hint="eastAsia" w:ascii="仿宋" w:hAnsi="仿宋" w:eastAsia="仿宋" w:cs="仿宋"/>
                <w:color w:val="000000"/>
                <w:sz w:val="24"/>
              </w:rPr>
            </w:pPr>
            <w:r>
              <w:rPr>
                <w:rFonts w:hint="eastAsia" w:ascii="仿宋" w:hAnsi="仿宋" w:eastAsia="仿宋" w:cs="仿宋"/>
                <w:color w:val="000000"/>
                <w:sz w:val="24"/>
              </w:rPr>
              <w:t>支持退费、补缴功能</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待定</w:t>
            </w:r>
            <w:r>
              <w:rPr>
                <w:rFonts w:hint="eastAsia" w:ascii="仿宋" w:hAnsi="仿宋" w:eastAsia="仿宋" w:cs="仿宋"/>
                <w:color w:val="000000"/>
                <w:sz w:val="24"/>
                <w:lang w:eastAsia="zh-CN"/>
              </w:rPr>
              <w:t>）</w:t>
            </w:r>
            <w:r>
              <w:rPr>
                <w:rFonts w:hint="eastAsia" w:ascii="仿宋" w:hAnsi="仿宋" w:eastAsia="仿宋" w:cs="仿宋"/>
                <w:color w:val="000000"/>
                <w:sz w:val="24"/>
              </w:rPr>
              <w:t>。</w:t>
            </w:r>
          </w:p>
        </w:tc>
      </w:tr>
      <w:tr w14:paraId="2D1B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BB9881F">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B479786">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68D6A332">
            <w:pPr>
              <w:snapToGrid w:val="0"/>
              <w:ind w:right="34" w:rightChars="16"/>
              <w:jc w:val="left"/>
              <w:rPr>
                <w:rFonts w:hint="eastAsia" w:ascii="仿宋" w:hAnsi="仿宋" w:eastAsia="仿宋" w:cs="仿宋"/>
                <w:color w:val="000000"/>
                <w:sz w:val="24"/>
              </w:rPr>
            </w:pPr>
            <w:r>
              <w:rPr>
                <w:rFonts w:hint="eastAsia" w:ascii="仿宋" w:hAnsi="仿宋" w:eastAsia="仿宋" w:cs="仿宋"/>
                <w:color w:val="000000"/>
                <w:sz w:val="24"/>
              </w:rPr>
              <w:t>后台管理与数据统计</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11FC2F2">
            <w:pPr>
              <w:snapToGrid w:val="0"/>
              <w:jc w:val="left"/>
              <w:rPr>
                <w:rFonts w:hint="eastAsia" w:ascii="仿宋" w:hAnsi="仿宋" w:eastAsia="仿宋" w:cs="仿宋"/>
                <w:color w:val="000000"/>
                <w:sz w:val="24"/>
              </w:rPr>
            </w:pPr>
            <w:r>
              <w:rPr>
                <w:rFonts w:hint="eastAsia" w:ascii="仿宋" w:hAnsi="仿宋" w:eastAsia="仿宋" w:cs="仿宋"/>
                <w:color w:val="000000"/>
                <w:sz w:val="24"/>
              </w:rPr>
              <w:t>医院管理人员可审核申请、导出数据、统计打印量与收入；</w:t>
            </w:r>
          </w:p>
          <w:p w14:paraId="0F4D1F35">
            <w:pPr>
              <w:snapToGrid w:val="0"/>
              <w:jc w:val="left"/>
              <w:rPr>
                <w:rFonts w:hint="eastAsia" w:ascii="仿宋" w:hAnsi="仿宋" w:eastAsia="仿宋" w:cs="仿宋"/>
                <w:color w:val="000000"/>
                <w:sz w:val="24"/>
              </w:rPr>
            </w:pPr>
            <w:r>
              <w:rPr>
                <w:rFonts w:hint="eastAsia" w:ascii="仿宋" w:hAnsi="仿宋" w:eastAsia="仿宋" w:cs="仿宋"/>
                <w:color w:val="000000"/>
                <w:sz w:val="24"/>
              </w:rPr>
              <w:t>支持快递信息对接、打印状态追踪、异常订单处理。</w:t>
            </w:r>
          </w:p>
        </w:tc>
      </w:tr>
      <w:tr w14:paraId="1B30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9B5D69F">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0D574DC3">
            <w:pPr>
              <w:widowControl/>
              <w:snapToGrid w:val="0"/>
              <w:jc w:val="center"/>
              <w:rPr>
                <w:rFonts w:ascii="仿宋" w:hAnsi="仿宋" w:eastAsia="仿宋" w:cs="仿宋"/>
                <w:b/>
                <w:color w:val="000000"/>
                <w:sz w:val="24"/>
              </w:rPr>
            </w:pPr>
          </w:p>
        </w:tc>
        <w:tc>
          <w:tcPr>
            <w:tcW w:w="1969" w:type="dxa"/>
            <w:tcBorders>
              <w:left w:val="single" w:color="auto" w:sz="4" w:space="0"/>
              <w:bottom w:val="single" w:color="auto" w:sz="4" w:space="0"/>
              <w:right w:val="single" w:color="auto" w:sz="4" w:space="0"/>
            </w:tcBorders>
            <w:shd w:val="clear" w:color="auto" w:fill="auto"/>
            <w:vAlign w:val="center"/>
          </w:tcPr>
          <w:p w14:paraId="59313A40">
            <w:pPr>
              <w:snapToGrid w:val="0"/>
              <w:ind w:right="34" w:rightChars="16"/>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其他服务需求</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C4AFE65">
            <w:pPr>
              <w:snapToGrid w:val="0"/>
              <w:jc w:val="left"/>
              <w:rPr>
                <w:rFonts w:hint="eastAsia" w:ascii="仿宋" w:hAnsi="仿宋" w:eastAsia="仿宋" w:cs="仿宋"/>
                <w:color w:val="000000"/>
                <w:sz w:val="24"/>
              </w:rPr>
            </w:pPr>
            <w:r>
              <w:rPr>
                <w:rFonts w:hint="eastAsia" w:ascii="仿宋" w:hAnsi="仿宋" w:eastAsia="仿宋" w:cs="仿宋"/>
                <w:color w:val="000000"/>
                <w:sz w:val="24"/>
              </w:rPr>
              <w:t>能与医院HIS、电子病历、CDR、LIS等系统无缝对接；</w:t>
            </w:r>
          </w:p>
          <w:p w14:paraId="677E3006">
            <w:pPr>
              <w:snapToGrid w:val="0"/>
              <w:jc w:val="left"/>
              <w:rPr>
                <w:rFonts w:hint="eastAsia" w:ascii="仿宋" w:hAnsi="仿宋" w:eastAsia="仿宋" w:cs="仿宋"/>
                <w:color w:val="000000"/>
                <w:sz w:val="24"/>
              </w:rPr>
            </w:pPr>
            <w:r>
              <w:rPr>
                <w:rFonts w:hint="eastAsia" w:ascii="仿宋" w:hAnsi="仿宋" w:eastAsia="仿宋" w:cs="仿宋"/>
                <w:color w:val="000000"/>
                <w:sz w:val="24"/>
              </w:rPr>
              <w:t>支持通过集成平台或WebService方式获取病历数据；</w:t>
            </w:r>
          </w:p>
          <w:p w14:paraId="160E28A5">
            <w:pPr>
              <w:snapToGrid w:val="0"/>
              <w:jc w:val="left"/>
              <w:rPr>
                <w:rFonts w:hint="eastAsia" w:ascii="仿宋" w:hAnsi="仿宋" w:eastAsia="仿宋" w:cs="仿宋"/>
                <w:color w:val="000000"/>
                <w:sz w:val="24"/>
              </w:rPr>
            </w:pPr>
            <w:r>
              <w:rPr>
                <w:rFonts w:hint="eastAsia" w:ascii="仿宋" w:hAnsi="仿宋" w:eastAsia="仿宋" w:cs="仿宋"/>
                <w:color w:val="000000"/>
                <w:sz w:val="24"/>
              </w:rPr>
              <w:t>满足网络安全等级保护三级要求，支持数据加密、日志审计等。</w:t>
            </w:r>
          </w:p>
        </w:tc>
      </w:tr>
      <w:tr w14:paraId="2CA0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DDA0FFC">
            <w:pPr>
              <w:snapToGrid w:val="0"/>
              <w:jc w:val="center"/>
              <w:rPr>
                <w:rFonts w:ascii="仿宋" w:hAnsi="仿宋" w:eastAsia="仿宋" w:cs="仿宋"/>
                <w:sz w:val="24"/>
                <w:szCs w:val="24"/>
              </w:rPr>
            </w:pPr>
          </w:p>
        </w:tc>
        <w:tc>
          <w:tcPr>
            <w:tcW w:w="1257" w:type="dxa"/>
            <w:vMerge w:val="restart"/>
            <w:tcBorders>
              <w:top w:val="single" w:color="auto" w:sz="4" w:space="0"/>
              <w:left w:val="single" w:color="auto" w:sz="4" w:space="0"/>
              <w:right w:val="single" w:color="auto" w:sz="4" w:space="0"/>
            </w:tcBorders>
            <w:shd w:val="clear" w:color="auto" w:fill="auto"/>
            <w:vAlign w:val="center"/>
          </w:tcPr>
          <w:p w14:paraId="287270EC">
            <w:pPr>
              <w:widowControl/>
              <w:snapToGrid w:val="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住院全流程</w:t>
            </w:r>
          </w:p>
        </w:tc>
        <w:tc>
          <w:tcPr>
            <w:tcW w:w="1969" w:type="dxa"/>
            <w:vMerge w:val="restart"/>
            <w:tcBorders>
              <w:top w:val="single" w:color="auto" w:sz="4" w:space="0"/>
              <w:left w:val="single" w:color="auto" w:sz="4" w:space="0"/>
              <w:right w:val="single" w:color="auto" w:sz="4" w:space="0"/>
            </w:tcBorders>
            <w:shd w:val="clear" w:color="auto" w:fill="auto"/>
            <w:vAlign w:val="center"/>
          </w:tcPr>
          <w:p w14:paraId="4962DE22">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入院登记</w:t>
            </w:r>
          </w:p>
          <w:p w14:paraId="70F0945E">
            <w:pPr>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住院人管理的前端和接口开发以及流程组织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5878C811">
            <w:pPr>
              <w:widowControl/>
              <w:snapToGrid w:val="0"/>
              <w:jc w:val="left"/>
              <w:rPr>
                <w:rFonts w:ascii="仿宋" w:hAnsi="宋体" w:eastAsia="仿宋" w:cs="宋体"/>
                <w:color w:val="000000"/>
                <w:kern w:val="0"/>
                <w:sz w:val="24"/>
                <w:szCs w:val="22"/>
              </w:rPr>
            </w:pPr>
            <w:r>
              <w:rPr>
                <w:rFonts w:hint="eastAsia" w:ascii="仿宋" w:eastAsia="仿宋"/>
                <w:color w:val="000000"/>
                <w:sz w:val="24"/>
                <w:szCs w:val="22"/>
              </w:rPr>
              <w:t>查询可入院登记申请单，患者可在线发起床位预约申请，当有床位空缺时，医院主动联系通知患者，沟通确认入院事宜（实际效果取决于医院内部系统接口情况而定）；</w:t>
            </w:r>
          </w:p>
        </w:tc>
      </w:tr>
      <w:tr w14:paraId="226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5F86217">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4D7C7C5">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517D258">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DED4486">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填写入院申请单，发起入院登记申请</w:t>
            </w:r>
          </w:p>
        </w:tc>
      </w:tr>
      <w:tr w14:paraId="061D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E5FCBB4">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C16AD47">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3D02646B">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FD33EC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在线可通过无感支付、有感支付（医保个账、银联、微信、支付宝、银行卡等方式）、预交入院押金。</w:t>
            </w:r>
          </w:p>
        </w:tc>
      </w:tr>
      <w:tr w14:paraId="4539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78D8BF7">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C3F530D">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24620F23">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0EB7D77">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查询入院登记信息。</w:t>
            </w:r>
          </w:p>
        </w:tc>
      </w:tr>
      <w:tr w14:paraId="49C0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E0931EC">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1CCFF42">
            <w:pPr>
              <w:widowControl/>
              <w:snapToGrid w:val="0"/>
              <w:jc w:val="center"/>
              <w:rPr>
                <w:rFonts w:ascii="仿宋" w:hAnsi="仿宋" w:eastAsia="仿宋" w:cs="仿宋"/>
                <w:kern w:val="0"/>
                <w:sz w:val="24"/>
                <w:szCs w:val="24"/>
                <w:lang w:bidi="ar"/>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30693642">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住院押金预缴、补缴的前端和接口开发以及流程组织</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F534D0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查询住院患者每日费用清单。</w:t>
            </w:r>
          </w:p>
        </w:tc>
      </w:tr>
      <w:tr w14:paraId="00D0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642ECCE">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3083932C">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42B1CDE2">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A343B35">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查询住院患者余额情况</w:t>
            </w:r>
          </w:p>
        </w:tc>
      </w:tr>
      <w:tr w14:paraId="0214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D6E921E">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5E86417">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5F548777">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8DDDA83">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在线支付，通过无感支付或有感支付模式缴纳或补缴住院押金；</w:t>
            </w:r>
          </w:p>
        </w:tc>
      </w:tr>
      <w:tr w14:paraId="608C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70D209A9">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44C995C0">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0482D32D">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9EC1275">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通过患者就诊卡号、住院号查询缴费记录。</w:t>
            </w:r>
          </w:p>
        </w:tc>
      </w:tr>
      <w:tr w14:paraId="3DE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A84D878">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571474B">
            <w:pPr>
              <w:widowControl/>
              <w:snapToGrid w:val="0"/>
              <w:jc w:val="center"/>
              <w:rPr>
                <w:rFonts w:ascii="仿宋" w:hAnsi="仿宋" w:eastAsia="仿宋" w:cs="仿宋"/>
                <w:kern w:val="0"/>
                <w:sz w:val="24"/>
                <w:szCs w:val="24"/>
                <w:lang w:bidi="ar"/>
              </w:rPr>
            </w:pPr>
          </w:p>
        </w:tc>
        <w:tc>
          <w:tcPr>
            <w:tcW w:w="1969" w:type="dxa"/>
            <w:vMerge w:val="restart"/>
            <w:tcBorders>
              <w:left w:val="single" w:color="auto" w:sz="4" w:space="0"/>
              <w:right w:val="single" w:color="auto" w:sz="4" w:space="0"/>
            </w:tcBorders>
            <w:shd w:val="clear" w:color="auto" w:fill="auto"/>
            <w:vAlign w:val="center"/>
          </w:tcPr>
          <w:p w14:paraId="35C8B79A">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出院结算的前端和接口开发以及流程组织</w:t>
            </w:r>
            <w:r>
              <w:rPr>
                <w:rFonts w:ascii="仿宋" w:hAnsi="Calibri" w:eastAsia="仿宋" w:cs="Calibri"/>
                <w:kern w:val="0"/>
                <w:sz w:val="24"/>
                <w:szCs w:val="24"/>
                <w:lang w:bidi="ar"/>
              </w:rPr>
              <w:t> </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03860FD">
            <w:pPr>
              <w:widowControl/>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患者在病房申请预出院，住院收费室进行出院预结算后，患者可通过线上移动终端办理出院结算，并在线上移动终端办理出院结算缴费功能。</w:t>
            </w:r>
          </w:p>
        </w:tc>
      </w:tr>
      <w:tr w14:paraId="74F9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340695F">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9173788">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2ABA23F7">
            <w:pPr>
              <w:widowControl/>
              <w:snapToGrid w:val="0"/>
              <w:jc w:val="left"/>
              <w:rPr>
                <w:rFonts w:hint="eastAsia"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202801D">
            <w:pPr>
              <w:widowControl/>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可通过无感支付、有感支付（医保个账、银联、微信、支付宝、银行卡等方式）进行出院结算。</w:t>
            </w:r>
          </w:p>
        </w:tc>
      </w:tr>
      <w:tr w14:paraId="652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5BB98131">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769E147B">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2984B12A">
            <w:pPr>
              <w:widowControl/>
              <w:snapToGrid w:val="0"/>
              <w:jc w:val="left"/>
              <w:rPr>
                <w:rFonts w:hint="eastAsia"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28D631C">
            <w:pPr>
              <w:widowControl/>
              <w:snapToGrid w:val="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如需要退还住院押金，可由患者自定义选择退还押金缴费订单。</w:t>
            </w:r>
          </w:p>
        </w:tc>
      </w:tr>
      <w:tr w14:paraId="43C8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593A8D7">
            <w:pPr>
              <w:snapToGrid w:val="0"/>
              <w:jc w:val="center"/>
              <w:rPr>
                <w:rFonts w:ascii="仿宋" w:hAnsi="仿宋" w:eastAsia="仿宋" w:cs="仿宋"/>
                <w:sz w:val="24"/>
                <w:szCs w:val="24"/>
              </w:rPr>
            </w:pPr>
          </w:p>
        </w:tc>
        <w:tc>
          <w:tcPr>
            <w:tcW w:w="1257" w:type="dxa"/>
            <w:vMerge w:val="restart"/>
            <w:tcBorders>
              <w:top w:val="single" w:color="auto" w:sz="4" w:space="0"/>
              <w:left w:val="single" w:color="auto" w:sz="4" w:space="0"/>
              <w:right w:val="single" w:color="auto" w:sz="4" w:space="0"/>
            </w:tcBorders>
            <w:shd w:val="clear" w:color="auto" w:fill="auto"/>
            <w:vAlign w:val="center"/>
          </w:tcPr>
          <w:p w14:paraId="5CC0EE7C">
            <w:pPr>
              <w:widowControl/>
              <w:snapToGrid w:val="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后台管理</w:t>
            </w: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7089F598">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管理端UI设计</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779FAD4B">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完成整体UI设计</w:t>
            </w:r>
          </w:p>
        </w:tc>
      </w:tr>
      <w:tr w14:paraId="2110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E45C93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6446613">
            <w:pPr>
              <w:widowControl/>
              <w:snapToGrid w:val="0"/>
              <w:jc w:val="center"/>
              <w:rPr>
                <w:rFonts w:ascii="仿宋" w:hAnsi="仿宋" w:eastAsia="仿宋" w:cs="仿宋"/>
                <w:kern w:val="0"/>
                <w:sz w:val="24"/>
                <w:szCs w:val="24"/>
                <w:lang w:bidi="ar"/>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090C9164">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诊前服务管理</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2325C6E">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支持管理后台维护信息或通过院内接口自动同步信息，包含文章内容分类上传、科室医生信息、视频信息、广告通知等维护管理</w:t>
            </w:r>
          </w:p>
        </w:tc>
      </w:tr>
      <w:tr w14:paraId="05C3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1A356F2A">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0EF66A9D">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E64C009">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A27D930">
            <w:pPr>
              <w:widowControl/>
              <w:snapToGrid w:val="0"/>
              <w:jc w:val="left"/>
              <w:rPr>
                <w:rFonts w:ascii="仿宋" w:hAnsi="宋体" w:eastAsia="仿宋" w:cs="宋体"/>
                <w:color w:val="000000"/>
                <w:kern w:val="0"/>
                <w:sz w:val="24"/>
                <w:szCs w:val="24"/>
              </w:rPr>
            </w:pPr>
            <w:r>
              <w:rPr>
                <w:rFonts w:hint="eastAsia" w:ascii="仿宋" w:hAnsi="仿宋" w:eastAsia="仿宋" w:cs="仿宋"/>
                <w:color w:val="000000"/>
                <w:sz w:val="24"/>
              </w:rPr>
              <w:t>可配置医院信息管理、科室信息管理、医生信息管理、提示须知管理、公告信息管理。医生挂号节目排序可通过后台维护。</w:t>
            </w:r>
          </w:p>
        </w:tc>
      </w:tr>
      <w:tr w14:paraId="72C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4066FBB0">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49D274FD">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29DEF6E3">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9B2284C">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三大目录展示：医保药品目录、诊疗项目、医疗服务设施标准目录等目录通过院内接口自动同步或管理后台维护，</w:t>
            </w:r>
          </w:p>
        </w:tc>
      </w:tr>
      <w:tr w14:paraId="73B4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A0D0B4F">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177B323">
            <w:pPr>
              <w:widowControl/>
              <w:snapToGrid w:val="0"/>
              <w:jc w:val="center"/>
              <w:rPr>
                <w:rFonts w:ascii="仿宋" w:hAnsi="仿宋" w:eastAsia="仿宋" w:cs="仿宋"/>
                <w:kern w:val="0"/>
                <w:sz w:val="24"/>
                <w:szCs w:val="24"/>
                <w:lang w:bidi="ar"/>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38200C99">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诊间服务管理</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0901CFA">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管理绑卡患者信息，同步患者绑卡状态至HIS，可通过患者姓名、手机号、身份证快速查询到患者，也可以后台解绑患者等功能前端开发</w:t>
            </w:r>
          </w:p>
        </w:tc>
      </w:tr>
      <w:tr w14:paraId="2664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F13861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5B0B5B58">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5DBC3415">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1826DFCD">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通过患者手机号、姓名、就诊卡号、就诊时间段检索患者挂号清单，过检索指定挂号订单，在线发起退款；</w:t>
            </w:r>
          </w:p>
        </w:tc>
      </w:tr>
      <w:tr w14:paraId="4D16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755A7972">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2AF21303">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23D012AA">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068BC8F">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通过挂号规则，多次频繁挂号疑似倒号、伤医、连续爽约（失信）等行为等，添加挂号黑名单，不允许在线挂号。</w:t>
            </w:r>
          </w:p>
        </w:tc>
      </w:tr>
      <w:tr w14:paraId="575D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6E9F1538">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7FDFC8D">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15CEAD21">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4D480CA">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用户配置管理，管理用户的状态、参数设置等</w:t>
            </w:r>
          </w:p>
        </w:tc>
      </w:tr>
      <w:tr w14:paraId="6AAA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3A5985EB">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7736237">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408B834A">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43388746">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根据患者当前就诊状态，生成推送信息。</w:t>
            </w:r>
          </w:p>
        </w:tc>
      </w:tr>
      <w:tr w14:paraId="373F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23CB36C9">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460188FF">
            <w:pPr>
              <w:widowControl/>
              <w:snapToGrid w:val="0"/>
              <w:jc w:val="center"/>
              <w:rPr>
                <w:rFonts w:ascii="仿宋" w:hAnsi="仿宋" w:eastAsia="仿宋" w:cs="仿宋"/>
                <w:kern w:val="0"/>
                <w:sz w:val="24"/>
                <w:szCs w:val="24"/>
                <w:lang w:bidi="ar"/>
              </w:rPr>
            </w:pPr>
          </w:p>
        </w:tc>
        <w:tc>
          <w:tcPr>
            <w:tcW w:w="1969" w:type="dxa"/>
            <w:vMerge w:val="restart"/>
            <w:tcBorders>
              <w:top w:val="single" w:color="auto" w:sz="4" w:space="0"/>
              <w:left w:val="single" w:color="auto" w:sz="4" w:space="0"/>
              <w:right w:val="single" w:color="auto" w:sz="4" w:space="0"/>
            </w:tcBorders>
            <w:shd w:val="clear" w:color="auto" w:fill="auto"/>
            <w:vAlign w:val="center"/>
          </w:tcPr>
          <w:p w14:paraId="43F17F85">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后端服务接口对接</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22B5E5D6">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医保电子凭证服务对接，</w:t>
            </w:r>
          </w:p>
        </w:tc>
      </w:tr>
      <w:tr w14:paraId="47AE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0A97590C">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6B3FD4FC">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right w:val="single" w:color="auto" w:sz="4" w:space="0"/>
            </w:tcBorders>
            <w:shd w:val="clear" w:color="auto" w:fill="auto"/>
            <w:vAlign w:val="center"/>
          </w:tcPr>
          <w:p w14:paraId="0ADAA729">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14B7AAF">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电子健康码服务对接，包含出码和扫码识别</w:t>
            </w:r>
          </w:p>
        </w:tc>
      </w:tr>
      <w:tr w14:paraId="5039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right w:val="single" w:color="auto" w:sz="4" w:space="0"/>
            </w:tcBorders>
            <w:shd w:val="clear" w:color="auto" w:fill="auto"/>
            <w:vAlign w:val="center"/>
          </w:tcPr>
          <w:p w14:paraId="0114DA27">
            <w:pPr>
              <w:snapToGrid w:val="0"/>
              <w:jc w:val="center"/>
              <w:rPr>
                <w:rFonts w:ascii="仿宋" w:hAnsi="仿宋" w:eastAsia="仿宋" w:cs="仿宋"/>
                <w:sz w:val="24"/>
                <w:szCs w:val="24"/>
              </w:rPr>
            </w:pPr>
          </w:p>
        </w:tc>
        <w:tc>
          <w:tcPr>
            <w:tcW w:w="1257" w:type="dxa"/>
            <w:vMerge w:val="continue"/>
            <w:tcBorders>
              <w:left w:val="single" w:color="auto" w:sz="4" w:space="0"/>
              <w:right w:val="single" w:color="auto" w:sz="4" w:space="0"/>
            </w:tcBorders>
            <w:shd w:val="clear" w:color="auto" w:fill="auto"/>
            <w:vAlign w:val="center"/>
          </w:tcPr>
          <w:p w14:paraId="1801B867">
            <w:pPr>
              <w:widowControl/>
              <w:snapToGrid w:val="0"/>
              <w:jc w:val="center"/>
              <w:rPr>
                <w:rFonts w:ascii="仿宋" w:hAnsi="仿宋" w:eastAsia="仿宋" w:cs="仿宋"/>
                <w:kern w:val="0"/>
                <w:sz w:val="24"/>
                <w:szCs w:val="24"/>
                <w:lang w:bidi="ar"/>
              </w:rPr>
            </w:pPr>
          </w:p>
        </w:tc>
        <w:tc>
          <w:tcPr>
            <w:tcW w:w="1969" w:type="dxa"/>
            <w:vMerge w:val="continue"/>
            <w:tcBorders>
              <w:left w:val="single" w:color="auto" w:sz="4" w:space="0"/>
              <w:bottom w:val="single" w:color="auto" w:sz="4" w:space="0"/>
              <w:right w:val="single" w:color="auto" w:sz="4" w:space="0"/>
            </w:tcBorders>
            <w:shd w:val="clear" w:color="auto" w:fill="auto"/>
            <w:vAlign w:val="center"/>
          </w:tcPr>
          <w:p w14:paraId="150BFDAC">
            <w:pPr>
              <w:widowControl/>
              <w:snapToGrid w:val="0"/>
              <w:jc w:val="left"/>
              <w:rPr>
                <w:rFonts w:ascii="仿宋" w:hAnsi="仿宋" w:eastAsia="仿宋" w:cs="仿宋"/>
                <w:kern w:val="0"/>
                <w:sz w:val="24"/>
                <w:szCs w:val="24"/>
                <w:lang w:bidi="ar"/>
              </w:rPr>
            </w:pP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080F5B95">
            <w:pPr>
              <w:widowControl/>
              <w:snapToGrid w:val="0"/>
              <w:jc w:val="left"/>
              <w:rPr>
                <w:rFonts w:ascii="仿宋" w:hAnsi="仿宋" w:eastAsia="仿宋" w:cs="仿宋"/>
                <w:kern w:val="0"/>
                <w:sz w:val="24"/>
                <w:szCs w:val="24"/>
                <w:lang w:bidi="ar"/>
              </w:rPr>
            </w:pPr>
            <w:r>
              <w:rPr>
                <w:rFonts w:ascii="仿宋" w:hAnsi="仿宋" w:eastAsia="仿宋" w:cs="仿宋"/>
                <w:kern w:val="0"/>
                <w:sz w:val="24"/>
                <w:szCs w:val="24"/>
                <w:lang w:bidi="ar"/>
              </w:rPr>
              <w:t>医保人脸支付，</w:t>
            </w:r>
            <w:r>
              <w:rPr>
                <w:rFonts w:hint="eastAsia" w:ascii="仿宋" w:hAnsi="仿宋" w:eastAsia="仿宋" w:cs="仿宋"/>
                <w:kern w:val="0"/>
                <w:sz w:val="24"/>
                <w:szCs w:val="24"/>
                <w:lang w:bidi="ar"/>
              </w:rPr>
              <w:t>对接国家医保信息平台，相关账号、权限申请、测试数据申请及关联，支持患者通过线上医保授权建档，门诊个账及统筹结算，医保对账功能等。</w:t>
            </w:r>
          </w:p>
        </w:tc>
      </w:tr>
      <w:tr w14:paraId="4B29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bottom w:val="single" w:color="auto" w:sz="4" w:space="0"/>
              <w:right w:val="single" w:color="auto" w:sz="4" w:space="0"/>
            </w:tcBorders>
            <w:shd w:val="clear" w:color="auto" w:fill="auto"/>
            <w:vAlign w:val="center"/>
          </w:tcPr>
          <w:p w14:paraId="05859859">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71324780">
            <w:pPr>
              <w:widowControl/>
              <w:snapToGrid w:val="0"/>
              <w:jc w:val="center"/>
              <w:rPr>
                <w:rFonts w:ascii="仿宋" w:hAnsi="仿宋" w:eastAsia="仿宋" w:cs="仿宋"/>
                <w:kern w:val="0"/>
                <w:sz w:val="24"/>
                <w:szCs w:val="24"/>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30EDEA0B">
            <w:pPr>
              <w:widowControl/>
              <w:snapToGrid w:val="0"/>
              <w:jc w:val="left"/>
              <w:rPr>
                <w:rFonts w:ascii="仿宋" w:hAnsi="仿宋" w:eastAsia="仿宋" w:cs="仿宋"/>
                <w:kern w:val="0"/>
                <w:sz w:val="24"/>
                <w:szCs w:val="24"/>
                <w:lang w:bidi="ar"/>
              </w:rPr>
            </w:pPr>
            <w:r>
              <w:rPr>
                <w:rFonts w:hint="eastAsia" w:ascii="仿宋" w:hAnsi="仿宋" w:eastAsia="仿宋" w:cs="仿宋"/>
                <w:kern w:val="0"/>
                <w:sz w:val="24"/>
                <w:szCs w:val="24"/>
                <w:lang w:bidi="ar"/>
              </w:rPr>
              <w:t>交易明细下载</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32387B3E">
            <w:pPr>
              <w:widowControl/>
              <w:snapToGrid w:val="0"/>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查看交易记录，可以导出交易记录为excel文件。</w:t>
            </w:r>
          </w:p>
          <w:p w14:paraId="3BDCCBCC">
            <w:pPr>
              <w:pStyle w:val="11"/>
              <w:snapToGrid w:val="0"/>
              <w:ind w:leftChars="0" w:firstLine="0" w:firstLineChars="0"/>
              <w:jc w:val="left"/>
              <w:rPr>
                <w:rFonts w:ascii="仿宋" w:hAnsi="仿宋" w:eastAsia="仿宋" w:cs="仿宋"/>
                <w:color w:val="000000"/>
                <w:sz w:val="24"/>
                <w:szCs w:val="24"/>
                <w:lang w:bidi="ar"/>
              </w:rPr>
            </w:pPr>
            <w:r>
              <w:rPr>
                <w:rFonts w:ascii="仿宋" w:hAnsi="仿宋" w:eastAsia="仿宋" w:cs="仿宋"/>
                <w:color w:val="000000"/>
                <w:sz w:val="24"/>
                <w:szCs w:val="24"/>
                <w:lang w:bidi="ar"/>
              </w:rPr>
              <w:t>查</w:t>
            </w:r>
            <w:r>
              <w:rPr>
                <w:rFonts w:hint="eastAsia" w:ascii="仿宋" w:hAnsi="仿宋" w:eastAsia="仿宋" w:cs="仿宋"/>
                <w:color w:val="000000"/>
                <w:sz w:val="24"/>
                <w:szCs w:val="24"/>
                <w:lang w:bidi="ar"/>
              </w:rPr>
              <w:t>看充值交易的汇总信息，查看终端的充值情况、笔数和金额。查看交易的汇总信息，查看终端的交易情况、笔数和金额等。</w:t>
            </w:r>
          </w:p>
          <w:p w14:paraId="20831585">
            <w:pPr>
              <w:pStyle w:val="11"/>
              <w:snapToGrid w:val="0"/>
              <w:ind w:leftChars="0" w:firstLine="0" w:firstLineChars="0"/>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查看按终端进行的交易统计信息。</w:t>
            </w:r>
          </w:p>
          <w:p w14:paraId="5FDD62EF">
            <w:pPr>
              <w:widowControl/>
              <w:snapToGrid w:val="0"/>
              <w:jc w:val="left"/>
              <w:rPr>
                <w:rFonts w:ascii="仿宋" w:hAnsi="仿宋" w:eastAsia="仿宋" w:cs="仿宋"/>
                <w:kern w:val="0"/>
                <w:sz w:val="24"/>
                <w:szCs w:val="24"/>
                <w:lang w:bidi="ar"/>
              </w:rPr>
            </w:pPr>
            <w:r>
              <w:rPr>
                <w:rFonts w:hint="eastAsia" w:ascii="仿宋" w:hAnsi="仿宋" w:eastAsia="仿宋" w:cs="仿宋"/>
                <w:color w:val="000000"/>
                <w:kern w:val="0"/>
                <w:sz w:val="24"/>
                <w:szCs w:val="24"/>
                <w:lang w:bidi="ar"/>
              </w:rPr>
              <w:t>查看自助机的所有日志记录。</w:t>
            </w:r>
          </w:p>
        </w:tc>
      </w:tr>
      <w:tr w14:paraId="1D5C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8" w:type="dxa"/>
            <w:vMerge w:val="continue"/>
            <w:tcBorders>
              <w:left w:val="single" w:color="auto" w:sz="4" w:space="0"/>
              <w:bottom w:val="single" w:color="auto" w:sz="4" w:space="0"/>
              <w:right w:val="single" w:color="auto" w:sz="4" w:space="0"/>
            </w:tcBorders>
            <w:shd w:val="clear" w:color="auto" w:fill="auto"/>
            <w:vAlign w:val="center"/>
          </w:tcPr>
          <w:p w14:paraId="28EBBDC4">
            <w:pPr>
              <w:snapToGrid w:val="0"/>
              <w:jc w:val="center"/>
              <w:rPr>
                <w:rFonts w:ascii="仿宋" w:hAnsi="仿宋" w:eastAsia="仿宋" w:cs="仿宋"/>
                <w:sz w:val="24"/>
                <w:szCs w:val="24"/>
              </w:rPr>
            </w:pP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76DBD587">
            <w:pPr>
              <w:widowControl/>
              <w:snapToGrid w:val="0"/>
              <w:jc w:val="center"/>
              <w:rPr>
                <w:rFonts w:ascii="仿宋" w:hAnsi="仿宋" w:eastAsia="仿宋" w:cs="仿宋"/>
                <w:kern w:val="0"/>
                <w:sz w:val="24"/>
                <w:szCs w:val="24"/>
                <w:lang w:bidi="ar"/>
              </w:rPr>
            </w:pPr>
          </w:p>
        </w:tc>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A9B8743">
            <w:pPr>
              <w:widowControl/>
              <w:snapToGrid w:val="0"/>
              <w:jc w:val="left"/>
              <w:rPr>
                <w:rFonts w:ascii="仿宋" w:hAnsi="仿宋" w:eastAsia="仿宋" w:cs="仿宋"/>
                <w:sz w:val="24"/>
                <w:szCs w:val="24"/>
              </w:rPr>
            </w:pPr>
            <w:r>
              <w:rPr>
                <w:rFonts w:hint="eastAsia" w:ascii="仿宋" w:hAnsi="仿宋" w:eastAsia="仿宋" w:cs="仿宋"/>
                <w:color w:val="000000"/>
                <w:sz w:val="24"/>
              </w:rPr>
              <w:t>角色权限管理</w:t>
            </w:r>
          </w:p>
        </w:tc>
        <w:tc>
          <w:tcPr>
            <w:tcW w:w="5630" w:type="dxa"/>
            <w:tcBorders>
              <w:top w:val="single" w:color="auto" w:sz="4" w:space="0"/>
              <w:left w:val="single" w:color="auto" w:sz="4" w:space="0"/>
              <w:bottom w:val="single" w:color="auto" w:sz="4" w:space="0"/>
              <w:right w:val="single" w:color="auto" w:sz="4" w:space="0"/>
            </w:tcBorders>
            <w:shd w:val="clear" w:color="auto" w:fill="auto"/>
            <w:vAlign w:val="center"/>
          </w:tcPr>
          <w:p w14:paraId="6BA112D8">
            <w:pPr>
              <w:widowControl/>
              <w:snapToGrid w:val="0"/>
              <w:jc w:val="left"/>
              <w:textAlignment w:val="center"/>
              <w:rPr>
                <w:rFonts w:ascii="仿宋" w:hAnsi="仿宋" w:eastAsia="仿宋" w:cs="仿宋"/>
                <w:color w:val="000000"/>
                <w:sz w:val="24"/>
              </w:rPr>
            </w:pPr>
            <w:r>
              <w:rPr>
                <w:rFonts w:hint="eastAsia" w:ascii="仿宋" w:hAnsi="仿宋" w:eastAsia="仿宋" w:cs="仿宋"/>
                <w:color w:val="000000"/>
                <w:sz w:val="24"/>
              </w:rPr>
              <w:t>可对操作管理平台使用者定义角色，如定义区域分管员（部分权限）等</w:t>
            </w:r>
          </w:p>
        </w:tc>
      </w:tr>
    </w:tbl>
    <w:p w14:paraId="1D5F462B">
      <w:pPr>
        <w:pStyle w:val="22"/>
        <w:numPr>
          <w:ilvl w:val="0"/>
          <w:numId w:val="0"/>
        </w:numPr>
        <w:shd w:val="clear"/>
        <w:ind w:leftChars="0"/>
        <w:rPr>
          <w:rFonts w:hint="eastAsia"/>
          <w:b w:val="0"/>
          <w:bCs w:val="0"/>
          <w:color w:val="auto"/>
          <w:highlight w:val="none"/>
        </w:rPr>
      </w:pPr>
    </w:p>
    <w:p w14:paraId="1964ADC2">
      <w:pPr>
        <w:pStyle w:val="22"/>
        <w:widowControl w:val="0"/>
        <w:numPr>
          <w:ilvl w:val="0"/>
          <w:numId w:val="0"/>
        </w:numPr>
        <w:spacing w:line="360" w:lineRule="auto"/>
        <w:jc w:val="both"/>
        <w:rPr>
          <w:rFonts w:hint="eastAsia"/>
          <w:highlight w:val="yellow"/>
        </w:rPr>
      </w:pPr>
    </w:p>
    <w:p w14:paraId="5EBFE646">
      <w:pPr>
        <w:pStyle w:val="22"/>
        <w:rPr>
          <w:rFonts w:hint="eastAsia"/>
          <w:highlight w:val="none"/>
        </w:rPr>
      </w:pPr>
      <w:r>
        <w:rPr>
          <w:rFonts w:hint="eastAsia"/>
          <w:highlight w:val="none"/>
          <w:lang w:val="en-US" w:eastAsia="zh-CN"/>
        </w:rPr>
        <w:t>服务器硬件技术参数</w:t>
      </w:r>
    </w:p>
    <w:tbl>
      <w:tblPr>
        <w:tblStyle w:val="12"/>
        <w:tblW w:w="10358" w:type="dxa"/>
        <w:tblInd w:w="-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7"/>
        <w:gridCol w:w="8041"/>
      </w:tblGrid>
      <w:tr w14:paraId="0A0E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60" w:hRule="atLeast"/>
        </w:trPr>
        <w:tc>
          <w:tcPr>
            <w:tcW w:w="2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B874">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服务器</w:t>
            </w:r>
          </w:p>
        </w:tc>
        <w:tc>
          <w:tcPr>
            <w:tcW w:w="8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8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2*1.9G及以上处理器, 6C/20T DDR4-2400，</w:t>
            </w: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32</w:t>
            </w:r>
            <w:r>
              <w:rPr>
                <w:rFonts w:hint="eastAsia" w:ascii="宋体" w:hAnsi="宋体" w:eastAsia="宋体" w:cs="宋体"/>
                <w:i w:val="0"/>
                <w:iCs w:val="0"/>
                <w:color w:val="000000"/>
                <w:sz w:val="24"/>
                <w:szCs w:val="24"/>
                <w:u w:val="none"/>
              </w:rPr>
              <w:t>GB RDIMM 2666MT/s ，1T SAS 3.5 7.2K*2，1*PERC H330+ RAID 控制器, 适配器，2*标准 1U 散热器1*双个. 热插拔, 冗余电源(1+1), 495瓦，2*桌边电源线,250V,2M (中国)，2*中型跳线 (2M) C13-C14, 10A 1* 1Gb 网络子卡，1*DVDRW SuperMulti，1*导轨, 不带电缆管理臂</w:t>
            </w:r>
          </w:p>
        </w:tc>
      </w:tr>
    </w:tbl>
    <w:p w14:paraId="2CF61B69">
      <w:pPr>
        <w:pStyle w:val="22"/>
        <w:numPr>
          <w:ilvl w:val="0"/>
          <w:numId w:val="0"/>
        </w:numPr>
        <w:ind w:leftChars="0"/>
        <w:rPr>
          <w:rFonts w:hint="eastAsia"/>
          <w:highlight w:val="none"/>
        </w:rPr>
      </w:pPr>
    </w:p>
    <w:p w14:paraId="47DBC990">
      <w:pPr>
        <w:pStyle w:val="22"/>
        <w:numPr>
          <w:ilvl w:val="0"/>
          <w:numId w:val="0"/>
        </w:numPr>
        <w:ind w:leftChars="0"/>
        <w:rPr>
          <w:rFonts w:hint="eastAsia"/>
          <w:highlight w:val="yellow"/>
        </w:rPr>
      </w:pPr>
    </w:p>
    <w:p w14:paraId="7826BF05">
      <w:pPr>
        <w:rPr>
          <w:rFonts w:ascii="宋体" w:hAnsi="宋体" w:cs="仿宋"/>
          <w:szCs w:val="21"/>
        </w:rPr>
      </w:pPr>
    </w:p>
    <w:p w14:paraId="4DD45172">
      <w:pPr>
        <w:rPr>
          <w:rFonts w:ascii="宋体" w:hAnsi="宋体" w:cs="仿宋"/>
          <w:szCs w:val="21"/>
        </w:rPr>
      </w:pPr>
    </w:p>
    <w:p w14:paraId="40AA108B">
      <w:pPr>
        <w:rPr>
          <w:rFonts w:hint="eastAsia"/>
        </w:rPr>
      </w:pPr>
      <w:r>
        <w:rPr>
          <w:rFonts w:hint="eastAsia" w:ascii="宋体" w:hAnsi="宋体"/>
        </w:rPr>
        <w:br w:type="page"/>
      </w:r>
    </w:p>
    <w:p w14:paraId="2C658CD4">
      <w:pPr>
        <w:numPr>
          <w:ilvl w:val="0"/>
          <w:numId w:val="2"/>
        </w:numPr>
        <w:spacing w:line="360" w:lineRule="auto"/>
        <w:rPr>
          <w:rFonts w:hint="eastAsia" w:ascii="宋体" w:hAnsi="宋体" w:cs="仿宋"/>
          <w:b/>
          <w:bCs/>
          <w:szCs w:val="21"/>
        </w:rPr>
      </w:pPr>
      <w:r>
        <w:rPr>
          <w:rFonts w:hint="eastAsia" w:ascii="宋体" w:hAnsi="宋体" w:cs="仿宋"/>
          <w:b/>
          <w:bCs/>
          <w:szCs w:val="21"/>
        </w:rPr>
        <w:t>交货、安装调试上线</w:t>
      </w:r>
    </w:p>
    <w:p w14:paraId="289B6D89">
      <w:pPr>
        <w:spacing w:line="360" w:lineRule="auto"/>
        <w:ind w:firstLine="420" w:firstLineChars="200"/>
        <w:rPr>
          <w:rFonts w:ascii="宋体" w:hAnsi="宋体"/>
          <w:b/>
        </w:rPr>
      </w:pPr>
      <w:r>
        <w:rPr>
          <w:rFonts w:hint="eastAsia" w:ascii="宋体" w:hAnsi="宋体" w:cs="宋体"/>
        </w:rPr>
        <w:t>★3.1</w:t>
      </w:r>
      <w:r>
        <w:rPr>
          <w:rFonts w:hint="eastAsia" w:ascii="宋体" w:hAnsi="宋体"/>
        </w:rPr>
        <w:t>本项目建设需在60天内完成设备安装和软件系统调试上线工作。投标人需自行协调与HIS系统、集成平台、LIS系统、主数据系统和支付系统等第三方系统对接，</w:t>
      </w:r>
      <w:r>
        <w:rPr>
          <w:rFonts w:hint="eastAsia" w:ascii="宋体" w:hAnsi="宋体" w:cs="仿宋"/>
          <w:szCs w:val="21"/>
        </w:rPr>
        <w:t>并承担与第三方系统对接产生的费用，采购人不再支付中标方任何相关的费用</w:t>
      </w:r>
      <w:r>
        <w:rPr>
          <w:rFonts w:hint="eastAsia" w:ascii="宋体" w:hAnsi="宋体" w:cs="宋体"/>
          <w:bCs/>
        </w:rPr>
        <w:t>。如未能按时完成接口对接和上线，由此导致项目延期和索赔，由投标人负责，采购人有权终止合同，并追究违约责任。</w:t>
      </w:r>
      <w:r>
        <w:rPr>
          <w:rFonts w:ascii="宋体" w:hAnsi="宋体"/>
          <w:b/>
        </w:rPr>
        <w:t>（投标时须提供</w:t>
      </w:r>
      <w:r>
        <w:rPr>
          <w:rFonts w:hint="eastAsia" w:ascii="宋体" w:hAnsi="宋体"/>
          <w:b/>
        </w:rPr>
        <w:t>盖章</w:t>
      </w:r>
      <w:r>
        <w:rPr>
          <w:rFonts w:ascii="宋体" w:hAnsi="宋体"/>
          <w:b/>
        </w:rPr>
        <w:t>承诺函）</w:t>
      </w:r>
    </w:p>
    <w:p w14:paraId="73B2C9DF">
      <w:pPr>
        <w:spacing w:line="360" w:lineRule="auto"/>
        <w:ind w:firstLine="420" w:firstLineChars="200"/>
        <w:rPr>
          <w:rFonts w:hint="eastAsia" w:ascii="宋体" w:hAnsi="宋体" w:cs="宋体"/>
          <w:bCs/>
        </w:rPr>
      </w:pPr>
      <w:r>
        <w:rPr>
          <w:rFonts w:hint="eastAsia" w:ascii="宋体" w:hAnsi="宋体" w:cs="宋体"/>
        </w:rPr>
        <w:t>★3.2</w:t>
      </w:r>
      <w:r>
        <w:rPr>
          <w:rFonts w:hint="eastAsia" w:ascii="宋体" w:hAnsi="宋体" w:cs="宋体"/>
          <w:bCs/>
        </w:rPr>
        <w:t>微信小程序系统需与南方医科大学中西医结合医院现有微信医保结算小程序之间实现互联互通和业务协同，满足医院所用系统能够同质化服务和管理。若涉及与</w:t>
      </w:r>
      <w:r>
        <w:rPr>
          <w:rFonts w:hint="eastAsia" w:ascii="宋体" w:hAnsi="宋体"/>
        </w:rPr>
        <w:t>第三方系统</w:t>
      </w:r>
      <w:r>
        <w:rPr>
          <w:rFonts w:hint="eastAsia" w:ascii="宋体" w:hAnsi="宋体" w:cs="宋体"/>
          <w:bCs/>
        </w:rPr>
        <w:t>对接产生的费用，医院不再支付中标方任何相关的费用。</w:t>
      </w:r>
      <w:r>
        <w:rPr>
          <w:rFonts w:ascii="宋体" w:hAnsi="宋体"/>
          <w:b/>
        </w:rPr>
        <w:t>（投标时须提供</w:t>
      </w:r>
      <w:r>
        <w:rPr>
          <w:rFonts w:hint="eastAsia" w:ascii="宋体" w:hAnsi="宋体"/>
          <w:b/>
        </w:rPr>
        <w:t>盖章</w:t>
      </w:r>
      <w:r>
        <w:rPr>
          <w:rFonts w:ascii="宋体" w:hAnsi="宋体"/>
          <w:b/>
        </w:rPr>
        <w:t>承诺函）</w:t>
      </w:r>
    </w:p>
    <w:p w14:paraId="5D564A20">
      <w:pPr>
        <w:spacing w:line="360" w:lineRule="auto"/>
        <w:ind w:firstLine="420" w:firstLineChars="200"/>
        <w:rPr>
          <w:rFonts w:hint="eastAsia" w:ascii="宋体" w:hAnsi="宋体" w:cs="宋体"/>
          <w:bCs/>
        </w:rPr>
      </w:pPr>
      <w:r>
        <w:rPr>
          <w:rFonts w:hint="eastAsia" w:ascii="宋体" w:hAnsi="宋体" w:cs="宋体"/>
          <w:bCs/>
        </w:rPr>
        <w:t>3.3安装、调试过程中，因全部或部分货物内在损坏、配件缺失等未达到采购人技术要求的，采购人有权要求供应商在10日内补齐、更换或退货，否则采购人可以终止本协议，由此给采购人造成的损失由供应商赔偿。</w:t>
      </w:r>
    </w:p>
    <w:p w14:paraId="41F796F2">
      <w:pPr>
        <w:spacing w:line="360" w:lineRule="auto"/>
        <w:ind w:firstLine="420" w:firstLineChars="200"/>
        <w:rPr>
          <w:rFonts w:hint="eastAsia" w:ascii="宋体" w:hAnsi="宋体" w:cs="宋体"/>
          <w:bCs/>
        </w:rPr>
      </w:pPr>
    </w:p>
    <w:p w14:paraId="5266A292">
      <w:pPr>
        <w:numPr>
          <w:ilvl w:val="0"/>
          <w:numId w:val="2"/>
        </w:numPr>
        <w:spacing w:line="360" w:lineRule="auto"/>
        <w:rPr>
          <w:rFonts w:hint="eastAsia" w:ascii="宋体" w:hAnsi="宋体" w:cs="仿宋"/>
          <w:b/>
          <w:bCs/>
          <w:szCs w:val="21"/>
        </w:rPr>
      </w:pPr>
      <w:r>
        <w:rPr>
          <w:rFonts w:hint="eastAsia" w:ascii="宋体" w:hAnsi="宋体" w:cs="仿宋"/>
          <w:b/>
          <w:bCs/>
          <w:szCs w:val="21"/>
        </w:rPr>
        <w:t>售后服务及内容需求</w:t>
      </w:r>
    </w:p>
    <w:p w14:paraId="4677A104">
      <w:pPr>
        <w:spacing w:line="360" w:lineRule="auto"/>
        <w:ind w:firstLine="420" w:firstLineChars="200"/>
        <w:rPr>
          <w:rFonts w:hint="eastAsia" w:ascii="宋体" w:hAnsi="宋体" w:cs="宋体"/>
          <w:bCs/>
        </w:rPr>
      </w:pPr>
      <w:r>
        <w:rPr>
          <w:rFonts w:hint="eastAsia" w:ascii="宋体" w:hAnsi="宋体" w:cs="宋体"/>
          <w:bCs/>
        </w:rPr>
        <w:t>5.1硬件售后服务需求：提供五年免费维保和维修服务，免费维护期限自货物经验收合格并交付使用之日起开始计算。项目服务商需确保质保期内所有硬件设备的安全稳定运行，供应商承担设备安全漏洞修复所需的所有软硬件配件升级费用。</w:t>
      </w:r>
    </w:p>
    <w:p w14:paraId="7668F875">
      <w:pPr>
        <w:spacing w:line="360" w:lineRule="auto"/>
        <w:ind w:firstLine="420" w:firstLineChars="200"/>
        <w:rPr>
          <w:rFonts w:hint="eastAsia" w:ascii="宋体" w:hAnsi="宋体" w:cs="宋体"/>
          <w:bCs/>
        </w:rPr>
      </w:pPr>
      <w:r>
        <w:rPr>
          <w:rFonts w:hint="eastAsia" w:ascii="宋体" w:hAnsi="宋体" w:cs="宋体"/>
          <w:bCs/>
        </w:rPr>
        <w:t>5.2软件售后服务需求：提供</w:t>
      </w:r>
      <w:r>
        <w:rPr>
          <w:rFonts w:hint="eastAsia" w:ascii="宋体" w:hAnsi="宋体" w:cs="宋体"/>
          <w:bCs/>
          <w:lang w:val="en-US" w:eastAsia="zh-CN"/>
        </w:rPr>
        <w:t>5</w:t>
      </w:r>
      <w:r>
        <w:rPr>
          <w:rFonts w:hint="eastAsia" w:ascii="宋体" w:hAnsi="宋体" w:cs="宋体"/>
          <w:bCs/>
        </w:rPr>
        <w:t>年免费维保服务，免费维护期限自项目验收合格并交付使用之日起开始计算。</w:t>
      </w:r>
    </w:p>
    <w:p w14:paraId="0E7F8F05">
      <w:pPr>
        <w:spacing w:line="360" w:lineRule="auto"/>
        <w:ind w:firstLine="420" w:firstLineChars="200"/>
        <w:rPr>
          <w:rFonts w:hint="eastAsia" w:ascii="宋体" w:hAnsi="宋体" w:cs="宋体"/>
        </w:rPr>
      </w:pPr>
      <w:r>
        <w:rPr>
          <w:rFonts w:hint="eastAsia" w:ascii="宋体" w:hAnsi="宋体" w:cs="宋体"/>
        </w:rPr>
        <w:t>5.3硬件响应时间要求：工作日的工作时间要求接到报修通知后15分钟内响应，现场能处理的故障平均不超过2小时内解决；非工作日的工作时间则要求在接到报修通知后，4个小时内到达故障现场进行了解和处理，现场能处理的故障平均不超过2小时内解决；非现场能处理的故障并且不需送院外维修的，1个工作日之内维修好；判断为硬件故障的，需要送院外（第三方维修除外）维修的，最多不超过3个工作日修好送回。软件响应时间要求：软件系统、监控系统及服务器故障，必须在30分钟内解除故障现象，恢复设备的基本使用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EEE5"/>
    <w:multiLevelType w:val="singleLevel"/>
    <w:tmpl w:val="DFC7EEE5"/>
    <w:lvl w:ilvl="0" w:tentative="0">
      <w:start w:val="1"/>
      <w:numFmt w:val="chineseCountingThousand"/>
      <w:lvlText w:val="%1、"/>
      <w:lvlJc w:val="left"/>
      <w:pPr>
        <w:ind w:left="440" w:hanging="440"/>
      </w:pPr>
      <w:rPr>
        <w:rFonts w:hint="eastAsia"/>
      </w:rPr>
    </w:lvl>
  </w:abstractNum>
  <w:abstractNum w:abstractNumId="1">
    <w:nsid w:val="4969E250"/>
    <w:multiLevelType w:val="singleLevel"/>
    <w:tmpl w:val="4969E250"/>
    <w:lvl w:ilvl="0" w:tentative="0">
      <w:start w:val="1"/>
      <w:numFmt w:val="decimal"/>
      <w:lvlText w:val="%1."/>
      <w:lvlJc w:val="left"/>
      <w:pPr>
        <w:ind w:left="425" w:hanging="425"/>
      </w:pPr>
      <w:rPr>
        <w:rFonts w:hint="default"/>
      </w:rPr>
    </w:lvl>
  </w:abstractNum>
  <w:abstractNum w:abstractNumId="2">
    <w:nsid w:val="79CD0463"/>
    <w:multiLevelType w:val="multilevel"/>
    <w:tmpl w:val="79CD0463"/>
    <w:lvl w:ilvl="0" w:tentative="0">
      <w:start w:val="1"/>
      <w:numFmt w:val="chineseCountingThousand"/>
      <w:pStyle w:val="2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54"/>
    <w:rsid w:val="000A2CD1"/>
    <w:rsid w:val="000D104B"/>
    <w:rsid w:val="000D4AEA"/>
    <w:rsid w:val="000F6088"/>
    <w:rsid w:val="0010062A"/>
    <w:rsid w:val="00106C93"/>
    <w:rsid w:val="001116AA"/>
    <w:rsid w:val="001773B5"/>
    <w:rsid w:val="001777D2"/>
    <w:rsid w:val="001F3489"/>
    <w:rsid w:val="002076C4"/>
    <w:rsid w:val="002B2A7F"/>
    <w:rsid w:val="002F5F2C"/>
    <w:rsid w:val="00310BDB"/>
    <w:rsid w:val="00341536"/>
    <w:rsid w:val="00400C99"/>
    <w:rsid w:val="004619C0"/>
    <w:rsid w:val="00545ADB"/>
    <w:rsid w:val="0056628A"/>
    <w:rsid w:val="00597EC6"/>
    <w:rsid w:val="005E19E7"/>
    <w:rsid w:val="005E5154"/>
    <w:rsid w:val="005F584C"/>
    <w:rsid w:val="00624022"/>
    <w:rsid w:val="006317EE"/>
    <w:rsid w:val="00660C76"/>
    <w:rsid w:val="006D0004"/>
    <w:rsid w:val="006D5515"/>
    <w:rsid w:val="006F206E"/>
    <w:rsid w:val="0071449C"/>
    <w:rsid w:val="00774BC3"/>
    <w:rsid w:val="007856FF"/>
    <w:rsid w:val="007A0BD8"/>
    <w:rsid w:val="00860FC6"/>
    <w:rsid w:val="008C1BE9"/>
    <w:rsid w:val="00953E7B"/>
    <w:rsid w:val="009777E7"/>
    <w:rsid w:val="00980CE9"/>
    <w:rsid w:val="009B3012"/>
    <w:rsid w:val="009C0852"/>
    <w:rsid w:val="009D62AE"/>
    <w:rsid w:val="00A04CD5"/>
    <w:rsid w:val="00A216AA"/>
    <w:rsid w:val="00A434FF"/>
    <w:rsid w:val="00A7487F"/>
    <w:rsid w:val="00B33A59"/>
    <w:rsid w:val="00B63409"/>
    <w:rsid w:val="00BA08B9"/>
    <w:rsid w:val="00BB2564"/>
    <w:rsid w:val="00C4155C"/>
    <w:rsid w:val="00C51099"/>
    <w:rsid w:val="00C55D32"/>
    <w:rsid w:val="00C64108"/>
    <w:rsid w:val="00CA0639"/>
    <w:rsid w:val="00CA7BA4"/>
    <w:rsid w:val="00CB70D9"/>
    <w:rsid w:val="00CF765F"/>
    <w:rsid w:val="00CF7AE8"/>
    <w:rsid w:val="00DE38E0"/>
    <w:rsid w:val="00EE6E0D"/>
    <w:rsid w:val="04750F33"/>
    <w:rsid w:val="17BE3716"/>
    <w:rsid w:val="2CCA065B"/>
    <w:rsid w:val="3458267E"/>
    <w:rsid w:val="421A7D7F"/>
    <w:rsid w:val="66C33328"/>
    <w:rsid w:val="73BD5577"/>
    <w:rsid w:val="742E306A"/>
    <w:rsid w:val="7670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style>
  <w:style w:type="paragraph" w:styleId="5">
    <w:name w:val="heading 3"/>
    <w:basedOn w:val="1"/>
    <w:next w:val="1"/>
    <w:link w:val="18"/>
    <w:semiHidden/>
    <w:unhideWhenUsed/>
    <w:qFormat/>
    <w:uiPriority w:val="0"/>
    <w:pPr>
      <w:keepNext/>
      <w:keepLines/>
      <w:spacing w:before="260" w:after="260" w:line="413" w:lineRule="auto"/>
      <w:outlineLvl w:val="2"/>
    </w:pPr>
    <w:rPr>
      <w:rFonts w:asciiTheme="minorHAnsi" w:hAnsiTheme="minorHAnsi" w:eastAsiaTheme="minorEastAsia" w:cstheme="minorBidi"/>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autoSpaceDE w:val="0"/>
      <w:autoSpaceDN w:val="0"/>
      <w:adjustRightInd w:val="0"/>
      <w:jc w:val="left"/>
    </w:pPr>
    <w:rPr>
      <w:rFonts w:hint="eastAsia" w:ascii="宋体" w:hAnsi="宋体" w:eastAsia="宋体" w:cs="Times New Roman"/>
      <w:color w:val="000000"/>
      <w:kern w:val="0"/>
      <w:sz w:val="24"/>
      <w:szCs w:val="24"/>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b/>
      <w:bCs/>
      <w:szCs w:val="32"/>
    </w:rPr>
  </w:style>
  <w:style w:type="paragraph" w:styleId="6">
    <w:name w:val="Body Text"/>
    <w:basedOn w:val="1"/>
    <w:next w:val="1"/>
    <w:link w:val="17"/>
    <w:qFormat/>
    <w:uiPriority w:val="0"/>
    <w:pPr>
      <w:spacing w:after="120"/>
    </w:pPr>
  </w:style>
  <w:style w:type="paragraph" w:styleId="7">
    <w:name w:val="Body Text Indent"/>
    <w:basedOn w:val="1"/>
    <w:next w:val="8"/>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First Indent 2"/>
    <w:basedOn w:val="7"/>
    <w:unhideWhenUsed/>
    <w:qFormat/>
    <w:uiPriority w:val="99"/>
    <w:pPr>
      <w:autoSpaceDE w:val="0"/>
      <w:autoSpaceDN w:val="0"/>
      <w:adjustRightInd w:val="0"/>
      <w:spacing w:after="0"/>
      <w:ind w:left="0" w:firstLine="420" w:firstLineChars="352"/>
      <w:jc w:val="left"/>
    </w:pPr>
    <w:rPr>
      <w:rFonts w:ascii="Calibri" w:hAnsi="Calibri" w:eastAsia="仿宋_GB2312" w:cs="Times New Roman"/>
      <w:kern w:val="0"/>
      <w:sz w:val="3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字符"/>
    <w:basedOn w:val="14"/>
    <w:link w:val="10"/>
    <w:qFormat/>
    <w:uiPriority w:val="99"/>
    <w:rPr>
      <w:sz w:val="18"/>
      <w:szCs w:val="18"/>
    </w:rPr>
  </w:style>
  <w:style w:type="character" w:customStyle="1" w:styleId="16">
    <w:name w:val="页脚 字符"/>
    <w:basedOn w:val="14"/>
    <w:link w:val="9"/>
    <w:qFormat/>
    <w:uiPriority w:val="99"/>
    <w:rPr>
      <w:sz w:val="18"/>
      <w:szCs w:val="18"/>
    </w:rPr>
  </w:style>
  <w:style w:type="character" w:customStyle="1" w:styleId="17">
    <w:name w:val="正文文本 字符"/>
    <w:basedOn w:val="14"/>
    <w:link w:val="6"/>
    <w:qFormat/>
    <w:uiPriority w:val="0"/>
    <w:rPr>
      <w:rFonts w:ascii="Times New Roman" w:hAnsi="Times New Roman" w:eastAsia="宋体" w:cs="Times New Roman"/>
      <w:szCs w:val="24"/>
    </w:rPr>
  </w:style>
  <w:style w:type="character" w:customStyle="1" w:styleId="18">
    <w:name w:val="标题 3 字符"/>
    <w:basedOn w:val="14"/>
    <w:link w:val="5"/>
    <w:semiHidden/>
    <w:qFormat/>
    <w:uiPriority w:val="0"/>
    <w:rPr>
      <w:b/>
      <w:sz w:val="32"/>
      <w:szCs w:val="24"/>
    </w:rPr>
  </w:style>
  <w:style w:type="character" w:customStyle="1" w:styleId="19">
    <w:name w:val="font21"/>
    <w:basedOn w:val="14"/>
    <w:autoRedefine/>
    <w:qFormat/>
    <w:uiPriority w:val="0"/>
    <w:rPr>
      <w:rFonts w:hint="eastAsia" w:ascii="宋体" w:hAnsi="宋体" w:eastAsia="宋体" w:cs="宋体"/>
      <w:b/>
      <w:bCs/>
      <w:color w:val="000000"/>
      <w:sz w:val="28"/>
      <w:szCs w:val="28"/>
      <w:u w:val="none"/>
    </w:rPr>
  </w:style>
  <w:style w:type="character" w:customStyle="1" w:styleId="20">
    <w:name w:val="font31"/>
    <w:basedOn w:val="14"/>
    <w:autoRedefine/>
    <w:qFormat/>
    <w:uiPriority w:val="0"/>
    <w:rPr>
      <w:rFonts w:hint="eastAsia" w:ascii="宋体" w:hAnsi="宋体" w:eastAsia="宋体" w:cs="宋体"/>
      <w:color w:val="000000"/>
      <w:sz w:val="24"/>
      <w:szCs w:val="24"/>
      <w:u w:val="none"/>
    </w:rPr>
  </w:style>
  <w:style w:type="character" w:customStyle="1" w:styleId="21">
    <w:name w:val="font41"/>
    <w:basedOn w:val="14"/>
    <w:autoRedefine/>
    <w:qFormat/>
    <w:uiPriority w:val="0"/>
    <w:rPr>
      <w:rFonts w:hint="eastAsia" w:ascii="宋体" w:hAnsi="宋体" w:eastAsia="宋体" w:cs="宋体"/>
      <w:color w:val="000000"/>
      <w:sz w:val="24"/>
      <w:szCs w:val="24"/>
      <w:u w:val="none"/>
    </w:rPr>
  </w:style>
  <w:style w:type="paragraph" w:styleId="22">
    <w:name w:val="List Paragraph"/>
    <w:basedOn w:val="1"/>
    <w:autoRedefine/>
    <w:unhideWhenUsed/>
    <w:qFormat/>
    <w:uiPriority w:val="99"/>
    <w:pPr>
      <w:numPr>
        <w:ilvl w:val="0"/>
        <w:numId w:val="1"/>
      </w:numPr>
      <w:spacing w:line="360" w:lineRule="auto"/>
    </w:pPr>
    <w:rPr>
      <w:rFonts w:ascii="宋体" w:hAnsi="宋体" w:cstheme="minorBidi"/>
      <w:b/>
      <w:bCs/>
    </w:rPr>
  </w:style>
  <w:style w:type="paragraph" w:customStyle="1" w:styleId="23">
    <w:name w:val="_Style 2"/>
    <w:basedOn w:val="1"/>
    <w:qFormat/>
    <w:uiPriority w:val="34"/>
    <w:pPr>
      <w:spacing w:line="360" w:lineRule="auto"/>
      <w:ind w:firstLine="420"/>
    </w:pPr>
    <w:rPr>
      <w:rFonts w:ascii="Calibri" w:hAnsi="Calibri" w:eastAsia="宋体" w:cs="宋体"/>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1535</Words>
  <Characters>1780</Characters>
  <Lines>20</Lines>
  <Paragraphs>5</Paragraphs>
  <TotalTime>12</TotalTime>
  <ScaleCrop>false</ScaleCrop>
  <LinksUpToDate>false</LinksUpToDate>
  <CharactersWithSpaces>1789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2025-02-27T00:57:00Z</dcterms:created>
  <dc:creator>jun long</dc:creator>
  <cp:lastModifiedBy>Jane1383276154</cp:lastModifiedBy>
  <cp:lastPrinted>2023-11-15T14:14:00Z</cp:lastPrinted>
  <dcterms:modified xsi:type="dcterms:W3CDTF">2025-09-25T09:19:05Z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647A3870EFA544269D725F26CD1068DF_13</vt:lpwstr>
  </property>
  <property fmtid="{D5CDD505-2E9C-101B-9397-08002B2CF9AE}" pid="4" name="KSOTemplateDocerSaveRecord">
    <vt:lpwstr>eyJoZGlkIjoiMDQ3YTUzNWEyMzBkNzAxODgyNGYzMWNkM2FjOWZmMDIiLCJ1c2VySWQiOiI3MTgzNTcwIn0=</vt:lpwstr>
  </property>
</Properties>
</file>