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642BC">
      <w:pPr>
        <w:jc w:val="center"/>
        <w:rPr>
          <w:rFonts w:hint="eastAsia" w:ascii="宋体" w:hAnsi="宋体" w:cs="宋体"/>
          <w:b/>
          <w:bCs/>
          <w:i w:val="0"/>
          <w:iCs/>
          <w:kern w:val="0"/>
          <w:sz w:val="32"/>
          <w:szCs w:val="32"/>
          <w:u w:val="none"/>
          <w:lang w:eastAsia="zh-CN"/>
        </w:rPr>
      </w:pPr>
      <w:r>
        <w:rPr>
          <w:rFonts w:hint="eastAsia" w:ascii="宋体" w:hAnsi="宋体" w:cs="宋体"/>
          <w:b/>
          <w:bCs/>
          <w:i w:val="0"/>
          <w:iCs/>
          <w:kern w:val="0"/>
          <w:sz w:val="32"/>
          <w:szCs w:val="32"/>
          <w:u w:val="none"/>
          <w:lang w:eastAsia="zh-CN"/>
        </w:rPr>
        <w:t>佛山市顺德区第三人民医院 2025 年-2027年食材配送服务项目</w:t>
      </w:r>
    </w:p>
    <w:p w14:paraId="5AD1B5A0">
      <w:pPr>
        <w:jc w:val="center"/>
        <w:rPr>
          <w:rFonts w:hint="eastAsia" w:ascii="宋体" w:hAnsi="宋体" w:cs="宋体"/>
          <w:b/>
          <w:bCs/>
          <w:i w:val="0"/>
          <w:iCs/>
          <w:kern w:val="0"/>
          <w:sz w:val="32"/>
          <w:szCs w:val="32"/>
          <w:u w:val="none"/>
          <w:lang w:val="en-US" w:eastAsia="zh-CN"/>
        </w:rPr>
      </w:pPr>
      <w:r>
        <w:rPr>
          <w:rFonts w:hint="eastAsia" w:ascii="宋体" w:hAnsi="宋体" w:cs="宋体"/>
          <w:b/>
          <w:bCs/>
          <w:i w:val="0"/>
          <w:iCs/>
          <w:kern w:val="0"/>
          <w:sz w:val="32"/>
          <w:szCs w:val="32"/>
          <w:u w:val="none"/>
          <w:lang w:val="en-US" w:eastAsia="zh-CN"/>
        </w:rPr>
        <w:t>采购需求</w:t>
      </w:r>
    </w:p>
    <w:p w14:paraId="6EE6F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i w:val="0"/>
          <w:iCs/>
          <w:kern w:val="0"/>
          <w:sz w:val="32"/>
          <w:szCs w:val="32"/>
          <w:u w:val="none"/>
          <w:lang w:val="en-US" w:eastAsia="zh-CN"/>
        </w:rPr>
      </w:pPr>
    </w:p>
    <w:p w14:paraId="4ADC0A2D">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b/>
          <w:sz w:val="24"/>
          <w:szCs w:val="24"/>
        </w:rPr>
        <w:t>一</w:t>
      </w:r>
      <w:r>
        <w:rPr>
          <w:rFonts w:hint="eastAsia"/>
          <w:b/>
          <w:sz w:val="24"/>
          <w:szCs w:val="24"/>
          <w:lang w:eastAsia="zh-CN"/>
        </w:rPr>
        <w:t>．</w:t>
      </w:r>
      <w:r>
        <w:rPr>
          <w:b/>
          <w:sz w:val="24"/>
          <w:szCs w:val="24"/>
        </w:rPr>
        <w:t>项目概况</w:t>
      </w:r>
    </w:p>
    <w:p w14:paraId="0EBD9179">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 xml:space="preserve"> 佛山市顺德区第三人民医院（佛山市顺德区北滘医院）位于佛山市顺德区北滘镇，是</w:t>
      </w:r>
      <w:r>
        <w:rPr>
          <w:color w:val="FF0000"/>
          <w:sz w:val="24"/>
          <w:szCs w:val="24"/>
        </w:rPr>
        <w:t>二级甲等</w:t>
      </w:r>
      <w:r>
        <w:rPr>
          <w:sz w:val="24"/>
          <w:szCs w:val="24"/>
        </w:rPr>
        <w:t>综合医院。现有在职职工</w:t>
      </w:r>
      <w:r>
        <w:rPr>
          <w:color w:val="FF0000"/>
          <w:sz w:val="24"/>
          <w:szCs w:val="24"/>
        </w:rPr>
        <w:t>580</w:t>
      </w:r>
      <w:r>
        <w:rPr>
          <w:sz w:val="24"/>
          <w:szCs w:val="24"/>
        </w:rPr>
        <w:t>人，</w:t>
      </w:r>
      <w:r>
        <w:rPr>
          <w:color w:val="FF0000"/>
          <w:sz w:val="24"/>
          <w:szCs w:val="24"/>
        </w:rPr>
        <w:t>410</w:t>
      </w:r>
      <w:r>
        <w:rPr>
          <w:sz w:val="24"/>
          <w:szCs w:val="24"/>
        </w:rPr>
        <w:t>张床位，日门诊量约</w:t>
      </w:r>
      <w:r>
        <w:rPr>
          <w:color w:val="FF0000"/>
          <w:sz w:val="24"/>
          <w:szCs w:val="24"/>
        </w:rPr>
        <w:t>1400</w:t>
      </w:r>
      <w:r>
        <w:rPr>
          <w:sz w:val="24"/>
          <w:szCs w:val="24"/>
        </w:rPr>
        <w:t>人，是一座具有医学科研、医学教育和远程医疗功能的现代化、数字化、综合性</w:t>
      </w:r>
      <w:r>
        <w:rPr>
          <w:color w:val="FF0000"/>
          <w:sz w:val="24"/>
          <w:szCs w:val="24"/>
        </w:rPr>
        <w:t>二级甲等</w:t>
      </w:r>
      <w:r>
        <w:rPr>
          <w:sz w:val="24"/>
          <w:szCs w:val="24"/>
        </w:rPr>
        <w:t>医院。中标人为医院饭堂提供</w:t>
      </w:r>
      <w:r>
        <w:rPr>
          <w:rFonts w:hint="eastAsia"/>
          <w:sz w:val="24"/>
          <w:szCs w:val="24"/>
          <w:lang w:val="en-US" w:eastAsia="zh-CN"/>
        </w:rPr>
        <w:t>2年</w:t>
      </w:r>
      <w:r>
        <w:rPr>
          <w:sz w:val="24"/>
          <w:szCs w:val="24"/>
        </w:rPr>
        <w:t>食材配送服务，配送内容包括：瓜果蔬菜、冻品、肉类、水产、干货、调味品、粮油主食及副食品等市面供应食材以及辅助用品等。</w:t>
      </w:r>
    </w:p>
    <w:p w14:paraId="237BEA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i w:val="0"/>
          <w:iCs/>
          <w:kern w:val="0"/>
          <w:sz w:val="24"/>
          <w:szCs w:val="24"/>
          <w:u w:val="none"/>
          <w:lang w:val="en-US" w:eastAsia="zh-CN"/>
        </w:rPr>
      </w:pPr>
    </w:p>
    <w:p w14:paraId="25881C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rFonts w:hint="eastAsia"/>
          <w:b/>
          <w:sz w:val="24"/>
          <w:szCs w:val="24"/>
          <w:lang w:eastAsia="zh-CN"/>
        </w:rPr>
        <w:t>二．服务</w:t>
      </w:r>
      <w:r>
        <w:rPr>
          <w:b/>
          <w:sz w:val="24"/>
          <w:szCs w:val="24"/>
        </w:rPr>
        <w:t>要求</w:t>
      </w:r>
    </w:p>
    <w:tbl>
      <w:tblPr>
        <w:tblStyle w:val="2"/>
        <w:tblW w:w="92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3"/>
        <w:gridCol w:w="660"/>
        <w:gridCol w:w="7515"/>
      </w:tblGrid>
      <w:tr w14:paraId="57FF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28E5BF2D">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参数性质</w:t>
            </w:r>
          </w:p>
        </w:tc>
        <w:tc>
          <w:tcPr>
            <w:tcW w:w="660" w:type="dxa"/>
          </w:tcPr>
          <w:p w14:paraId="51C71125">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序号</w:t>
            </w:r>
          </w:p>
        </w:tc>
        <w:tc>
          <w:tcPr>
            <w:tcW w:w="7515" w:type="dxa"/>
          </w:tcPr>
          <w:p w14:paraId="733002C0">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具体技术(参数)要求</w:t>
            </w:r>
          </w:p>
        </w:tc>
      </w:tr>
      <w:tr w14:paraId="47632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6E2CDFE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1ECE250B">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w:t>
            </w:r>
          </w:p>
        </w:tc>
        <w:tc>
          <w:tcPr>
            <w:tcW w:w="7515" w:type="dxa"/>
          </w:tcPr>
          <w:p w14:paraId="3AB142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sz w:val="24"/>
                <w:szCs w:val="24"/>
              </w:rPr>
              <w:t>服务要求</w:t>
            </w:r>
          </w:p>
          <w:p w14:paraId="350E959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中标人不得将中标项目转让或分包给他人，否则</w:t>
            </w:r>
            <w:r>
              <w:rPr>
                <w:rFonts w:hint="eastAsia"/>
                <w:sz w:val="24"/>
                <w:szCs w:val="24"/>
                <w:lang w:eastAsia="zh-CN"/>
              </w:rPr>
              <w:t>采购人</w:t>
            </w:r>
            <w:r>
              <w:rPr>
                <w:sz w:val="24"/>
                <w:szCs w:val="24"/>
              </w:rPr>
              <w:t>有权单方解除合同, 由此产生的一切经济损失由中标人自行承担。</w:t>
            </w:r>
          </w:p>
          <w:p w14:paraId="121A19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中标人在合同履行期间内保证对</w:t>
            </w:r>
            <w:r>
              <w:rPr>
                <w:rFonts w:hint="eastAsia"/>
                <w:sz w:val="24"/>
                <w:szCs w:val="24"/>
                <w:lang w:eastAsia="zh-CN"/>
              </w:rPr>
              <w:t>采购人</w:t>
            </w:r>
            <w:r>
              <w:rPr>
                <w:sz w:val="24"/>
                <w:szCs w:val="24"/>
              </w:rPr>
              <w:t>的食材供应，中标后不得拒绝</w:t>
            </w:r>
            <w:r>
              <w:rPr>
                <w:rFonts w:hint="eastAsia"/>
                <w:sz w:val="24"/>
                <w:szCs w:val="24"/>
                <w:lang w:eastAsia="zh-CN"/>
              </w:rPr>
              <w:t>采购人</w:t>
            </w:r>
            <w:r>
              <w:rPr>
                <w:sz w:val="24"/>
                <w:szCs w:val="24"/>
              </w:rPr>
              <w:t>分配的任务。中标人在服务期内没能达到响应文件承诺的服务要求的，或中标人未按要求履行合同义务时，或中标人的资质在服务期内发生变化不再符合要求的，</w:t>
            </w:r>
            <w:r>
              <w:rPr>
                <w:rFonts w:hint="eastAsia"/>
                <w:sz w:val="24"/>
                <w:szCs w:val="24"/>
                <w:lang w:eastAsia="zh-CN"/>
              </w:rPr>
              <w:t>采购人</w:t>
            </w:r>
            <w:r>
              <w:rPr>
                <w:sz w:val="24"/>
                <w:szCs w:val="24"/>
              </w:rPr>
              <w:t>均有权单方面解除合同,由此产生的一切经济损失由中标人自行承担。</w:t>
            </w:r>
          </w:p>
          <w:p w14:paraId="05AA06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中标人须服从</w:t>
            </w:r>
            <w:r>
              <w:rPr>
                <w:rFonts w:hint="eastAsia"/>
                <w:sz w:val="24"/>
                <w:szCs w:val="24"/>
                <w:lang w:eastAsia="zh-CN"/>
              </w:rPr>
              <w:t>采购人</w:t>
            </w:r>
            <w:r>
              <w:rPr>
                <w:sz w:val="24"/>
                <w:szCs w:val="24"/>
              </w:rPr>
              <w:t>的监督、管理，保证货物种类、数量供应。中标人不得擅自变更供应货物（含商标、名称、产地、包装、规格和重量等），并严格按</w:t>
            </w:r>
            <w:r>
              <w:rPr>
                <w:rFonts w:hint="eastAsia"/>
                <w:sz w:val="24"/>
                <w:szCs w:val="24"/>
                <w:lang w:eastAsia="zh-CN"/>
              </w:rPr>
              <w:t>采购人</w:t>
            </w:r>
            <w:r>
              <w:rPr>
                <w:sz w:val="24"/>
                <w:szCs w:val="24"/>
              </w:rPr>
              <w:t>要求供应，否则，</w:t>
            </w:r>
            <w:r>
              <w:rPr>
                <w:rFonts w:hint="eastAsia"/>
                <w:sz w:val="24"/>
                <w:szCs w:val="24"/>
                <w:lang w:eastAsia="zh-CN"/>
              </w:rPr>
              <w:t>采购人</w:t>
            </w:r>
            <w:r>
              <w:rPr>
                <w:sz w:val="24"/>
                <w:szCs w:val="24"/>
              </w:rPr>
              <w:t>有权拒收。如因市场流通问题确实需要变更的，应事先书面申请，并经</w:t>
            </w:r>
            <w:r>
              <w:rPr>
                <w:rFonts w:hint="eastAsia"/>
                <w:sz w:val="24"/>
                <w:szCs w:val="24"/>
                <w:lang w:eastAsia="zh-CN"/>
              </w:rPr>
              <w:t>采购人</w:t>
            </w:r>
            <w:r>
              <w:rPr>
                <w:sz w:val="24"/>
                <w:szCs w:val="24"/>
              </w:rPr>
              <w:t>书面同意后方可变更。</w:t>
            </w:r>
          </w:p>
          <w:p w14:paraId="728715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中标人应能够配合</w:t>
            </w:r>
            <w:r>
              <w:rPr>
                <w:rFonts w:hint="eastAsia"/>
                <w:sz w:val="24"/>
                <w:szCs w:val="24"/>
                <w:lang w:eastAsia="zh-CN"/>
              </w:rPr>
              <w:t>采购人</w:t>
            </w:r>
            <w:r>
              <w:rPr>
                <w:sz w:val="24"/>
                <w:szCs w:val="24"/>
              </w:rPr>
              <w:t>及时更新所提供的符合卫监部门的有效证明材料。如有效的营业执照、食品生产许可证或食品经营许可证、产品合格证等。</w:t>
            </w:r>
          </w:p>
          <w:p w14:paraId="3E1C6D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其中肉类产品合格证包括但不限于：</w:t>
            </w:r>
          </w:p>
          <w:p w14:paraId="7A62637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1）鲜猪肉等—分割肉销售凭据、动物防疫合格证；</w:t>
            </w:r>
          </w:p>
          <w:p w14:paraId="7363903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2）鲜牛肉等—畜产品检验合格证；</w:t>
            </w:r>
          </w:p>
          <w:p w14:paraId="64B49008">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3）冻肉—动物防疫合格证；</w:t>
            </w:r>
          </w:p>
          <w:p w14:paraId="4CFF8B9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4）三鸟—动物防疫合格证。</w:t>
            </w:r>
          </w:p>
          <w:p w14:paraId="3A2907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中标人获得本项目的供货资格并不意味拥有业务保障，中标人在合同履行期间，</w:t>
            </w:r>
            <w:r>
              <w:rPr>
                <w:rFonts w:hint="eastAsia"/>
                <w:sz w:val="24"/>
                <w:szCs w:val="24"/>
                <w:lang w:eastAsia="zh-CN"/>
              </w:rPr>
              <w:t>采购人</w:t>
            </w:r>
            <w:r>
              <w:rPr>
                <w:sz w:val="24"/>
                <w:szCs w:val="24"/>
              </w:rPr>
              <w:t>可根据采购及业务发展需要，可通过招标适当增补其他专业类别的供货商，</w:t>
            </w:r>
            <w:r>
              <w:rPr>
                <w:rFonts w:hint="eastAsia"/>
                <w:sz w:val="24"/>
                <w:szCs w:val="24"/>
                <w:lang w:eastAsia="zh-CN"/>
              </w:rPr>
              <w:t>采购人</w:t>
            </w:r>
            <w:r>
              <w:rPr>
                <w:sz w:val="24"/>
                <w:szCs w:val="24"/>
              </w:rPr>
              <w:t>无需通知中标人且不予任何补偿。</w:t>
            </w:r>
          </w:p>
          <w:p w14:paraId="03C0B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中标人应当制定因食材中毒或者其他食源性疾患，以及因交通、天气等原因不能按时送达食材等突发事件的应急预案，确保</w:t>
            </w:r>
            <w:r>
              <w:rPr>
                <w:rFonts w:hint="eastAsia"/>
                <w:sz w:val="24"/>
                <w:szCs w:val="24"/>
                <w:lang w:eastAsia="zh-CN"/>
              </w:rPr>
              <w:t>采购人</w:t>
            </w:r>
            <w:r>
              <w:rPr>
                <w:sz w:val="24"/>
                <w:szCs w:val="24"/>
              </w:rPr>
              <w:t>及时得到食材供应。</w:t>
            </w:r>
          </w:p>
          <w:p w14:paraId="27898D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中标人须严格按照</w:t>
            </w:r>
            <w:r>
              <w:rPr>
                <w:rFonts w:hint="eastAsia"/>
                <w:sz w:val="24"/>
                <w:szCs w:val="24"/>
                <w:lang w:eastAsia="zh-CN"/>
              </w:rPr>
              <w:t>采购人</w:t>
            </w:r>
            <w:r>
              <w:rPr>
                <w:sz w:val="24"/>
                <w:szCs w:val="24"/>
              </w:rPr>
              <w:t>的指令配送食材的数量，不得随意增减数量，否则</w:t>
            </w:r>
            <w:r>
              <w:rPr>
                <w:rFonts w:hint="eastAsia"/>
                <w:sz w:val="24"/>
                <w:szCs w:val="24"/>
                <w:lang w:eastAsia="zh-CN"/>
              </w:rPr>
              <w:t>采购人</w:t>
            </w:r>
            <w:r>
              <w:rPr>
                <w:sz w:val="24"/>
                <w:szCs w:val="24"/>
              </w:rPr>
              <w:t>有权拒收。如因市场流通问题确实需要变更的，应事先书面申请，并经</w:t>
            </w:r>
            <w:r>
              <w:rPr>
                <w:rFonts w:hint="eastAsia"/>
                <w:sz w:val="24"/>
                <w:szCs w:val="24"/>
                <w:lang w:eastAsia="zh-CN"/>
              </w:rPr>
              <w:t>采购人</w:t>
            </w:r>
            <w:r>
              <w:rPr>
                <w:sz w:val="24"/>
                <w:szCs w:val="24"/>
              </w:rPr>
              <w:t>同意后方可改变。</w:t>
            </w:r>
          </w:p>
          <w:p w14:paraId="07612C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除客观不可抗力外，中标人不得更改配送货物内容。如确需变更供货内容的，中标人应在得知情况的同时告知</w:t>
            </w:r>
            <w:r>
              <w:rPr>
                <w:rFonts w:hint="eastAsia"/>
                <w:sz w:val="24"/>
                <w:szCs w:val="24"/>
                <w:lang w:eastAsia="zh-CN"/>
              </w:rPr>
              <w:t>采购人</w:t>
            </w:r>
            <w:r>
              <w:rPr>
                <w:sz w:val="24"/>
                <w:szCs w:val="24"/>
              </w:rPr>
              <w:t>并征得</w:t>
            </w:r>
            <w:r>
              <w:rPr>
                <w:rFonts w:hint="eastAsia"/>
                <w:sz w:val="24"/>
                <w:szCs w:val="24"/>
                <w:lang w:eastAsia="zh-CN"/>
              </w:rPr>
              <w:t>采购人</w:t>
            </w:r>
            <w:r>
              <w:rPr>
                <w:sz w:val="24"/>
                <w:szCs w:val="24"/>
              </w:rPr>
              <w:t>的同意，经发现中标人有私自更改供货内容时以违约论处，由此产生的一切损失和费用由中标人承担。</w:t>
            </w:r>
          </w:p>
          <w:p w14:paraId="07AA21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中标人须具备必要的自检能力。</w:t>
            </w:r>
            <w:r>
              <w:rPr>
                <w:rFonts w:hint="eastAsia"/>
                <w:sz w:val="24"/>
                <w:szCs w:val="24"/>
                <w:lang w:eastAsia="zh-CN"/>
              </w:rPr>
              <w:t>采购人</w:t>
            </w:r>
            <w:r>
              <w:rPr>
                <w:sz w:val="24"/>
                <w:szCs w:val="24"/>
              </w:rPr>
              <w:t>可不定期委托第三方具有资质的质检机构对中标人提供的货物进行抽检，若抽检发现有不合格产品，检测费用由中标人支付，</w:t>
            </w:r>
            <w:r>
              <w:rPr>
                <w:rFonts w:hint="eastAsia"/>
                <w:sz w:val="24"/>
                <w:szCs w:val="24"/>
                <w:lang w:eastAsia="zh-CN"/>
              </w:rPr>
              <w:t>采购人</w:t>
            </w:r>
            <w:r>
              <w:rPr>
                <w:sz w:val="24"/>
                <w:szCs w:val="24"/>
              </w:rPr>
              <w:t>有权解除合同，并将结果送交相关职能部门按规定进行处分。</w:t>
            </w:r>
          </w:p>
          <w:p w14:paraId="1ACDBC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中标人不能提供与其承诺相符的服务或中标人存在违反招标文件和合同的行为，并且不予纠正的，</w:t>
            </w:r>
            <w:r>
              <w:rPr>
                <w:rFonts w:hint="eastAsia"/>
                <w:sz w:val="24"/>
                <w:szCs w:val="24"/>
                <w:lang w:eastAsia="zh-CN"/>
              </w:rPr>
              <w:t>采购人</w:t>
            </w:r>
            <w:r>
              <w:rPr>
                <w:sz w:val="24"/>
                <w:szCs w:val="24"/>
              </w:rPr>
              <w:t>有权解除合同。此项下违约责任包括但不限于下列各项：</w:t>
            </w:r>
          </w:p>
          <w:p w14:paraId="36040C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中标人在收到</w:t>
            </w:r>
            <w:r>
              <w:rPr>
                <w:rFonts w:hint="eastAsia"/>
                <w:sz w:val="24"/>
                <w:szCs w:val="24"/>
                <w:lang w:eastAsia="zh-CN"/>
              </w:rPr>
              <w:t>采购人</w:t>
            </w:r>
            <w:r>
              <w:rPr>
                <w:sz w:val="24"/>
                <w:szCs w:val="24"/>
              </w:rPr>
              <w:t>订货要求后，在承诺的供货时间内不能供货的；</w:t>
            </w:r>
          </w:p>
          <w:p w14:paraId="017AA0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中标人未能提供承诺的服务的。</w:t>
            </w:r>
          </w:p>
          <w:p w14:paraId="608D8F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中标人所提供的货物在保质期出现损坏或变质的，中标人应承诺提供替换服务，因替换货物产生的费用由中标人负责。</w:t>
            </w:r>
          </w:p>
          <w:p w14:paraId="5C52D2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中标人负责食材配送工作，将食材搬运到指定位置。中标人指定的送货人员必须穿着便于辨认的工衣和配戴胸卡，送货人员行为必须严格遵守</w:t>
            </w:r>
            <w:r>
              <w:rPr>
                <w:rFonts w:hint="eastAsia"/>
                <w:sz w:val="24"/>
                <w:szCs w:val="24"/>
                <w:lang w:eastAsia="zh-CN"/>
              </w:rPr>
              <w:t>采购人</w:t>
            </w:r>
            <w:r>
              <w:rPr>
                <w:sz w:val="24"/>
                <w:szCs w:val="24"/>
              </w:rPr>
              <w:t>各项规章制度，不得做出有损</w:t>
            </w:r>
            <w:r>
              <w:rPr>
                <w:rFonts w:hint="eastAsia"/>
                <w:sz w:val="24"/>
                <w:szCs w:val="24"/>
                <w:lang w:eastAsia="zh-CN"/>
              </w:rPr>
              <w:t>采购人</w:t>
            </w:r>
            <w:r>
              <w:rPr>
                <w:sz w:val="24"/>
                <w:szCs w:val="24"/>
              </w:rPr>
              <w:t>形象和利益的事情。</w:t>
            </w:r>
          </w:p>
          <w:p w14:paraId="074B69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中标人在供应过程中，如果发生出现质量问题或造成食物中毒,如变质等情况，经查实后确属中标人责任的，中标人应承担全部责任，主要包括食物中毒人员医疗费、误工费、事故处理费等。</w:t>
            </w:r>
            <w:r>
              <w:rPr>
                <w:rFonts w:hint="eastAsia"/>
                <w:sz w:val="24"/>
                <w:szCs w:val="24"/>
                <w:lang w:eastAsia="zh-CN"/>
              </w:rPr>
              <w:t>采购人</w:t>
            </w:r>
            <w:r>
              <w:rPr>
                <w:sz w:val="24"/>
                <w:szCs w:val="24"/>
              </w:rPr>
              <w:t>有权解除合同，中标人同时需承担相应的民事或刑事法律责任。</w:t>
            </w:r>
          </w:p>
          <w:p w14:paraId="359389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因中标人违法经营被行政主管部门处以停业整顿或取缔、或因经营不善造成不能正常提供食材的，</w:t>
            </w:r>
            <w:r>
              <w:rPr>
                <w:rFonts w:hint="eastAsia"/>
                <w:sz w:val="24"/>
                <w:szCs w:val="24"/>
                <w:lang w:eastAsia="zh-CN"/>
              </w:rPr>
              <w:t>采购人</w:t>
            </w:r>
            <w:r>
              <w:rPr>
                <w:sz w:val="24"/>
                <w:szCs w:val="24"/>
              </w:rPr>
              <w:t>有权终止与其合同关系。</w:t>
            </w:r>
          </w:p>
          <w:p w14:paraId="586B7C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配送内容包括：瓜果蔬菜、冻品、肉类、水产、干货、调味品、粮油主食及副食品等市面供应食材以及辅助用品。</w:t>
            </w:r>
            <w:r>
              <w:rPr>
                <w:rFonts w:hint="eastAsia"/>
                <w:sz w:val="24"/>
                <w:szCs w:val="24"/>
                <w:lang w:eastAsia="zh-CN"/>
              </w:rPr>
              <w:t>采购人</w:t>
            </w:r>
            <w:r>
              <w:rPr>
                <w:sz w:val="24"/>
                <w:szCs w:val="24"/>
              </w:rPr>
              <w:t>根据自身的需求，有权终止某些商品的采购或变更某类商品的采购。</w:t>
            </w:r>
          </w:p>
          <w:p w14:paraId="18217F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中标人在服务期间，不得将供货的实际数量及供货地点泄露给其他企业或者个人，中标人必须指派相对固定的人员完成产品配送服务，产品配送人员必须遵纪守法、品行良好，无违法犯罪记录。</w:t>
            </w:r>
          </w:p>
        </w:tc>
      </w:tr>
      <w:tr w14:paraId="02AA3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7EB21D9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1263543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2</w:t>
            </w:r>
          </w:p>
        </w:tc>
        <w:tc>
          <w:tcPr>
            <w:tcW w:w="7515" w:type="dxa"/>
          </w:tcPr>
          <w:p w14:paraId="210A03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b w:val="0"/>
                <w:bCs/>
                <w:sz w:val="24"/>
                <w:szCs w:val="24"/>
              </w:rPr>
            </w:pPr>
            <w:r>
              <w:rPr>
                <w:b w:val="0"/>
                <w:bCs/>
                <w:sz w:val="24"/>
                <w:szCs w:val="24"/>
              </w:rPr>
              <w:t>产品质量及运输要求</w:t>
            </w:r>
          </w:p>
          <w:p w14:paraId="74C25C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val="0"/>
                <w:bCs/>
                <w:sz w:val="24"/>
                <w:szCs w:val="24"/>
              </w:rPr>
              <w:t>供应的所有产品为非转基因食材。</w:t>
            </w:r>
          </w:p>
          <w:p w14:paraId="5C5224B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1.肉类（含生鲜肉、冻肉）及水产类</w:t>
            </w:r>
          </w:p>
          <w:p w14:paraId="48808654">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（1）供应产品质量要求:</w:t>
            </w:r>
          </w:p>
          <w:p w14:paraId="593676B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1）所供产品应保持较好的外观和质量等级，符合国家食品部门的有关标准， 保证无异味、无霉烂变质；</w:t>
            </w:r>
          </w:p>
          <w:p w14:paraId="3F12784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2）所有产品必须各项质量技术指标完全符合国家有关质量检测、环保标准及产品出厂标准。</w:t>
            </w:r>
          </w:p>
          <w:p w14:paraId="33C7832A">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每批鲜猪肉、猪骨、牛肉等肉类必须是来源于正规肉屠宰场，每次交货时提供本批次产品的出厂（库）检验合格证明（随车同行）：《产品合格证》、《卫生检疫报告》。新鲜肉确保每日新鲜，为当天正规屠宰场宰杀的新鲜肉。每批鲜肉也可以是佛山市及周边城市政府指定的肉联厂发出的鲜肉并提供动物检疫合格证复印件（验收货物时中标人需应</w:t>
            </w:r>
            <w:r>
              <w:rPr>
                <w:rFonts w:hint="eastAsia"/>
                <w:sz w:val="24"/>
                <w:szCs w:val="24"/>
                <w:lang w:eastAsia="zh-CN"/>
              </w:rPr>
              <w:t>采购人</w:t>
            </w:r>
            <w:r>
              <w:rPr>
                <w:sz w:val="24"/>
                <w:szCs w:val="24"/>
              </w:rPr>
              <w:t>要求提供原件以备检查），并注明保鲜期。</w:t>
            </w:r>
          </w:p>
          <w:p w14:paraId="3E908EAF">
            <w:pPr>
              <w:keepNext w:val="0"/>
              <w:keepLines w:val="0"/>
              <w:pageBreakBefore w:val="0"/>
              <w:widowControl w:val="0"/>
              <w:kinsoku/>
              <w:wordWrap/>
              <w:overflowPunct/>
              <w:topLinePunct w:val="0"/>
              <w:autoSpaceDE/>
              <w:autoSpaceDN/>
              <w:bidi w:val="0"/>
              <w:adjustRightInd/>
              <w:snapToGrid/>
              <w:spacing w:line="400" w:lineRule="exact"/>
              <w:ind w:firstLine="422"/>
              <w:jc w:val="left"/>
              <w:textAlignment w:val="auto"/>
              <w:rPr>
                <w:b w:val="0"/>
                <w:bCs/>
                <w:sz w:val="24"/>
                <w:szCs w:val="24"/>
              </w:rPr>
            </w:pPr>
            <w:r>
              <w:rPr>
                <w:b w:val="0"/>
                <w:bCs/>
                <w:sz w:val="24"/>
                <w:szCs w:val="24"/>
              </w:rPr>
              <w:t>4）中标人提供的新鲜鱼类必须以活鱼交由</w:t>
            </w:r>
            <w:r>
              <w:rPr>
                <w:rFonts w:hint="eastAsia"/>
                <w:b w:val="0"/>
                <w:bCs/>
                <w:sz w:val="24"/>
                <w:szCs w:val="24"/>
                <w:lang w:eastAsia="zh-CN"/>
              </w:rPr>
              <w:t>采购人</w:t>
            </w:r>
            <w:r>
              <w:rPr>
                <w:b w:val="0"/>
                <w:bCs/>
                <w:sz w:val="24"/>
                <w:szCs w:val="24"/>
              </w:rPr>
              <w:t>验收，并由中标人指派人员 在验收现场进行屠宰。</w:t>
            </w:r>
          </w:p>
          <w:p w14:paraId="4CABB4D9">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5）冷冻禽类食品解冻后净重量不少于 90％（含），冷冻肉类食品解冻后净重量不少于 92%（含），冷冻水产类食品解冻后净重量不少于 82%（含），解冻时间为 4 小时以内（室温 20℃）。所有冷冻食品要求清晰列出产品品牌、规格、类型、包装方式、包装净重、含冰量、生产日期、保质期等相关参数，有使用有效期的货品，其剩余有效期不得少于标注有效期的 60%（含）。</w:t>
            </w:r>
          </w:p>
          <w:p w14:paraId="31679EF0">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6）冷冻肉包装应清洁、卫生，无破漏。标明产品名称、净含量、生产者名称和地址、生产日期、保质期、产品标准号等内容；剩余保存期不少于保质期的三分之二。冷冻肉不能进口，只能采用我国内的冷冻肉。</w:t>
            </w:r>
          </w:p>
          <w:p w14:paraId="51077624">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7）对产品的品质要求，必须符合国家，食品部门的有关标准和下列规格要求，包括但不限于以下种类：</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1037"/>
              <w:gridCol w:w="5548"/>
            </w:tblGrid>
            <w:tr w14:paraId="2B24E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top"/>
                </w:tcPr>
                <w:p w14:paraId="36F4D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序号</w:t>
                  </w:r>
                </w:p>
              </w:tc>
              <w:tc>
                <w:tcPr>
                  <w:tcW w:w="1037" w:type="dxa"/>
                  <w:tcBorders>
                    <w:top w:val="single" w:color="000000" w:sz="4" w:space="0"/>
                    <w:left w:val="nil"/>
                    <w:bottom w:val="single" w:color="000000" w:sz="4" w:space="0"/>
                    <w:right w:val="single" w:color="000000" w:sz="4" w:space="0"/>
                  </w:tcBorders>
                  <w:vAlign w:val="top"/>
                </w:tcPr>
                <w:p w14:paraId="2C4E10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品名</w:t>
                  </w:r>
                </w:p>
              </w:tc>
              <w:tc>
                <w:tcPr>
                  <w:tcW w:w="5548" w:type="dxa"/>
                  <w:tcBorders>
                    <w:top w:val="single" w:color="000000" w:sz="4" w:space="0"/>
                    <w:left w:val="nil"/>
                    <w:bottom w:val="single" w:color="000000" w:sz="4" w:space="0"/>
                    <w:right w:val="single" w:color="000000" w:sz="4" w:space="0"/>
                  </w:tcBorders>
                  <w:vAlign w:val="top"/>
                </w:tcPr>
                <w:p w14:paraId="15559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质量描述</w:t>
                  </w:r>
                </w:p>
              </w:tc>
            </w:tr>
            <w:tr w14:paraId="4932F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8DA9C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w:t>
                  </w:r>
                </w:p>
              </w:tc>
              <w:tc>
                <w:tcPr>
                  <w:tcW w:w="1037" w:type="dxa"/>
                  <w:tcBorders>
                    <w:top w:val="nil"/>
                    <w:left w:val="nil"/>
                    <w:bottom w:val="single" w:color="000000" w:sz="4" w:space="0"/>
                    <w:right w:val="single" w:color="000000" w:sz="4" w:space="0"/>
                  </w:tcBorders>
                  <w:vAlign w:val="top"/>
                </w:tcPr>
                <w:p w14:paraId="4B639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白条猪</w:t>
                  </w:r>
                </w:p>
              </w:tc>
              <w:tc>
                <w:tcPr>
                  <w:tcW w:w="5548" w:type="dxa"/>
                  <w:tcBorders>
                    <w:top w:val="nil"/>
                    <w:left w:val="nil"/>
                    <w:bottom w:val="single" w:color="000000" w:sz="4" w:space="0"/>
                    <w:right w:val="single" w:color="000000" w:sz="4" w:space="0"/>
                  </w:tcBorders>
                  <w:vAlign w:val="top"/>
                </w:tcPr>
                <w:p w14:paraId="0B937C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肉质新鲜，去头、去蹄、去板油、去内脏</w:t>
                  </w:r>
                </w:p>
              </w:tc>
            </w:tr>
            <w:tr w14:paraId="1EED7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386D0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w:t>
                  </w:r>
                </w:p>
              </w:tc>
              <w:tc>
                <w:tcPr>
                  <w:tcW w:w="1037" w:type="dxa"/>
                  <w:tcBorders>
                    <w:top w:val="nil"/>
                    <w:left w:val="nil"/>
                    <w:bottom w:val="single" w:color="000000" w:sz="4" w:space="0"/>
                    <w:right w:val="single" w:color="000000" w:sz="4" w:space="0"/>
                  </w:tcBorders>
                  <w:vAlign w:val="top"/>
                </w:tcPr>
                <w:p w14:paraId="5BF7F7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五花肉</w:t>
                  </w:r>
                </w:p>
              </w:tc>
              <w:tc>
                <w:tcPr>
                  <w:tcW w:w="5548" w:type="dxa"/>
                  <w:tcBorders>
                    <w:top w:val="nil"/>
                    <w:left w:val="nil"/>
                    <w:bottom w:val="single" w:color="000000" w:sz="4" w:space="0"/>
                    <w:right w:val="single" w:color="000000" w:sz="4" w:space="0"/>
                  </w:tcBorders>
                  <w:vAlign w:val="top"/>
                </w:tcPr>
                <w:p w14:paraId="26F148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肥瘦比例为3:7（三线肉），肉呈均匀的红色，有光泽，肉质紧密富有弹性，有坚实感，用手指按压凹陷后会立即复原；肉的外表及切面微湿润，不粘手，脂肪洁白，肉汁透明。</w:t>
                  </w:r>
                </w:p>
              </w:tc>
            </w:tr>
            <w:tr w14:paraId="4C928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73C56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3</w:t>
                  </w:r>
                </w:p>
              </w:tc>
              <w:tc>
                <w:tcPr>
                  <w:tcW w:w="1037" w:type="dxa"/>
                  <w:tcBorders>
                    <w:top w:val="nil"/>
                    <w:left w:val="nil"/>
                    <w:bottom w:val="single" w:color="000000" w:sz="4" w:space="0"/>
                    <w:right w:val="single" w:color="000000" w:sz="4" w:space="0"/>
                  </w:tcBorders>
                  <w:vAlign w:val="top"/>
                </w:tcPr>
                <w:p w14:paraId="5540C3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上肉</w:t>
                  </w:r>
                </w:p>
              </w:tc>
              <w:tc>
                <w:tcPr>
                  <w:tcW w:w="5548" w:type="dxa"/>
                  <w:tcBorders>
                    <w:top w:val="nil"/>
                    <w:left w:val="nil"/>
                    <w:bottom w:val="single" w:color="000000" w:sz="4" w:space="0"/>
                    <w:right w:val="single" w:color="000000" w:sz="4" w:space="0"/>
                  </w:tcBorders>
                  <w:vAlign w:val="top"/>
                </w:tcPr>
                <w:p w14:paraId="218CAD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肉呈均匀的红色，有光泽、肉质紧密，有坚实感；肉的外表及切面微湿润，不粘手，脂肪洁白无霉点。</w:t>
                  </w:r>
                </w:p>
              </w:tc>
            </w:tr>
            <w:tr w14:paraId="16EF1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3E15B6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4</w:t>
                  </w:r>
                </w:p>
              </w:tc>
              <w:tc>
                <w:tcPr>
                  <w:tcW w:w="1037" w:type="dxa"/>
                  <w:tcBorders>
                    <w:top w:val="nil"/>
                    <w:left w:val="nil"/>
                    <w:bottom w:val="single" w:color="000000" w:sz="4" w:space="0"/>
                    <w:right w:val="single" w:color="000000" w:sz="4" w:space="0"/>
                  </w:tcBorders>
                  <w:vAlign w:val="top"/>
                </w:tcPr>
                <w:p w14:paraId="5F7BF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牛肉</w:t>
                  </w:r>
                </w:p>
              </w:tc>
              <w:tc>
                <w:tcPr>
                  <w:tcW w:w="5548" w:type="dxa"/>
                  <w:tcBorders>
                    <w:top w:val="nil"/>
                    <w:left w:val="nil"/>
                    <w:bottom w:val="single" w:color="000000" w:sz="4" w:space="0"/>
                    <w:right w:val="single" w:color="000000" w:sz="4" w:space="0"/>
                  </w:tcBorders>
                  <w:vAlign w:val="top"/>
                </w:tcPr>
                <w:p w14:paraId="4A78E0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肌肉呈均匀的红色，有光泽，脂肪呈白色或微黄色，肌肉外表微干或风干膜，或外表湿润，但都不粘手，肌肉结构紧密，有坚实感，肌纤维韧性强。</w:t>
                  </w:r>
                </w:p>
              </w:tc>
            </w:tr>
            <w:tr w14:paraId="2702D8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0BF26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5</w:t>
                  </w:r>
                </w:p>
              </w:tc>
              <w:tc>
                <w:tcPr>
                  <w:tcW w:w="1037" w:type="dxa"/>
                  <w:tcBorders>
                    <w:top w:val="nil"/>
                    <w:left w:val="nil"/>
                    <w:bottom w:val="single" w:color="000000" w:sz="4" w:space="0"/>
                    <w:right w:val="single" w:color="000000" w:sz="4" w:space="0"/>
                  </w:tcBorders>
                  <w:vAlign w:val="top"/>
                </w:tcPr>
                <w:p w14:paraId="57C7E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18F913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边鸡</w:t>
                  </w:r>
                </w:p>
              </w:tc>
              <w:tc>
                <w:tcPr>
                  <w:tcW w:w="5548" w:type="dxa"/>
                  <w:tcBorders>
                    <w:top w:val="nil"/>
                    <w:left w:val="nil"/>
                    <w:bottom w:val="single" w:color="000000" w:sz="4" w:space="0"/>
                    <w:right w:val="single" w:color="000000" w:sz="4" w:space="0"/>
                  </w:tcBorders>
                  <w:vAlign w:val="top"/>
                </w:tcPr>
                <w:p w14:paraId="6C3052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整鸡表皮光滑，新鲜肥嫩，无头，无颈，无内脏，鸡肉的眼球饱满或平坦，皮肤有光泽，在品种不同而呈黄、浅黄、淡红、灰白等色，肌肉切面有光泽，外表微湿润，不粘手，具有鸡的正常气味。</w:t>
                  </w:r>
                </w:p>
              </w:tc>
            </w:tr>
            <w:tr w14:paraId="1CFD07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41B41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6</w:t>
                  </w:r>
                </w:p>
              </w:tc>
              <w:tc>
                <w:tcPr>
                  <w:tcW w:w="1037" w:type="dxa"/>
                  <w:tcBorders>
                    <w:top w:val="nil"/>
                    <w:left w:val="nil"/>
                    <w:bottom w:val="single" w:color="000000" w:sz="4" w:space="0"/>
                    <w:right w:val="single" w:color="000000" w:sz="4" w:space="0"/>
                  </w:tcBorders>
                  <w:vAlign w:val="top"/>
                </w:tcPr>
                <w:p w14:paraId="4C436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边鸭</w:t>
                  </w:r>
                </w:p>
              </w:tc>
              <w:tc>
                <w:tcPr>
                  <w:tcW w:w="5548" w:type="dxa"/>
                  <w:tcBorders>
                    <w:top w:val="nil"/>
                    <w:left w:val="nil"/>
                    <w:bottom w:val="single" w:color="000000" w:sz="4" w:space="0"/>
                    <w:right w:val="single" w:color="000000" w:sz="4" w:space="0"/>
                  </w:tcBorders>
                  <w:vAlign w:val="top"/>
                </w:tcPr>
                <w:p w14:paraId="60CF1D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表皮光滑，新鲜肥嫩，无头，无颈，无内脏，外表微湿润，不粘手，具有鸭的正常气味。</w:t>
                  </w:r>
                </w:p>
              </w:tc>
            </w:tr>
            <w:tr w14:paraId="79342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4C3C1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7</w:t>
                  </w:r>
                </w:p>
              </w:tc>
              <w:tc>
                <w:tcPr>
                  <w:tcW w:w="1037" w:type="dxa"/>
                  <w:tcBorders>
                    <w:top w:val="nil"/>
                    <w:left w:val="nil"/>
                    <w:bottom w:val="single" w:color="000000" w:sz="4" w:space="0"/>
                    <w:right w:val="single" w:color="000000" w:sz="4" w:space="0"/>
                  </w:tcBorders>
                  <w:vAlign w:val="top"/>
                </w:tcPr>
                <w:p w14:paraId="4C2540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2A2763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白条鸡</w:t>
                  </w:r>
                </w:p>
              </w:tc>
              <w:tc>
                <w:tcPr>
                  <w:tcW w:w="5548" w:type="dxa"/>
                  <w:tcBorders>
                    <w:top w:val="nil"/>
                    <w:left w:val="nil"/>
                    <w:bottom w:val="single" w:color="000000" w:sz="4" w:space="0"/>
                    <w:right w:val="single" w:color="000000" w:sz="4" w:space="0"/>
                  </w:tcBorders>
                  <w:vAlign w:val="top"/>
                </w:tcPr>
                <w:p w14:paraId="32F929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整鸡表皮光滑，新鲜肥嫩，有头颈，有腿翅，无内脏，鸡肉的眼球饱满或平坦，皮肤有光泽，在品种不同而呈黄、浅黄、淡红、灰白等色，肌肉切面有光泽，外表微湿润，不粘手，具有鸡的正常气味。</w:t>
                  </w:r>
                </w:p>
              </w:tc>
            </w:tr>
            <w:tr w14:paraId="2E345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74A8D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8</w:t>
                  </w:r>
                </w:p>
              </w:tc>
              <w:tc>
                <w:tcPr>
                  <w:tcW w:w="1037" w:type="dxa"/>
                  <w:tcBorders>
                    <w:top w:val="nil"/>
                    <w:left w:val="nil"/>
                    <w:bottom w:val="single" w:color="000000" w:sz="4" w:space="0"/>
                    <w:right w:val="single" w:color="000000" w:sz="4" w:space="0"/>
                  </w:tcBorders>
                  <w:vAlign w:val="top"/>
                </w:tcPr>
                <w:p w14:paraId="31894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7C0D21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白条鸭</w:t>
                  </w:r>
                </w:p>
              </w:tc>
              <w:tc>
                <w:tcPr>
                  <w:tcW w:w="5548" w:type="dxa"/>
                  <w:tcBorders>
                    <w:top w:val="nil"/>
                    <w:left w:val="nil"/>
                    <w:bottom w:val="single" w:color="000000" w:sz="4" w:space="0"/>
                    <w:right w:val="single" w:color="000000" w:sz="4" w:space="0"/>
                  </w:tcBorders>
                  <w:vAlign w:val="top"/>
                </w:tcPr>
                <w:p w14:paraId="078620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表皮光滑，新鲜肥嫩，无内脏，鸭的眼球饱满或平坦，皮肤有光泽，在品种不同而呈黄、浅黄、淡红、灰白等色，肌肉切面有光泽，外表微湿润，不粘手，具有鸭的正常气味。</w:t>
                  </w:r>
                </w:p>
              </w:tc>
            </w:tr>
            <w:tr w14:paraId="137CC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DB1F6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9</w:t>
                  </w:r>
                </w:p>
              </w:tc>
              <w:tc>
                <w:tcPr>
                  <w:tcW w:w="1037" w:type="dxa"/>
                  <w:tcBorders>
                    <w:top w:val="nil"/>
                    <w:left w:val="nil"/>
                    <w:bottom w:val="single" w:color="000000" w:sz="4" w:space="0"/>
                    <w:right w:val="single" w:color="000000" w:sz="4" w:space="0"/>
                  </w:tcBorders>
                  <w:vAlign w:val="top"/>
                </w:tcPr>
                <w:p w14:paraId="7511B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鸡壳</w:t>
                  </w:r>
                </w:p>
              </w:tc>
              <w:tc>
                <w:tcPr>
                  <w:tcW w:w="5548" w:type="dxa"/>
                  <w:tcBorders>
                    <w:top w:val="nil"/>
                    <w:left w:val="nil"/>
                    <w:bottom w:val="single" w:color="000000" w:sz="4" w:space="0"/>
                    <w:right w:val="single" w:color="000000" w:sz="4" w:space="0"/>
                  </w:tcBorders>
                  <w:vAlign w:val="top"/>
                </w:tcPr>
                <w:p w14:paraId="0AC4AC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整鸡去肉，即鸡骨架，有颈无头,新鲜，无内脏，骨架颜色纯正，外表微湿润，不粘手，具有鸡的正常气味。</w:t>
                  </w:r>
                </w:p>
              </w:tc>
            </w:tr>
            <w:tr w14:paraId="41F50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4328E3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10</w:t>
                  </w:r>
                </w:p>
              </w:tc>
              <w:tc>
                <w:tcPr>
                  <w:tcW w:w="1037" w:type="dxa"/>
                  <w:tcBorders>
                    <w:top w:val="nil"/>
                    <w:left w:val="nil"/>
                    <w:bottom w:val="single" w:color="000000" w:sz="4" w:space="0"/>
                    <w:right w:val="single" w:color="000000" w:sz="4" w:space="0"/>
                  </w:tcBorders>
                  <w:vAlign w:val="top"/>
                </w:tcPr>
                <w:p w14:paraId="75FB2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仓鱼</w:t>
                  </w:r>
                </w:p>
              </w:tc>
              <w:tc>
                <w:tcPr>
                  <w:tcW w:w="5548" w:type="dxa"/>
                  <w:tcBorders>
                    <w:top w:val="nil"/>
                    <w:left w:val="nil"/>
                    <w:bottom w:val="single" w:color="000000" w:sz="4" w:space="0"/>
                    <w:right w:val="single" w:color="000000" w:sz="4" w:space="0"/>
                  </w:tcBorders>
                  <w:vAlign w:val="top"/>
                </w:tcPr>
                <w:p w14:paraId="0E4344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鱼眼睛清亮，角膜透明，眼球略微隆起，鳍展平张开，鳞片上覆有的透明黏液层，皮肤天然色泽明显。</w:t>
                  </w:r>
                </w:p>
              </w:tc>
            </w:tr>
            <w:tr w14:paraId="5D63E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67AC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11</w:t>
                  </w:r>
                </w:p>
              </w:tc>
              <w:tc>
                <w:tcPr>
                  <w:tcW w:w="1037" w:type="dxa"/>
                  <w:tcBorders>
                    <w:top w:val="nil"/>
                    <w:left w:val="nil"/>
                    <w:bottom w:val="single" w:color="000000" w:sz="4" w:space="0"/>
                    <w:right w:val="single" w:color="000000" w:sz="4" w:space="0"/>
                  </w:tcBorders>
                  <w:vAlign w:val="top"/>
                </w:tcPr>
                <w:p w14:paraId="4EC15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带鱼</w:t>
                  </w:r>
                </w:p>
              </w:tc>
              <w:tc>
                <w:tcPr>
                  <w:tcW w:w="5548" w:type="dxa"/>
                  <w:tcBorders>
                    <w:top w:val="nil"/>
                    <w:left w:val="nil"/>
                    <w:bottom w:val="single" w:color="000000" w:sz="4" w:space="0"/>
                    <w:right w:val="single" w:color="000000" w:sz="4" w:space="0"/>
                  </w:tcBorders>
                  <w:vAlign w:val="top"/>
                </w:tcPr>
                <w:p w14:paraId="36978E71">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鱼眼睛清亮，角膜透明，眼球略微隆起，鳍展平张开，鳞片上覆有的透明黏液层，皮肤天然色泽明显。</w:t>
                  </w:r>
                </w:p>
              </w:tc>
            </w:tr>
            <w:tr w14:paraId="71C65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378CE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12</w:t>
                  </w:r>
                </w:p>
              </w:tc>
              <w:tc>
                <w:tcPr>
                  <w:tcW w:w="1037" w:type="dxa"/>
                  <w:tcBorders>
                    <w:top w:val="nil"/>
                    <w:left w:val="nil"/>
                    <w:bottom w:val="single" w:color="000000" w:sz="4" w:space="0"/>
                    <w:right w:val="single" w:color="000000" w:sz="4" w:space="0"/>
                  </w:tcBorders>
                  <w:vAlign w:val="top"/>
                </w:tcPr>
                <w:p w14:paraId="2BB27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泥猛鱼</w:t>
                  </w:r>
                </w:p>
              </w:tc>
              <w:tc>
                <w:tcPr>
                  <w:tcW w:w="5548" w:type="dxa"/>
                  <w:tcBorders>
                    <w:top w:val="nil"/>
                    <w:left w:val="nil"/>
                    <w:bottom w:val="single" w:color="000000" w:sz="4" w:space="0"/>
                    <w:right w:val="single" w:color="000000" w:sz="4" w:space="0"/>
                  </w:tcBorders>
                  <w:vAlign w:val="top"/>
                </w:tcPr>
                <w:p w14:paraId="336E46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无头，无内脏，鳞片上覆有透明黏液层，皮肤天然色泽明显。</w:t>
                  </w:r>
                </w:p>
              </w:tc>
            </w:tr>
            <w:tr w14:paraId="376064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11DDF6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13</w:t>
                  </w:r>
                </w:p>
              </w:tc>
              <w:tc>
                <w:tcPr>
                  <w:tcW w:w="1037" w:type="dxa"/>
                  <w:tcBorders>
                    <w:top w:val="nil"/>
                    <w:left w:val="nil"/>
                    <w:bottom w:val="single" w:color="000000" w:sz="4" w:space="0"/>
                    <w:right w:val="single" w:color="000000" w:sz="4" w:space="0"/>
                  </w:tcBorders>
                  <w:vAlign w:val="top"/>
                </w:tcPr>
                <w:p w14:paraId="421484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香菇贡丸</w:t>
                  </w:r>
                </w:p>
              </w:tc>
              <w:tc>
                <w:tcPr>
                  <w:tcW w:w="5548" w:type="dxa"/>
                  <w:tcBorders>
                    <w:top w:val="nil"/>
                    <w:left w:val="nil"/>
                    <w:bottom w:val="single" w:color="000000" w:sz="4" w:space="0"/>
                    <w:right w:val="single" w:color="000000" w:sz="4" w:space="0"/>
                  </w:tcBorders>
                  <w:vAlign w:val="top"/>
                </w:tcPr>
                <w:p w14:paraId="545BB1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具有良好的弹性，水煮后用手捏应不轻易破裂，且手松开后能回复。切开丸体其剖面应比较平整，不能有明显的冰晶状物。</w:t>
                  </w:r>
                </w:p>
              </w:tc>
            </w:tr>
            <w:tr w14:paraId="7B321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A6A1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14</w:t>
                  </w:r>
                </w:p>
              </w:tc>
              <w:tc>
                <w:tcPr>
                  <w:tcW w:w="1037" w:type="dxa"/>
                  <w:tcBorders>
                    <w:top w:val="nil"/>
                    <w:left w:val="nil"/>
                    <w:bottom w:val="single" w:color="000000" w:sz="4" w:space="0"/>
                    <w:right w:val="single" w:color="000000" w:sz="4" w:space="0"/>
                  </w:tcBorders>
                  <w:vAlign w:val="top"/>
                </w:tcPr>
                <w:p w14:paraId="0E332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牛肉丸</w:t>
                  </w:r>
                </w:p>
              </w:tc>
              <w:tc>
                <w:tcPr>
                  <w:tcW w:w="5548" w:type="dxa"/>
                  <w:tcBorders>
                    <w:top w:val="nil"/>
                    <w:left w:val="nil"/>
                    <w:bottom w:val="single" w:color="000000" w:sz="4" w:space="0"/>
                    <w:right w:val="single" w:color="000000" w:sz="4" w:space="0"/>
                  </w:tcBorders>
                  <w:vAlign w:val="top"/>
                </w:tcPr>
                <w:p w14:paraId="3AFDB9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具有良好的弹性，水煮后用手捏应不轻易破裂，且手松开后能回复。切开丸体其剖面应比较平整，不能有明显的冰晶状物。</w:t>
                  </w:r>
                </w:p>
              </w:tc>
            </w:tr>
            <w:tr w14:paraId="6601A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72D02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15</w:t>
                  </w:r>
                </w:p>
              </w:tc>
              <w:tc>
                <w:tcPr>
                  <w:tcW w:w="1037" w:type="dxa"/>
                  <w:tcBorders>
                    <w:top w:val="nil"/>
                    <w:left w:val="nil"/>
                    <w:bottom w:val="single" w:color="000000" w:sz="4" w:space="0"/>
                    <w:right w:val="single" w:color="000000" w:sz="4" w:space="0"/>
                  </w:tcBorders>
                  <w:vAlign w:val="top"/>
                </w:tcPr>
                <w:p w14:paraId="1EEAB2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鱼丸</w:t>
                  </w:r>
                </w:p>
              </w:tc>
              <w:tc>
                <w:tcPr>
                  <w:tcW w:w="5548" w:type="dxa"/>
                  <w:tcBorders>
                    <w:top w:val="nil"/>
                    <w:left w:val="nil"/>
                    <w:bottom w:val="single" w:color="000000" w:sz="4" w:space="0"/>
                    <w:right w:val="single" w:color="000000" w:sz="4" w:space="0"/>
                  </w:tcBorders>
                  <w:vAlign w:val="top"/>
                </w:tcPr>
                <w:p w14:paraId="22F53E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具有良好的弹性，水煮后用手捏应不轻易破裂，且手松开后能回复。切开丸体其剖面应比较完整，不能有明显的冰晶状物。</w:t>
                  </w:r>
                </w:p>
              </w:tc>
            </w:tr>
            <w:tr w14:paraId="7CBD4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BC12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16</w:t>
                  </w:r>
                </w:p>
              </w:tc>
              <w:tc>
                <w:tcPr>
                  <w:tcW w:w="1037" w:type="dxa"/>
                  <w:tcBorders>
                    <w:top w:val="nil"/>
                    <w:left w:val="nil"/>
                    <w:bottom w:val="single" w:color="000000" w:sz="4" w:space="0"/>
                    <w:right w:val="single" w:color="000000" w:sz="4" w:space="0"/>
                  </w:tcBorders>
                  <w:vAlign w:val="top"/>
                </w:tcPr>
                <w:p w14:paraId="58D7F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3BEC8B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猪肝</w:t>
                  </w:r>
                </w:p>
              </w:tc>
              <w:tc>
                <w:tcPr>
                  <w:tcW w:w="5548" w:type="dxa"/>
                  <w:tcBorders>
                    <w:top w:val="nil"/>
                    <w:left w:val="nil"/>
                    <w:bottom w:val="single" w:color="000000" w:sz="4" w:space="0"/>
                    <w:right w:val="single" w:color="000000" w:sz="4" w:space="0"/>
                  </w:tcBorders>
                  <w:vAlign w:val="top"/>
                </w:tcPr>
                <w:p w14:paraId="2DBAA6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整体呈红褐色或棕黄色，有光泽，湿润，略有弹性，组织结实，微实，肝叶完整，无脂肪，无寄生虫、炎症水疱、薄膜、无胆汁污染，略有鱼腥味。</w:t>
                  </w:r>
                </w:p>
              </w:tc>
            </w:tr>
            <w:tr w14:paraId="75976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6E03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17</w:t>
                  </w:r>
                </w:p>
              </w:tc>
              <w:tc>
                <w:tcPr>
                  <w:tcW w:w="1037" w:type="dxa"/>
                  <w:tcBorders>
                    <w:top w:val="nil"/>
                    <w:left w:val="nil"/>
                    <w:bottom w:val="single" w:color="000000" w:sz="4" w:space="0"/>
                    <w:right w:val="single" w:color="000000" w:sz="4" w:space="0"/>
                  </w:tcBorders>
                  <w:vAlign w:val="top"/>
                </w:tcPr>
                <w:p w14:paraId="2BA5F3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20E4D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猪肉丸</w:t>
                  </w:r>
                </w:p>
              </w:tc>
              <w:tc>
                <w:tcPr>
                  <w:tcW w:w="5548" w:type="dxa"/>
                  <w:tcBorders>
                    <w:top w:val="nil"/>
                    <w:left w:val="nil"/>
                    <w:bottom w:val="single" w:color="000000" w:sz="4" w:space="0"/>
                    <w:right w:val="single" w:color="000000" w:sz="4" w:space="0"/>
                  </w:tcBorders>
                  <w:vAlign w:val="top"/>
                </w:tcPr>
                <w:p w14:paraId="3D5D32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具有良好的弹性，水煮后用手捏应不轻易破裂，且手松开后能回复。具有猪肉应有的香味。切开丸体其剖面应比较完整，不能有明显的冰晶状物。</w:t>
                  </w:r>
                </w:p>
              </w:tc>
            </w:tr>
            <w:tr w14:paraId="7FF58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42FCCD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18</w:t>
                  </w:r>
                </w:p>
              </w:tc>
              <w:tc>
                <w:tcPr>
                  <w:tcW w:w="1037" w:type="dxa"/>
                  <w:tcBorders>
                    <w:top w:val="nil"/>
                    <w:left w:val="nil"/>
                    <w:bottom w:val="single" w:color="000000" w:sz="4" w:space="0"/>
                    <w:right w:val="single" w:color="000000" w:sz="4" w:space="0"/>
                  </w:tcBorders>
                  <w:vAlign w:val="top"/>
                </w:tcPr>
                <w:p w14:paraId="647D0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鸡翅</w:t>
                  </w:r>
                </w:p>
              </w:tc>
              <w:tc>
                <w:tcPr>
                  <w:tcW w:w="5548" w:type="dxa"/>
                  <w:tcBorders>
                    <w:top w:val="nil"/>
                    <w:left w:val="nil"/>
                    <w:bottom w:val="single" w:color="000000" w:sz="4" w:space="0"/>
                    <w:right w:val="single" w:color="000000" w:sz="4" w:space="0"/>
                  </w:tcBorders>
                  <w:vAlign w:val="top"/>
                </w:tcPr>
                <w:p w14:paraId="69C7AD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交货以干净、新鲜、无异味，大小适合规格要求为标准。</w:t>
                  </w:r>
                </w:p>
              </w:tc>
            </w:tr>
            <w:tr w14:paraId="013FF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520AA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19</w:t>
                  </w:r>
                </w:p>
              </w:tc>
              <w:tc>
                <w:tcPr>
                  <w:tcW w:w="1037" w:type="dxa"/>
                  <w:tcBorders>
                    <w:top w:val="nil"/>
                    <w:left w:val="nil"/>
                    <w:bottom w:val="single" w:color="000000" w:sz="4" w:space="0"/>
                    <w:right w:val="single" w:color="000000" w:sz="4" w:space="0"/>
                  </w:tcBorders>
                  <w:vAlign w:val="top"/>
                </w:tcPr>
                <w:p w14:paraId="2EBAB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鱿鱼</w:t>
                  </w:r>
                </w:p>
              </w:tc>
              <w:tc>
                <w:tcPr>
                  <w:tcW w:w="5548" w:type="dxa"/>
                  <w:tcBorders>
                    <w:top w:val="nil"/>
                    <w:left w:val="nil"/>
                    <w:bottom w:val="single" w:color="000000" w:sz="4" w:space="0"/>
                    <w:right w:val="single" w:color="000000" w:sz="4" w:space="0"/>
                  </w:tcBorders>
                  <w:vAlign w:val="top"/>
                </w:tcPr>
                <w:p w14:paraId="24F8E8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皮肤天然色泽明显，表面黏液不粘手，无异味。</w:t>
                  </w:r>
                </w:p>
              </w:tc>
            </w:tr>
            <w:tr w14:paraId="28564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6C34A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20</w:t>
                  </w:r>
                </w:p>
              </w:tc>
              <w:tc>
                <w:tcPr>
                  <w:tcW w:w="1037" w:type="dxa"/>
                  <w:tcBorders>
                    <w:top w:val="nil"/>
                    <w:left w:val="nil"/>
                    <w:bottom w:val="single" w:color="000000" w:sz="4" w:space="0"/>
                    <w:right w:val="single" w:color="000000" w:sz="4" w:space="0"/>
                  </w:tcBorders>
                  <w:vAlign w:val="top"/>
                </w:tcPr>
                <w:p w14:paraId="620D8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瘦肉</w:t>
                  </w:r>
                </w:p>
              </w:tc>
              <w:tc>
                <w:tcPr>
                  <w:tcW w:w="5548" w:type="dxa"/>
                  <w:tcBorders>
                    <w:top w:val="nil"/>
                    <w:left w:val="nil"/>
                    <w:bottom w:val="single" w:color="000000" w:sz="4" w:space="0"/>
                    <w:right w:val="single" w:color="000000" w:sz="4" w:space="0"/>
                  </w:tcBorders>
                  <w:vAlign w:val="top"/>
                </w:tcPr>
                <w:p w14:paraId="171C8B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肉呈均匀的红色，有光泽，肉质紧密，有坚实感；肉的外表及切面微湿润，不粘手。</w:t>
                  </w:r>
                </w:p>
              </w:tc>
            </w:tr>
            <w:tr w14:paraId="5A0EC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57D1C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21</w:t>
                  </w:r>
                </w:p>
              </w:tc>
              <w:tc>
                <w:tcPr>
                  <w:tcW w:w="1037" w:type="dxa"/>
                  <w:tcBorders>
                    <w:top w:val="nil"/>
                    <w:left w:val="nil"/>
                    <w:bottom w:val="single" w:color="000000" w:sz="4" w:space="0"/>
                    <w:right w:val="single" w:color="000000" w:sz="4" w:space="0"/>
                  </w:tcBorders>
                  <w:vAlign w:val="top"/>
                </w:tcPr>
                <w:p w14:paraId="47954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方火腿</w:t>
                  </w:r>
                </w:p>
              </w:tc>
              <w:tc>
                <w:tcPr>
                  <w:tcW w:w="5548" w:type="dxa"/>
                  <w:tcBorders>
                    <w:top w:val="nil"/>
                    <w:left w:val="nil"/>
                    <w:bottom w:val="single" w:color="000000" w:sz="4" w:space="0"/>
                    <w:right w:val="single" w:color="000000" w:sz="4" w:space="0"/>
                  </w:tcBorders>
                  <w:vAlign w:val="top"/>
                </w:tcPr>
                <w:p w14:paraId="64D224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表皮应干燥、皮质坚硬，火腿肌肉应是紧密且富有弹性，切面为深红色、色泽均匀；无酸败味或其它异味。</w:t>
                  </w:r>
                </w:p>
              </w:tc>
            </w:tr>
            <w:tr w14:paraId="1F8BC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0ED61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22</w:t>
                  </w:r>
                </w:p>
              </w:tc>
              <w:tc>
                <w:tcPr>
                  <w:tcW w:w="1037" w:type="dxa"/>
                  <w:tcBorders>
                    <w:top w:val="nil"/>
                    <w:left w:val="nil"/>
                    <w:bottom w:val="single" w:color="000000" w:sz="4" w:space="0"/>
                    <w:right w:val="single" w:color="000000" w:sz="4" w:space="0"/>
                  </w:tcBorders>
                  <w:vAlign w:val="top"/>
                </w:tcPr>
                <w:p w14:paraId="42819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128435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白条羊</w:t>
                  </w:r>
                </w:p>
              </w:tc>
              <w:tc>
                <w:tcPr>
                  <w:tcW w:w="5548" w:type="dxa"/>
                  <w:tcBorders>
                    <w:top w:val="nil"/>
                    <w:left w:val="nil"/>
                    <w:bottom w:val="single" w:color="000000" w:sz="4" w:space="0"/>
                    <w:right w:val="single" w:color="000000" w:sz="4" w:space="0"/>
                  </w:tcBorders>
                  <w:vAlign w:val="top"/>
                </w:tcPr>
                <w:p w14:paraId="3FB83D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去头,去蹄,去内脏。肌肉呈均匀的红色，有光泽，脂肪呈白色或微黄色。肌肉外表微干或风干膜，或外表湿润，但都不粘手。肌肉结构紧密，有坚实感，肌纤维韧性强。</w:t>
                  </w:r>
                </w:p>
              </w:tc>
            </w:tr>
            <w:tr w14:paraId="0DC00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41889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23</w:t>
                  </w:r>
                </w:p>
              </w:tc>
              <w:tc>
                <w:tcPr>
                  <w:tcW w:w="1037" w:type="dxa"/>
                  <w:tcBorders>
                    <w:top w:val="nil"/>
                    <w:left w:val="nil"/>
                    <w:bottom w:val="single" w:color="000000" w:sz="4" w:space="0"/>
                    <w:right w:val="single" w:color="000000" w:sz="4" w:space="0"/>
                  </w:tcBorders>
                  <w:vAlign w:val="top"/>
                </w:tcPr>
                <w:p w14:paraId="514064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带肉叉骨</w:t>
                  </w:r>
                </w:p>
              </w:tc>
              <w:tc>
                <w:tcPr>
                  <w:tcW w:w="5548" w:type="dxa"/>
                  <w:tcBorders>
                    <w:top w:val="nil"/>
                    <w:left w:val="nil"/>
                    <w:bottom w:val="single" w:color="000000" w:sz="4" w:space="0"/>
                    <w:right w:val="single" w:color="000000" w:sz="4" w:space="0"/>
                  </w:tcBorders>
                  <w:vAlign w:val="top"/>
                </w:tcPr>
                <w:p w14:paraId="1ED62B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肉体冻实而坚硬，敲之回音清脆，无化冻现象。</w:t>
                  </w:r>
                </w:p>
              </w:tc>
            </w:tr>
            <w:tr w14:paraId="1E7BB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17505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24</w:t>
                  </w:r>
                </w:p>
              </w:tc>
              <w:tc>
                <w:tcPr>
                  <w:tcW w:w="1037" w:type="dxa"/>
                  <w:tcBorders>
                    <w:top w:val="nil"/>
                    <w:left w:val="nil"/>
                    <w:bottom w:val="single" w:color="000000" w:sz="4" w:space="0"/>
                    <w:right w:val="single" w:color="000000" w:sz="4" w:space="0"/>
                  </w:tcBorders>
                  <w:vAlign w:val="top"/>
                </w:tcPr>
                <w:p w14:paraId="299178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扇骨</w:t>
                  </w:r>
                </w:p>
              </w:tc>
              <w:tc>
                <w:tcPr>
                  <w:tcW w:w="5548" w:type="dxa"/>
                  <w:tcBorders>
                    <w:top w:val="nil"/>
                    <w:left w:val="nil"/>
                    <w:bottom w:val="single" w:color="000000" w:sz="4" w:space="0"/>
                    <w:right w:val="single" w:color="000000" w:sz="4" w:space="0"/>
                  </w:tcBorders>
                  <w:vAlign w:val="top"/>
                </w:tcPr>
                <w:p w14:paraId="27A378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形状完整，体冻实坚硬，无冻化现象。</w:t>
                  </w:r>
                </w:p>
              </w:tc>
            </w:tr>
            <w:tr w14:paraId="0E0D4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D4C8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25</w:t>
                  </w:r>
                </w:p>
              </w:tc>
              <w:tc>
                <w:tcPr>
                  <w:tcW w:w="1037" w:type="dxa"/>
                  <w:tcBorders>
                    <w:top w:val="nil"/>
                    <w:left w:val="nil"/>
                    <w:bottom w:val="single" w:color="000000" w:sz="4" w:space="0"/>
                    <w:right w:val="single" w:color="000000" w:sz="4" w:space="0"/>
                  </w:tcBorders>
                  <w:vAlign w:val="top"/>
                </w:tcPr>
                <w:p w14:paraId="32820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有颈前排</w:t>
                  </w:r>
                </w:p>
              </w:tc>
              <w:tc>
                <w:tcPr>
                  <w:tcW w:w="5548" w:type="dxa"/>
                  <w:tcBorders>
                    <w:top w:val="nil"/>
                    <w:left w:val="nil"/>
                    <w:bottom w:val="single" w:color="000000" w:sz="4" w:space="0"/>
                    <w:right w:val="single" w:color="000000" w:sz="4" w:space="0"/>
                  </w:tcBorders>
                  <w:vAlign w:val="top"/>
                </w:tcPr>
                <w:p w14:paraId="1B5CC2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带颈骨及前五条排骨，肉体冻实而坚硬，敲之回音清脆，无化冻现象。</w:t>
                  </w:r>
                </w:p>
              </w:tc>
            </w:tr>
            <w:tr w14:paraId="64C12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3623FC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26</w:t>
                  </w:r>
                </w:p>
              </w:tc>
              <w:tc>
                <w:tcPr>
                  <w:tcW w:w="1037" w:type="dxa"/>
                  <w:tcBorders>
                    <w:top w:val="nil"/>
                    <w:left w:val="nil"/>
                    <w:bottom w:val="single" w:color="000000" w:sz="4" w:space="0"/>
                    <w:right w:val="single" w:color="000000" w:sz="4" w:space="0"/>
                  </w:tcBorders>
                  <w:vAlign w:val="top"/>
                </w:tcPr>
                <w:p w14:paraId="53CF0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脊骨</w:t>
                  </w:r>
                </w:p>
              </w:tc>
              <w:tc>
                <w:tcPr>
                  <w:tcW w:w="5548" w:type="dxa"/>
                  <w:tcBorders>
                    <w:top w:val="nil"/>
                    <w:left w:val="nil"/>
                    <w:bottom w:val="single" w:color="000000" w:sz="4" w:space="0"/>
                    <w:right w:val="single" w:color="000000" w:sz="4" w:space="0"/>
                  </w:tcBorders>
                  <w:vAlign w:val="top"/>
                </w:tcPr>
                <w:p w14:paraId="47E452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肉体冻实而坚硬，敲之回音清脆，无化冻现象。</w:t>
                  </w:r>
                </w:p>
              </w:tc>
            </w:tr>
            <w:tr w14:paraId="3370B9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1BCC4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27</w:t>
                  </w:r>
                </w:p>
              </w:tc>
              <w:tc>
                <w:tcPr>
                  <w:tcW w:w="1037" w:type="dxa"/>
                  <w:tcBorders>
                    <w:top w:val="nil"/>
                    <w:left w:val="nil"/>
                    <w:bottom w:val="single" w:color="000000" w:sz="4" w:space="0"/>
                    <w:right w:val="single" w:color="000000" w:sz="4" w:space="0"/>
                  </w:tcBorders>
                  <w:vAlign w:val="top"/>
                </w:tcPr>
                <w:p w14:paraId="5B4A8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猪脚</w:t>
                  </w:r>
                </w:p>
              </w:tc>
              <w:tc>
                <w:tcPr>
                  <w:tcW w:w="5548" w:type="dxa"/>
                  <w:tcBorders>
                    <w:top w:val="nil"/>
                    <w:left w:val="nil"/>
                    <w:bottom w:val="single" w:color="000000" w:sz="4" w:space="0"/>
                    <w:right w:val="single" w:color="000000" w:sz="4" w:space="0"/>
                  </w:tcBorders>
                  <w:vAlign w:val="top"/>
                </w:tcPr>
                <w:p w14:paraId="165499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必须去除一切毛污物，无异味，交货以干净、新鲜、大小适合规格要求为标准</w:t>
                  </w:r>
                </w:p>
              </w:tc>
            </w:tr>
            <w:tr w14:paraId="363598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7DC34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28</w:t>
                  </w:r>
                </w:p>
              </w:tc>
              <w:tc>
                <w:tcPr>
                  <w:tcW w:w="1037" w:type="dxa"/>
                  <w:tcBorders>
                    <w:top w:val="nil"/>
                    <w:left w:val="nil"/>
                    <w:bottom w:val="single" w:color="000000" w:sz="4" w:space="0"/>
                    <w:right w:val="single" w:color="000000" w:sz="4" w:space="0"/>
                  </w:tcBorders>
                  <w:vAlign w:val="top"/>
                </w:tcPr>
                <w:p w14:paraId="7BB5E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大头鱼</w:t>
                  </w:r>
                </w:p>
              </w:tc>
              <w:tc>
                <w:tcPr>
                  <w:tcW w:w="5548" w:type="dxa"/>
                  <w:tcBorders>
                    <w:top w:val="nil"/>
                    <w:left w:val="nil"/>
                    <w:bottom w:val="single" w:color="000000" w:sz="4" w:space="0"/>
                    <w:right w:val="single" w:color="000000" w:sz="4" w:space="0"/>
                  </w:tcBorders>
                  <w:vAlign w:val="top"/>
                </w:tcPr>
                <w:p w14:paraId="6AFBD6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按照</w:t>
                  </w:r>
                  <w:r>
                    <w:rPr>
                      <w:rFonts w:hint="eastAsia"/>
                      <w:sz w:val="24"/>
                      <w:szCs w:val="24"/>
                      <w:lang w:eastAsia="zh-CN"/>
                    </w:rPr>
                    <w:t>采购人</w:t>
                  </w:r>
                  <w:r>
                    <w:rPr>
                      <w:sz w:val="24"/>
                      <w:szCs w:val="24"/>
                    </w:rPr>
                    <w:t>实际需求供应</w:t>
                  </w:r>
                </w:p>
              </w:tc>
            </w:tr>
            <w:tr w14:paraId="37F6F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21ADA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29</w:t>
                  </w:r>
                </w:p>
              </w:tc>
              <w:tc>
                <w:tcPr>
                  <w:tcW w:w="1037" w:type="dxa"/>
                  <w:tcBorders>
                    <w:top w:val="nil"/>
                    <w:left w:val="nil"/>
                    <w:bottom w:val="single" w:color="000000" w:sz="4" w:space="0"/>
                    <w:right w:val="single" w:color="000000" w:sz="4" w:space="0"/>
                  </w:tcBorders>
                  <w:vAlign w:val="top"/>
                </w:tcPr>
                <w:p w14:paraId="21AC8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鲩鱼</w:t>
                  </w:r>
                </w:p>
              </w:tc>
              <w:tc>
                <w:tcPr>
                  <w:tcW w:w="5548" w:type="dxa"/>
                  <w:tcBorders>
                    <w:top w:val="nil"/>
                    <w:left w:val="nil"/>
                    <w:bottom w:val="single" w:color="000000" w:sz="4" w:space="0"/>
                    <w:right w:val="single" w:color="000000" w:sz="4" w:space="0"/>
                  </w:tcBorders>
                  <w:vAlign w:val="top"/>
                </w:tcPr>
                <w:p w14:paraId="5E5883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按照</w:t>
                  </w:r>
                  <w:r>
                    <w:rPr>
                      <w:rFonts w:hint="eastAsia"/>
                      <w:sz w:val="24"/>
                      <w:szCs w:val="24"/>
                      <w:lang w:eastAsia="zh-CN"/>
                    </w:rPr>
                    <w:t>采购人</w:t>
                  </w:r>
                  <w:r>
                    <w:rPr>
                      <w:sz w:val="24"/>
                      <w:szCs w:val="24"/>
                    </w:rPr>
                    <w:t>实际需求供应</w:t>
                  </w:r>
                </w:p>
              </w:tc>
            </w:tr>
            <w:tr w14:paraId="58BAD0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2" w:type="dxa"/>
                  <w:tcBorders>
                    <w:top w:val="nil"/>
                    <w:left w:val="single" w:color="000000" w:sz="4" w:space="0"/>
                    <w:bottom w:val="single" w:color="000000" w:sz="4" w:space="0"/>
                    <w:right w:val="single" w:color="000000" w:sz="4" w:space="0"/>
                  </w:tcBorders>
                  <w:vAlign w:val="top"/>
                </w:tcPr>
                <w:p w14:paraId="09F27F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30</w:t>
                  </w:r>
                </w:p>
              </w:tc>
              <w:tc>
                <w:tcPr>
                  <w:tcW w:w="1037" w:type="dxa"/>
                  <w:tcBorders>
                    <w:top w:val="nil"/>
                    <w:left w:val="nil"/>
                    <w:bottom w:val="single" w:color="000000" w:sz="4" w:space="0"/>
                    <w:right w:val="single" w:color="000000" w:sz="4" w:space="0"/>
                  </w:tcBorders>
                  <w:vAlign w:val="top"/>
                </w:tcPr>
                <w:p w14:paraId="046A6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鲫鱼</w:t>
                  </w:r>
                </w:p>
              </w:tc>
              <w:tc>
                <w:tcPr>
                  <w:tcW w:w="5548" w:type="dxa"/>
                  <w:tcBorders>
                    <w:top w:val="nil"/>
                    <w:left w:val="nil"/>
                    <w:bottom w:val="single" w:color="000000" w:sz="4" w:space="0"/>
                    <w:right w:val="single" w:color="000000" w:sz="4" w:space="0"/>
                  </w:tcBorders>
                  <w:vAlign w:val="top"/>
                </w:tcPr>
                <w:p w14:paraId="6E2788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按照</w:t>
                  </w:r>
                  <w:r>
                    <w:rPr>
                      <w:rFonts w:hint="eastAsia"/>
                      <w:sz w:val="24"/>
                      <w:szCs w:val="24"/>
                      <w:lang w:eastAsia="zh-CN"/>
                    </w:rPr>
                    <w:t>采购人</w:t>
                  </w:r>
                  <w:r>
                    <w:rPr>
                      <w:sz w:val="24"/>
                      <w:szCs w:val="24"/>
                    </w:rPr>
                    <w:t>实际需求供应</w:t>
                  </w:r>
                </w:p>
              </w:tc>
            </w:tr>
          </w:tbl>
          <w:p w14:paraId="6AC4162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8）生猪（毛猪）具体要求</w:t>
            </w:r>
          </w:p>
          <w:p w14:paraId="314EFA66">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①必须符合国家有关动物检验、检疫标准，不含瘦肉精，无哮喘、无烂猪蹄、无外伤等伤病的健康生猪；</w:t>
            </w:r>
          </w:p>
          <w:p w14:paraId="37A7CC01">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②每只体重介于 180-220 斤之间；</w:t>
            </w:r>
          </w:p>
          <w:p w14:paraId="1AF8D15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③若为母猪，必须为未产崽的；</w:t>
            </w:r>
          </w:p>
          <w:p w14:paraId="58D2E68E">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④每批次产品必须具有有效的《出县境动物产品检疫合格证》或《动物产品检疫合格证》。</w:t>
            </w:r>
          </w:p>
          <w:p w14:paraId="6ABE091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9)水产类的品质要求:</w:t>
            </w:r>
          </w:p>
          <w:p w14:paraId="61C2AA7B">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①鲜鱼鳞片完整，有光泽无脱落，鳃口紧闭，眼球光亮透明，鱼鳃鲜红，鳍尾完整，确保皮肤天然色泽明显。</w:t>
            </w:r>
          </w:p>
          <w:p w14:paraId="5AC97EE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②鱼体饱满结实、新鲜，无腐异味，肉质紧密有弹性，无离骨脱刺现象。</w:t>
            </w:r>
          </w:p>
          <w:p w14:paraId="60ED85C1">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③鲜鱼类来源可靠放心，无毒、无害、无污染。</w:t>
            </w:r>
          </w:p>
          <w:p w14:paraId="10C9D1D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④鲜活类要求游动活泼，鱼体健康，体态匀称，体色鲜明，体表光滑，眼睛亮丽，鳞片鳍条完好。</w:t>
            </w:r>
          </w:p>
          <w:p w14:paraId="1DC186A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10）食品供应链要求：所有提供的货物必须具有可溯源的合法票证。</w:t>
            </w:r>
          </w:p>
          <w:p w14:paraId="364FD570">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2.瓜果蔬菜</w:t>
            </w:r>
          </w:p>
          <w:p w14:paraId="730184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中标人每天的供应按</w:t>
            </w:r>
            <w:r>
              <w:rPr>
                <w:rFonts w:hint="eastAsia"/>
                <w:sz w:val="24"/>
                <w:szCs w:val="24"/>
                <w:lang w:eastAsia="zh-CN"/>
              </w:rPr>
              <w:t>采购人</w:t>
            </w:r>
            <w:r>
              <w:rPr>
                <w:sz w:val="24"/>
                <w:szCs w:val="24"/>
              </w:rPr>
              <w:t>提出的品种要求和计划数量进行供应。属季节问题，若出现品种不能满足</w:t>
            </w:r>
            <w:r>
              <w:rPr>
                <w:rFonts w:hint="eastAsia"/>
                <w:sz w:val="24"/>
                <w:szCs w:val="24"/>
                <w:lang w:eastAsia="zh-CN"/>
              </w:rPr>
              <w:t>采购人</w:t>
            </w:r>
            <w:r>
              <w:rPr>
                <w:sz w:val="24"/>
                <w:szCs w:val="24"/>
              </w:rPr>
              <w:t>需求的情况，可与</w:t>
            </w:r>
            <w:r>
              <w:rPr>
                <w:rFonts w:hint="eastAsia"/>
                <w:sz w:val="24"/>
                <w:szCs w:val="24"/>
                <w:lang w:eastAsia="zh-CN"/>
              </w:rPr>
              <w:t>采购人</w:t>
            </w:r>
            <w:r>
              <w:rPr>
                <w:sz w:val="24"/>
                <w:szCs w:val="24"/>
              </w:rPr>
              <w:t>协商调换相应类别的品种（按叶菜、瓜菜等进行分类）。</w:t>
            </w:r>
          </w:p>
          <w:p w14:paraId="4A624891">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（1）货物质量要求</w:t>
            </w:r>
          </w:p>
          <w:p w14:paraId="6A0793E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1)所有瓜果蔬菜在交付</w:t>
            </w:r>
            <w:r>
              <w:rPr>
                <w:rFonts w:hint="eastAsia"/>
                <w:sz w:val="24"/>
                <w:szCs w:val="24"/>
                <w:lang w:eastAsia="zh-CN"/>
              </w:rPr>
              <w:t>采购人</w:t>
            </w:r>
            <w:r>
              <w:rPr>
                <w:sz w:val="24"/>
                <w:szCs w:val="24"/>
              </w:rPr>
              <w:t>前必须经过前期处理，使用率达到 95%（含）以上。</w:t>
            </w:r>
          </w:p>
          <w:p w14:paraId="053C31D3">
            <w:pPr>
              <w:keepNext w:val="0"/>
              <w:keepLines w:val="0"/>
              <w:pageBreakBefore w:val="0"/>
              <w:widowControl w:val="0"/>
              <w:kinsoku/>
              <w:wordWrap/>
              <w:overflowPunct/>
              <w:topLinePunct w:val="0"/>
              <w:autoSpaceDE/>
              <w:autoSpaceDN/>
              <w:bidi w:val="0"/>
              <w:adjustRightInd/>
              <w:snapToGrid/>
              <w:spacing w:line="400" w:lineRule="exact"/>
              <w:ind w:firstLine="422"/>
              <w:jc w:val="left"/>
              <w:textAlignment w:val="auto"/>
              <w:rPr>
                <w:sz w:val="24"/>
                <w:szCs w:val="24"/>
              </w:rPr>
            </w:pPr>
            <w:r>
              <w:rPr>
                <w:b w:val="0"/>
                <w:bCs/>
                <w:sz w:val="24"/>
                <w:szCs w:val="24"/>
              </w:rPr>
              <w:t>2)所有瓜果蔬菜必须保证每日新鲜，且取得无公害认证优先选择，符合食品卫生安全法要求并出具有效的《农产品检验报告》。</w:t>
            </w:r>
            <w:r>
              <w:rPr>
                <w:rFonts w:hint="eastAsia"/>
                <w:b w:val="0"/>
                <w:bCs/>
                <w:sz w:val="24"/>
                <w:szCs w:val="24"/>
                <w:lang w:eastAsia="zh-CN"/>
              </w:rPr>
              <w:t>采购人</w:t>
            </w:r>
            <w:r>
              <w:rPr>
                <w:b w:val="0"/>
                <w:bCs/>
                <w:sz w:val="24"/>
                <w:szCs w:val="24"/>
              </w:rPr>
              <w:t>使用“农药测试卡”检验瓜果蔬菜农药含量，如含量超标中标人须无条件退货或换货，同时</w:t>
            </w:r>
            <w:r>
              <w:rPr>
                <w:rFonts w:hint="eastAsia"/>
                <w:b w:val="0"/>
                <w:bCs/>
                <w:sz w:val="24"/>
                <w:szCs w:val="24"/>
                <w:lang w:eastAsia="zh-CN"/>
              </w:rPr>
              <w:t>采购人</w:t>
            </w:r>
            <w:r>
              <w:rPr>
                <w:b w:val="0"/>
                <w:bCs/>
                <w:sz w:val="24"/>
                <w:szCs w:val="24"/>
              </w:rPr>
              <w:t>有权单方解除合同。</w:t>
            </w:r>
          </w:p>
          <w:p w14:paraId="1B065A57">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3)从瓜果蔬菜色泽看，各种瓜果蔬菜都应具有本品种固有的颜色，大多数有发亮的光泽，以此显示瓜果蔬菜的成熟度及鲜嫩程度。</w:t>
            </w:r>
          </w:p>
          <w:p w14:paraId="1343B8D4">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4)从瓜果蔬菜气味看，多数瓜果蔬菜具有清馨、甘辛香、甜酸香等气味，可凭嗅觉识别不同品种的质量，不允许有腐烂变质的亚硝酸盐味和其他异常气味。</w:t>
            </w:r>
          </w:p>
          <w:p w14:paraId="5F10DF96">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5)从瓜果蔬菜滋味看，因品种不同而各异，多数瓜果蔬菜滋味甘淡、甜酸、清爽鲜美，少数具有辛酸、苦涩等特殊风味以刺激食欲，如失去本品种原有的滋味即为异常。</w:t>
            </w:r>
          </w:p>
          <w:p w14:paraId="5646965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6)从瓜果蔬菜形态看，应尽量避免由于客观因素而造成的各种非正常、不新鲜的瓜果蔬菜，例如萎蔫、枯塌、损伤、病变、虫害侵蚀等引起的形态异常等。</w:t>
            </w:r>
          </w:p>
          <w:p w14:paraId="51D0047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（2）供应和管理要求</w:t>
            </w:r>
          </w:p>
          <w:p w14:paraId="6A57FEAE">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1)瓜果蔬菜供应的品种安排（分主菜和配菜）</w:t>
            </w:r>
          </w:p>
          <w:p w14:paraId="21D19C9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①配菜品种按</w:t>
            </w:r>
            <w:r>
              <w:rPr>
                <w:rFonts w:hint="eastAsia"/>
                <w:sz w:val="24"/>
                <w:szCs w:val="24"/>
                <w:lang w:eastAsia="zh-CN"/>
              </w:rPr>
              <w:t>采购人</w:t>
            </w:r>
            <w:r>
              <w:rPr>
                <w:sz w:val="24"/>
                <w:szCs w:val="24"/>
              </w:rPr>
              <w:t>计划和要求的品种供应；</w:t>
            </w:r>
          </w:p>
          <w:p w14:paraId="7152FB7B">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②主菜品种由供求双方根据季节安排，但要确保每周有 3 个品种或以上，每个品种不多于 2 次（含），6-9 月叶菜类不少于 30％（含），其余时间叶菜类不少于 50％（含）。</w:t>
            </w:r>
          </w:p>
          <w:p w14:paraId="17177281">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2)瓜果蔬菜包装与标志要求：</w:t>
            </w:r>
          </w:p>
          <w:p w14:paraId="49218D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包装：容器(框、箱、袋)要求清洁、干燥、牢固、透气，无污染、无异味、无霉变现象。标志：每件包装必须按《农产品包装和标识管理办法》贴标签，并标明产地、品种、净含量、生产单位及地址和采收日期，有使用有效期的货品，其剩余有效期不得少于标注有效期的 60%（含）。</w:t>
            </w:r>
          </w:p>
          <w:p w14:paraId="258187B7">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3)食品供应链要求：所有提供的货物必须具有可溯源的合法票证。</w:t>
            </w:r>
          </w:p>
          <w:p w14:paraId="429D13C6">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4)瓜果蔬菜卫生质量要求符合GB-2763 食品中农药最大残留限量。</w:t>
            </w:r>
          </w:p>
          <w:p w14:paraId="0EFE7E9E">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5)抽查发现食品安全质量问题的处理：</w:t>
            </w:r>
          </w:p>
          <w:p w14:paraId="48A9975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①对危及人身安全的食品质量问题采取零容忍措施，一经发现，当日所送同批次产品全部退货，如产品中发现农药残留超标，腐败变质等。</w:t>
            </w:r>
          </w:p>
          <w:p w14:paraId="6CDC6E09">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②若抽查未发现问题，而在加工食用前发现部分产品质量问题，应立即通知各单位伙食物资验收小组及中标人，将问题产品退货处理。</w:t>
            </w:r>
          </w:p>
          <w:p w14:paraId="0C1AD4A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6)不得提供其他违反食品安全法要求的货物。</w:t>
            </w:r>
          </w:p>
          <w:p w14:paraId="55566CD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7)瓜果蔬菜新鲜度的标准</w:t>
            </w:r>
          </w:p>
          <w:tbl>
            <w:tblPr>
              <w:tblStyle w:val="2"/>
              <w:tblW w:w="0" w:type="auto"/>
              <w:tblInd w:w="3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22"/>
              <w:gridCol w:w="5565"/>
            </w:tblGrid>
            <w:tr w14:paraId="3D0521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single" w:color="000000" w:sz="4" w:space="0"/>
                    <w:left w:val="single" w:color="000000" w:sz="4" w:space="0"/>
                    <w:bottom w:val="single" w:color="000000" w:sz="4" w:space="0"/>
                    <w:right w:val="single" w:color="000000" w:sz="4" w:space="0"/>
                  </w:tcBorders>
                  <w:shd w:val="clear" w:color="auto" w:fill="D9D9D9"/>
                  <w:vAlign w:val="top"/>
                </w:tcPr>
                <w:p w14:paraId="5E6F4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b/>
                      <w:sz w:val="24"/>
                      <w:szCs w:val="24"/>
                    </w:rPr>
                    <w:t>项目</w:t>
                  </w:r>
                </w:p>
              </w:tc>
              <w:tc>
                <w:tcPr>
                  <w:tcW w:w="5565" w:type="dxa"/>
                  <w:tcBorders>
                    <w:top w:val="single" w:color="000000" w:sz="4" w:space="0"/>
                    <w:left w:val="single" w:color="000000" w:sz="4" w:space="0"/>
                    <w:bottom w:val="single" w:color="000000" w:sz="4" w:space="0"/>
                    <w:right w:val="single" w:color="000000" w:sz="4" w:space="0"/>
                  </w:tcBorders>
                  <w:shd w:val="clear" w:color="auto" w:fill="D9D9D9"/>
                  <w:vAlign w:val="top"/>
                </w:tcPr>
                <w:p w14:paraId="1EB79E57">
                  <w:pPr>
                    <w:keepNext w:val="0"/>
                    <w:keepLines w:val="0"/>
                    <w:pageBreakBefore w:val="0"/>
                    <w:widowControl w:val="0"/>
                    <w:kinsoku/>
                    <w:wordWrap/>
                    <w:overflowPunct/>
                    <w:topLinePunct w:val="0"/>
                    <w:autoSpaceDE/>
                    <w:autoSpaceDN/>
                    <w:bidi w:val="0"/>
                    <w:adjustRightInd/>
                    <w:snapToGrid/>
                    <w:spacing w:line="400" w:lineRule="exact"/>
                    <w:ind w:firstLine="1476"/>
                    <w:textAlignment w:val="auto"/>
                    <w:rPr>
                      <w:sz w:val="24"/>
                      <w:szCs w:val="24"/>
                    </w:rPr>
                  </w:pPr>
                  <w:r>
                    <w:rPr>
                      <w:b/>
                      <w:sz w:val="24"/>
                      <w:szCs w:val="24"/>
                    </w:rPr>
                    <w:t>标准</w:t>
                  </w:r>
                </w:p>
              </w:tc>
            </w:tr>
            <w:tr w14:paraId="0514D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7D1B4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水量</w:t>
                  </w:r>
                </w:p>
              </w:tc>
              <w:tc>
                <w:tcPr>
                  <w:tcW w:w="5565" w:type="dxa"/>
                  <w:tcBorders>
                    <w:top w:val="nil"/>
                    <w:left w:val="single" w:color="000000" w:sz="4" w:space="0"/>
                    <w:bottom w:val="single" w:color="000000" w:sz="4" w:space="0"/>
                    <w:right w:val="single" w:color="000000" w:sz="4" w:space="0"/>
                  </w:tcBorders>
                  <w:vAlign w:val="top"/>
                </w:tcPr>
                <w:p w14:paraId="21C5790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充足、但无过份萎蔫、皱皮。</w:t>
                  </w:r>
                </w:p>
              </w:tc>
            </w:tr>
            <w:tr w14:paraId="0A4DD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2962D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色泽</w:t>
                  </w:r>
                </w:p>
              </w:tc>
              <w:tc>
                <w:tcPr>
                  <w:tcW w:w="5565" w:type="dxa"/>
                  <w:tcBorders>
                    <w:top w:val="nil"/>
                    <w:left w:val="single" w:color="000000" w:sz="4" w:space="0"/>
                    <w:bottom w:val="single" w:color="000000" w:sz="4" w:space="0"/>
                    <w:right w:val="single" w:color="000000" w:sz="4" w:space="0"/>
                  </w:tcBorders>
                  <w:vAlign w:val="top"/>
                </w:tcPr>
                <w:p w14:paraId="3DB9D925">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正常、无变色、光泽、学亮鲜艳。</w:t>
                  </w:r>
                </w:p>
              </w:tc>
            </w:tr>
            <w:tr w14:paraId="51F1B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2A2EFC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硬度</w:t>
                  </w:r>
                </w:p>
              </w:tc>
              <w:tc>
                <w:tcPr>
                  <w:tcW w:w="5565" w:type="dxa"/>
                  <w:tcBorders>
                    <w:top w:val="nil"/>
                    <w:left w:val="single" w:color="000000" w:sz="4" w:space="0"/>
                    <w:bottom w:val="single" w:color="000000" w:sz="4" w:space="0"/>
                    <w:right w:val="single" w:color="000000" w:sz="4" w:space="0"/>
                  </w:tcBorders>
                  <w:vAlign w:val="top"/>
                </w:tcPr>
                <w:p w14:paraId="2E176FC9">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叶菜挺立、瓜菜饱满、结实、无空心、根菜略硬。</w:t>
                  </w:r>
                </w:p>
              </w:tc>
            </w:tr>
            <w:tr w14:paraId="783E6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3B2C2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机械伤</w:t>
                  </w:r>
                </w:p>
              </w:tc>
              <w:tc>
                <w:tcPr>
                  <w:tcW w:w="5565" w:type="dxa"/>
                  <w:tcBorders>
                    <w:top w:val="nil"/>
                    <w:left w:val="single" w:color="000000" w:sz="4" w:space="0"/>
                    <w:bottom w:val="single" w:color="000000" w:sz="4" w:space="0"/>
                    <w:right w:val="single" w:color="000000" w:sz="4" w:space="0"/>
                  </w:tcBorders>
                  <w:vAlign w:val="top"/>
                </w:tcPr>
                <w:p w14:paraId="7A56961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相同新鲜条件下无外力造成伤害：挤伤、压伤、碰伤切口、裂伤等。</w:t>
                  </w:r>
                </w:p>
              </w:tc>
            </w:tr>
            <w:tr w14:paraId="1022D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460AE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病虫害</w:t>
                  </w:r>
                </w:p>
              </w:tc>
              <w:tc>
                <w:tcPr>
                  <w:tcW w:w="5565" w:type="dxa"/>
                  <w:tcBorders>
                    <w:top w:val="nil"/>
                    <w:left w:val="single" w:color="000000" w:sz="4" w:space="0"/>
                    <w:bottom w:val="single" w:color="000000" w:sz="4" w:space="0"/>
                    <w:right w:val="single" w:color="000000" w:sz="4" w:space="0"/>
                  </w:tcBorders>
                  <w:vAlign w:val="top"/>
                </w:tcPr>
                <w:p w14:paraId="1F8A62F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无虫害、虫嗑、无残虫卵。</w:t>
                  </w:r>
                </w:p>
              </w:tc>
            </w:tr>
            <w:tr w14:paraId="60006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729C71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形状</w:t>
                  </w:r>
                </w:p>
              </w:tc>
              <w:tc>
                <w:tcPr>
                  <w:tcW w:w="5565" w:type="dxa"/>
                  <w:tcBorders>
                    <w:top w:val="nil"/>
                    <w:left w:val="single" w:color="000000" w:sz="4" w:space="0"/>
                    <w:bottom w:val="single" w:color="000000" w:sz="4" w:space="0"/>
                    <w:right w:val="single" w:color="000000" w:sz="4" w:space="0"/>
                  </w:tcBorders>
                  <w:vAlign w:val="top"/>
                </w:tcPr>
                <w:p w14:paraId="2ED49BD0">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枝叶丰满、大小适中、曲线谐调。</w:t>
                  </w:r>
                </w:p>
              </w:tc>
            </w:tr>
            <w:tr w14:paraId="44DA4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2CCE4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成熟度</w:t>
                  </w:r>
                </w:p>
              </w:tc>
              <w:tc>
                <w:tcPr>
                  <w:tcW w:w="5565" w:type="dxa"/>
                  <w:tcBorders>
                    <w:top w:val="nil"/>
                    <w:left w:val="single" w:color="000000" w:sz="4" w:space="0"/>
                    <w:bottom w:val="single" w:color="000000" w:sz="4" w:space="0"/>
                    <w:right w:val="single" w:color="000000" w:sz="4" w:space="0"/>
                  </w:tcBorders>
                  <w:vAlign w:val="top"/>
                </w:tcPr>
                <w:p w14:paraId="13573D2B">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适中、无未熟过识、腐烂。</w:t>
                  </w:r>
                </w:p>
              </w:tc>
            </w:tr>
            <w:tr w14:paraId="59F40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4BFE9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污染</w:t>
                  </w:r>
                </w:p>
              </w:tc>
              <w:tc>
                <w:tcPr>
                  <w:tcW w:w="5565" w:type="dxa"/>
                  <w:tcBorders>
                    <w:top w:val="nil"/>
                    <w:left w:val="single" w:color="000000" w:sz="4" w:space="0"/>
                    <w:bottom w:val="single" w:color="000000" w:sz="4" w:space="0"/>
                    <w:right w:val="single" w:color="000000" w:sz="4" w:space="0"/>
                  </w:tcBorders>
                  <w:vAlign w:val="top"/>
                </w:tcPr>
                <w:p w14:paraId="6875DB45">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无污染、残留农药、运输造成的污染。</w:t>
                  </w:r>
                </w:p>
              </w:tc>
            </w:tr>
            <w:tr w14:paraId="64AE6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5FC1A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有包装的</w:t>
                  </w:r>
                </w:p>
              </w:tc>
              <w:tc>
                <w:tcPr>
                  <w:tcW w:w="5565" w:type="dxa"/>
                  <w:tcBorders>
                    <w:top w:val="nil"/>
                    <w:left w:val="single" w:color="000000" w:sz="4" w:space="0"/>
                    <w:bottom w:val="single" w:color="000000" w:sz="4" w:space="0"/>
                    <w:right w:val="single" w:color="000000" w:sz="4" w:space="0"/>
                  </w:tcBorders>
                  <w:vAlign w:val="top"/>
                </w:tcPr>
                <w:p w14:paraId="2ED3BD9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应完整、干净。</w:t>
                  </w:r>
                </w:p>
              </w:tc>
            </w:tr>
            <w:tr w14:paraId="136706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22" w:type="dxa"/>
                  <w:tcBorders>
                    <w:top w:val="nil"/>
                    <w:left w:val="single" w:color="000000" w:sz="4" w:space="0"/>
                    <w:bottom w:val="single" w:color="000000" w:sz="4" w:space="0"/>
                    <w:right w:val="single" w:color="000000" w:sz="4" w:space="0"/>
                  </w:tcBorders>
                  <w:vAlign w:val="top"/>
                </w:tcPr>
                <w:p w14:paraId="35D73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重量</w:t>
                  </w:r>
                </w:p>
              </w:tc>
              <w:tc>
                <w:tcPr>
                  <w:tcW w:w="5565" w:type="dxa"/>
                  <w:tcBorders>
                    <w:top w:val="nil"/>
                    <w:left w:val="single" w:color="000000" w:sz="4" w:space="0"/>
                    <w:bottom w:val="single" w:color="000000" w:sz="4" w:space="0"/>
                    <w:right w:val="single" w:color="000000" w:sz="4" w:space="0"/>
                  </w:tcBorders>
                  <w:vAlign w:val="top"/>
                </w:tcPr>
                <w:p w14:paraId="0BF5D82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供菜重量须达到</w:t>
                  </w:r>
                  <w:r>
                    <w:rPr>
                      <w:rFonts w:hint="eastAsia"/>
                      <w:sz w:val="24"/>
                      <w:szCs w:val="24"/>
                      <w:lang w:eastAsia="zh-CN"/>
                    </w:rPr>
                    <w:t>采购人</w:t>
                  </w:r>
                  <w:r>
                    <w:rPr>
                      <w:sz w:val="24"/>
                      <w:szCs w:val="24"/>
                    </w:rPr>
                    <w:t>的供货需求重量。</w:t>
                  </w:r>
                </w:p>
              </w:tc>
            </w:tr>
          </w:tbl>
          <w:p w14:paraId="5BD10E1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8）瓜果蔬菜必须是新鲜的无公害瓜果蔬菜，蔬菜要切掉菜头部份，且符合国家食品卫生标准。具体为：</w:t>
            </w:r>
          </w:p>
          <w:tbl>
            <w:tblPr>
              <w:tblStyle w:val="2"/>
              <w:tblW w:w="0" w:type="auto"/>
              <w:tblInd w:w="3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5"/>
              <w:gridCol w:w="5712"/>
            </w:tblGrid>
            <w:tr w14:paraId="7D8F9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single" w:color="000000" w:sz="4" w:space="0"/>
                    <w:left w:val="single" w:color="000000" w:sz="4" w:space="0"/>
                    <w:bottom w:val="single" w:color="000000" w:sz="4" w:space="0"/>
                    <w:right w:val="single" w:color="000000" w:sz="4" w:space="0"/>
                  </w:tcBorders>
                  <w:shd w:val="clear" w:color="auto" w:fill="D9D9D9"/>
                  <w:vAlign w:val="top"/>
                </w:tcPr>
                <w:p w14:paraId="28D256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b/>
                      <w:sz w:val="24"/>
                      <w:szCs w:val="24"/>
                    </w:rPr>
                    <w:t>项目</w:t>
                  </w:r>
                </w:p>
              </w:tc>
              <w:tc>
                <w:tcPr>
                  <w:tcW w:w="5712" w:type="dxa"/>
                  <w:tcBorders>
                    <w:top w:val="single" w:color="000000" w:sz="4" w:space="0"/>
                    <w:left w:val="single" w:color="000000" w:sz="4" w:space="0"/>
                    <w:bottom w:val="single" w:color="000000" w:sz="4" w:space="0"/>
                    <w:right w:val="single" w:color="000000" w:sz="4" w:space="0"/>
                  </w:tcBorders>
                  <w:shd w:val="clear" w:color="auto" w:fill="D9D9D9"/>
                  <w:vAlign w:val="top"/>
                </w:tcPr>
                <w:p w14:paraId="48709509">
                  <w:pPr>
                    <w:keepNext w:val="0"/>
                    <w:keepLines w:val="0"/>
                    <w:pageBreakBefore w:val="0"/>
                    <w:widowControl w:val="0"/>
                    <w:kinsoku/>
                    <w:wordWrap/>
                    <w:overflowPunct/>
                    <w:topLinePunct w:val="0"/>
                    <w:autoSpaceDE/>
                    <w:autoSpaceDN/>
                    <w:bidi w:val="0"/>
                    <w:adjustRightInd/>
                    <w:snapToGrid/>
                    <w:spacing w:line="400" w:lineRule="exact"/>
                    <w:ind w:firstLine="843"/>
                    <w:jc w:val="left"/>
                    <w:textAlignment w:val="auto"/>
                    <w:rPr>
                      <w:sz w:val="24"/>
                      <w:szCs w:val="24"/>
                    </w:rPr>
                  </w:pPr>
                  <w:r>
                    <w:rPr>
                      <w:b/>
                      <w:sz w:val="24"/>
                      <w:szCs w:val="24"/>
                    </w:rPr>
                    <w:t>国家食品卫生标准</w:t>
                  </w:r>
                </w:p>
              </w:tc>
            </w:tr>
            <w:tr w14:paraId="0ED628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49E081D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7B905189">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叶菜类</w:t>
                  </w:r>
                </w:p>
              </w:tc>
              <w:tc>
                <w:tcPr>
                  <w:tcW w:w="5712" w:type="dxa"/>
                  <w:tcBorders>
                    <w:top w:val="nil"/>
                    <w:left w:val="single" w:color="000000" w:sz="4" w:space="0"/>
                    <w:bottom w:val="single" w:color="000000" w:sz="4" w:space="0"/>
                    <w:right w:val="single" w:color="000000" w:sz="4" w:space="0"/>
                  </w:tcBorders>
                  <w:vAlign w:val="top"/>
                </w:tcPr>
                <w:p w14:paraId="43A77D86">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大白菜、小白菜、菠菜、空心菜、芹菜、荠菜等绿叶菜类。</w:t>
                  </w:r>
                </w:p>
                <w:p w14:paraId="4E1BE223">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属同一品种规格，鲜嫩形态好，色泽正常，茎基部削平，无枯黄叶、病叶、泥土、明显机械伤和病虫害伤，无烧心焦边、腐烂等现象，无抽苔（菜心除外），无畸形、异味，结球叶菜要结球适度，花椰菜应新鲜洁白，不带叶麸，无畸形花。</w:t>
                  </w:r>
                </w:p>
              </w:tc>
            </w:tr>
            <w:tr w14:paraId="3A719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6192D5F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264B8A09">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茄果类</w:t>
                  </w:r>
                </w:p>
              </w:tc>
              <w:tc>
                <w:tcPr>
                  <w:tcW w:w="5712" w:type="dxa"/>
                  <w:tcBorders>
                    <w:top w:val="nil"/>
                    <w:left w:val="single" w:color="000000" w:sz="4" w:space="0"/>
                    <w:bottom w:val="single" w:color="000000" w:sz="4" w:space="0"/>
                    <w:right w:val="single" w:color="000000" w:sz="4" w:space="0"/>
                  </w:tcBorders>
                  <w:vAlign w:val="top"/>
                </w:tcPr>
                <w:p w14:paraId="3EDF88A9">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番茄、茄子等。属同一品种规格，果实整洁，成熟度适中，番茄花蒂不明显，无裂果及空洞现象，茄果不能有裂蒂及果皮变硬现象，无腐烂、无畸形、异味、无明显机械伤。</w:t>
                  </w:r>
                </w:p>
              </w:tc>
            </w:tr>
            <w:tr w14:paraId="3C1F3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4B962AD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11CB3E0B">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瓜果类</w:t>
                  </w:r>
                </w:p>
              </w:tc>
              <w:tc>
                <w:tcPr>
                  <w:tcW w:w="5712" w:type="dxa"/>
                  <w:tcBorders>
                    <w:top w:val="nil"/>
                    <w:left w:val="single" w:color="000000" w:sz="4" w:space="0"/>
                    <w:bottom w:val="single" w:color="000000" w:sz="4" w:space="0"/>
                    <w:right w:val="single" w:color="000000" w:sz="4" w:space="0"/>
                  </w:tcBorders>
                  <w:vAlign w:val="top"/>
                </w:tcPr>
                <w:p w14:paraId="4998369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黄瓜、冬瓜、丝瓜、苦瓜、南瓜、毛节瓜等。属同一品种规格，形状、色泽一致，瓜条均匀，无疤点，无断裂、无腐烂、畸形、异味、无明显机械伤，不带泥土。</w:t>
                  </w:r>
                </w:p>
              </w:tc>
            </w:tr>
            <w:tr w14:paraId="3AB1A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179B0BC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58D328BC">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根菜类</w:t>
                  </w:r>
                </w:p>
              </w:tc>
              <w:tc>
                <w:tcPr>
                  <w:tcW w:w="5712" w:type="dxa"/>
                  <w:tcBorders>
                    <w:top w:val="nil"/>
                    <w:left w:val="single" w:color="000000" w:sz="4" w:space="0"/>
                    <w:bottom w:val="single" w:color="000000" w:sz="4" w:space="0"/>
                    <w:right w:val="single" w:color="000000" w:sz="4" w:space="0"/>
                  </w:tcBorders>
                  <w:vAlign w:val="top"/>
                </w:tcPr>
                <w:p w14:paraId="532D695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萝卜、大头菜、沙葛等。属同一品种规格，皮细光滑，大小均匀，肉质脆嫩致密新鲜，无腐烂、畸形、裂痕、糠心、异味，不带泥沙，不带茎叶和须根。</w:t>
                  </w:r>
                </w:p>
              </w:tc>
            </w:tr>
            <w:tr w14:paraId="3EA88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4249DC2F">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5FCE788C">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薯芋类</w:t>
                  </w:r>
                </w:p>
              </w:tc>
              <w:tc>
                <w:tcPr>
                  <w:tcW w:w="5712" w:type="dxa"/>
                  <w:tcBorders>
                    <w:top w:val="nil"/>
                    <w:left w:val="single" w:color="000000" w:sz="4" w:space="0"/>
                    <w:bottom w:val="single" w:color="000000" w:sz="4" w:space="0"/>
                    <w:right w:val="single" w:color="000000" w:sz="4" w:space="0"/>
                  </w:tcBorders>
                  <w:vAlign w:val="top"/>
                </w:tcPr>
                <w:p w14:paraId="7156623F">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马铃薯。属同一品种规格，色泽一致，不带泥沙，不带须根、茎叶、不干瘪，无腐烂、畸形、异味、明显机械伤、病虫害斑，马铃薯无发芽，皮不变绿。</w:t>
                  </w:r>
                </w:p>
              </w:tc>
            </w:tr>
            <w:tr w14:paraId="03332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0A16EB1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p w14:paraId="21F6D459">
                  <w:pPr>
                    <w:keepNext w:val="0"/>
                    <w:keepLines w:val="0"/>
                    <w:pageBreakBefore w:val="0"/>
                    <w:widowControl w:val="0"/>
                    <w:kinsoku/>
                    <w:wordWrap/>
                    <w:overflowPunct/>
                    <w:topLinePunct w:val="0"/>
                    <w:autoSpaceDE/>
                    <w:autoSpaceDN/>
                    <w:bidi w:val="0"/>
                    <w:adjustRightInd/>
                    <w:snapToGrid/>
                    <w:spacing w:line="400" w:lineRule="exact"/>
                    <w:ind w:firstLine="315"/>
                    <w:textAlignment w:val="auto"/>
                    <w:rPr>
                      <w:sz w:val="24"/>
                      <w:szCs w:val="24"/>
                    </w:rPr>
                  </w:pPr>
                  <w:r>
                    <w:rPr>
                      <w:sz w:val="24"/>
                      <w:szCs w:val="24"/>
                    </w:rPr>
                    <w:t>豆类</w:t>
                  </w:r>
                </w:p>
              </w:tc>
              <w:tc>
                <w:tcPr>
                  <w:tcW w:w="5712" w:type="dxa"/>
                  <w:tcBorders>
                    <w:top w:val="nil"/>
                    <w:left w:val="single" w:color="000000" w:sz="4" w:space="0"/>
                    <w:bottom w:val="single" w:color="000000" w:sz="4" w:space="0"/>
                    <w:right w:val="single" w:color="000000" w:sz="4" w:space="0"/>
                  </w:tcBorders>
                  <w:vAlign w:val="top"/>
                </w:tcPr>
                <w:p w14:paraId="59AE676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扁豆、豌豆、豆角等。形态完整，成熟度适中，无腐烂、畸形、异味，豆荚类新鲜、幼嫩、均匀，豆类籽粒饱满，较均匀，无发芽，不带泥土杂质。</w:t>
                  </w:r>
                </w:p>
              </w:tc>
            </w:tr>
            <w:tr w14:paraId="6D9F4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5" w:type="dxa"/>
                  <w:tcBorders>
                    <w:top w:val="nil"/>
                    <w:left w:val="single" w:color="000000" w:sz="4" w:space="0"/>
                    <w:bottom w:val="single" w:color="000000" w:sz="4" w:space="0"/>
                    <w:right w:val="single" w:color="000000" w:sz="4" w:space="0"/>
                  </w:tcBorders>
                  <w:vAlign w:val="top"/>
                </w:tcPr>
                <w:p w14:paraId="10BEEF02">
                  <w:pPr>
                    <w:keepNext w:val="0"/>
                    <w:keepLines w:val="0"/>
                    <w:pageBreakBefore w:val="0"/>
                    <w:widowControl w:val="0"/>
                    <w:kinsoku/>
                    <w:wordWrap/>
                    <w:overflowPunct/>
                    <w:topLinePunct w:val="0"/>
                    <w:autoSpaceDE/>
                    <w:autoSpaceDN/>
                    <w:bidi w:val="0"/>
                    <w:adjustRightInd/>
                    <w:snapToGrid/>
                    <w:spacing w:line="400" w:lineRule="exact"/>
                    <w:ind w:firstLine="210"/>
                    <w:textAlignment w:val="auto"/>
                    <w:rPr>
                      <w:sz w:val="24"/>
                      <w:szCs w:val="24"/>
                    </w:rPr>
                  </w:pPr>
                  <w:r>
                    <w:rPr>
                      <w:sz w:val="24"/>
                      <w:szCs w:val="24"/>
                    </w:rPr>
                    <w:t>芽苗类</w:t>
                  </w:r>
                </w:p>
              </w:tc>
              <w:tc>
                <w:tcPr>
                  <w:tcW w:w="5712" w:type="dxa"/>
                  <w:tcBorders>
                    <w:top w:val="nil"/>
                    <w:left w:val="single" w:color="000000" w:sz="4" w:space="0"/>
                    <w:bottom w:val="single" w:color="000000" w:sz="4" w:space="0"/>
                    <w:right w:val="single" w:color="000000" w:sz="4" w:space="0"/>
                  </w:tcBorders>
                  <w:vAlign w:val="top"/>
                </w:tcPr>
                <w:p w14:paraId="0884BE6F">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绿豆芽、黄豆芽等。芽苗幼嫩，不带豆壳杂质，新鲜，不浸水，无腐烂、异味。</w:t>
                  </w:r>
                </w:p>
              </w:tc>
            </w:tr>
          </w:tbl>
          <w:p w14:paraId="4E6BE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p>
          <w:p w14:paraId="35237BF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3.粮油、干货、调味品、副食品</w:t>
            </w:r>
          </w:p>
          <w:p w14:paraId="614EF9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中标人提供的产品须符合国家粮食卫生标准，不得出现腐烂、变质、油脂酸败、虫蛀结块挂丝、杂质异物、污秽不结混有异物或者其他感官性状异常，或可能对人体健康有害的物质。产品具有固有的色泽和香味，无异味或霉味（变）等。</w:t>
            </w:r>
          </w:p>
          <w:p w14:paraId="3497BC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产品必须符合食品卫生要求，不得使用劣质原料，不得添加有毒物质，不得超量使用食品添加剂，不得滥用非食品加工用化学添加剂。禁止提供有毒、有害、腐烂变质、超过保质期限酸败、霉变、混有异物或其他感官性状异常的产品。</w:t>
            </w:r>
          </w:p>
          <w:p w14:paraId="0E9597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食品包装完整，标识符合国家相关标准规范且标明货物名称、规格、生产商、产地、生产日期、保质期或保存期等，具有检验合格证书。</w:t>
            </w:r>
          </w:p>
          <w:p w14:paraId="3B4B4D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对食品的品质要求，必须符合国家食品最新有关标准和下列规格要求，包括但不限于以下种类：</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7"/>
              <w:gridCol w:w="839"/>
              <w:gridCol w:w="5401"/>
            </w:tblGrid>
            <w:tr w14:paraId="0A9D2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single" w:color="000000" w:sz="4" w:space="0"/>
                    <w:left w:val="single" w:color="000000" w:sz="4" w:space="0"/>
                    <w:bottom w:val="single" w:color="000000" w:sz="4" w:space="0"/>
                    <w:right w:val="single" w:color="000000" w:sz="4" w:space="0"/>
                  </w:tcBorders>
                  <w:vAlign w:val="top"/>
                </w:tcPr>
                <w:p w14:paraId="506E9D1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sz w:val="24"/>
                      <w:szCs w:val="24"/>
                    </w:rPr>
                  </w:pPr>
                  <w:r>
                    <w:rPr>
                      <w:sz w:val="24"/>
                      <w:szCs w:val="24"/>
                    </w:rPr>
                    <w:t>序号</w:t>
                  </w:r>
                </w:p>
              </w:tc>
              <w:tc>
                <w:tcPr>
                  <w:tcW w:w="839" w:type="dxa"/>
                  <w:tcBorders>
                    <w:top w:val="single" w:color="000000" w:sz="4" w:space="0"/>
                    <w:left w:val="single" w:color="000000" w:sz="4" w:space="0"/>
                    <w:bottom w:val="single" w:color="000000" w:sz="4" w:space="0"/>
                    <w:right w:val="single" w:color="000000" w:sz="4" w:space="0"/>
                  </w:tcBorders>
                  <w:vAlign w:val="top"/>
                </w:tcPr>
                <w:p w14:paraId="66AC4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品名</w:t>
                  </w:r>
                </w:p>
              </w:tc>
              <w:tc>
                <w:tcPr>
                  <w:tcW w:w="5401" w:type="dxa"/>
                  <w:tcBorders>
                    <w:top w:val="single" w:color="000000" w:sz="4" w:space="0"/>
                    <w:left w:val="single" w:color="000000" w:sz="4" w:space="0"/>
                    <w:bottom w:val="single" w:color="000000" w:sz="4" w:space="0"/>
                    <w:right w:val="single" w:color="000000" w:sz="4" w:space="0"/>
                  </w:tcBorders>
                  <w:vAlign w:val="top"/>
                </w:tcPr>
                <w:p w14:paraId="77386AF8">
                  <w:pPr>
                    <w:keepNext w:val="0"/>
                    <w:keepLines w:val="0"/>
                    <w:pageBreakBefore w:val="0"/>
                    <w:widowControl w:val="0"/>
                    <w:kinsoku/>
                    <w:wordWrap/>
                    <w:overflowPunct/>
                    <w:topLinePunct w:val="0"/>
                    <w:autoSpaceDE/>
                    <w:autoSpaceDN/>
                    <w:bidi w:val="0"/>
                    <w:adjustRightInd/>
                    <w:snapToGrid/>
                    <w:spacing w:line="400" w:lineRule="exact"/>
                    <w:ind w:firstLine="1575"/>
                    <w:jc w:val="both"/>
                    <w:textAlignment w:val="auto"/>
                    <w:rPr>
                      <w:sz w:val="24"/>
                      <w:szCs w:val="24"/>
                    </w:rPr>
                  </w:pPr>
                  <w:r>
                    <w:rPr>
                      <w:sz w:val="24"/>
                      <w:szCs w:val="24"/>
                    </w:rPr>
                    <w:t>质量描述</w:t>
                  </w:r>
                </w:p>
              </w:tc>
            </w:tr>
            <w:tr w14:paraId="0BCC9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31F84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w:t>
                  </w:r>
                </w:p>
              </w:tc>
              <w:tc>
                <w:tcPr>
                  <w:tcW w:w="839" w:type="dxa"/>
                  <w:tcBorders>
                    <w:top w:val="nil"/>
                    <w:left w:val="single" w:color="000000" w:sz="4" w:space="0"/>
                    <w:bottom w:val="single" w:color="000000" w:sz="4" w:space="0"/>
                    <w:right w:val="single" w:color="000000" w:sz="4" w:space="0"/>
                  </w:tcBorders>
                  <w:vAlign w:val="top"/>
                </w:tcPr>
                <w:p w14:paraId="5B11AB4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sz w:val="24"/>
                      <w:szCs w:val="24"/>
                    </w:rPr>
                    <w:t>大米</w:t>
                  </w:r>
                </w:p>
              </w:tc>
              <w:tc>
                <w:tcPr>
                  <w:tcW w:w="5401" w:type="dxa"/>
                  <w:tcBorders>
                    <w:top w:val="nil"/>
                    <w:left w:val="single" w:color="000000" w:sz="4" w:space="0"/>
                    <w:bottom w:val="single" w:color="000000" w:sz="4" w:space="0"/>
                    <w:right w:val="single" w:color="000000" w:sz="4" w:space="0"/>
                  </w:tcBorders>
                  <w:vAlign w:val="top"/>
                </w:tcPr>
                <w:p w14:paraId="017C92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1、米类执行标准：大米国家标准（GB1354-86）与国家粮食卫生标准（GB2715-2005），一等米，不含添加剂。</w:t>
                  </w:r>
                </w:p>
                <w:p w14:paraId="744461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2、大米的质量标准：除符合标准一等米外，要求：</w:t>
                  </w:r>
                </w:p>
                <w:p w14:paraId="7079B1C9">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sz w:val="24"/>
                      <w:szCs w:val="24"/>
                    </w:rPr>
                  </w:pPr>
                  <w:r>
                    <w:rPr>
                      <w:sz w:val="24"/>
                      <w:szCs w:val="24"/>
                    </w:rPr>
                    <w:t>碎米总量不低于国家标准；</w:t>
                  </w:r>
                </w:p>
                <w:p w14:paraId="35170B80">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sz w:val="24"/>
                      <w:szCs w:val="24"/>
                    </w:rPr>
                  </w:pPr>
                  <w:r>
                    <w:rPr>
                      <w:sz w:val="24"/>
                      <w:szCs w:val="24"/>
                    </w:rPr>
                    <w:t>小碎米总量不低于国家标准；</w:t>
                  </w:r>
                </w:p>
                <w:p w14:paraId="025D1EBB">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sz w:val="24"/>
                      <w:szCs w:val="24"/>
                    </w:rPr>
                  </w:pPr>
                  <w:r>
                    <w:rPr>
                      <w:sz w:val="24"/>
                      <w:szCs w:val="24"/>
                    </w:rPr>
                    <w:t>不完善粒不低于国家标准；</w:t>
                  </w:r>
                </w:p>
                <w:p w14:paraId="79057C22">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sz w:val="24"/>
                      <w:szCs w:val="24"/>
                    </w:rPr>
                  </w:pPr>
                  <w:r>
                    <w:rPr>
                      <w:sz w:val="24"/>
                      <w:szCs w:val="24"/>
                    </w:rPr>
                    <w:t>黄米粒按国家标准执行。</w:t>
                  </w:r>
                </w:p>
                <w:p w14:paraId="196711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3、标明加工厂名称、品名、生产日期、保持期或保存期，供货时的剩余保质期不少于二分之一，质量等级、产品标准号、产品合格证。</w:t>
                  </w:r>
                </w:p>
                <w:p w14:paraId="2B2EC2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4、具有固有色泽和香味，无污染、无虫害，色泽、气味、口味正常，无异味或霉味（霉变），无虫蛀结块挂丝或杂质异等，符合国家粮食卫生标准。</w:t>
                  </w:r>
                </w:p>
              </w:tc>
            </w:tr>
            <w:tr w14:paraId="4C4BC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415EA3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w:t>
                  </w:r>
                </w:p>
              </w:tc>
              <w:tc>
                <w:tcPr>
                  <w:tcW w:w="839" w:type="dxa"/>
                  <w:tcBorders>
                    <w:top w:val="nil"/>
                    <w:left w:val="single" w:color="000000" w:sz="4" w:space="0"/>
                    <w:bottom w:val="single" w:color="000000" w:sz="4" w:space="0"/>
                    <w:right w:val="single" w:color="000000" w:sz="4" w:space="0"/>
                  </w:tcBorders>
                  <w:vAlign w:val="top"/>
                </w:tcPr>
                <w:p w14:paraId="07A5A5C4">
                  <w:pPr>
                    <w:keepNext w:val="0"/>
                    <w:keepLines w:val="0"/>
                    <w:pageBreakBefore w:val="0"/>
                    <w:widowControl w:val="0"/>
                    <w:kinsoku/>
                    <w:wordWrap/>
                    <w:overflowPunct/>
                    <w:topLinePunct w:val="0"/>
                    <w:autoSpaceDE/>
                    <w:autoSpaceDN/>
                    <w:bidi w:val="0"/>
                    <w:adjustRightInd/>
                    <w:snapToGrid/>
                    <w:spacing w:line="400" w:lineRule="exact"/>
                    <w:ind w:firstLine="315"/>
                    <w:textAlignment w:val="auto"/>
                    <w:rPr>
                      <w:sz w:val="24"/>
                      <w:szCs w:val="24"/>
                    </w:rPr>
                  </w:pPr>
                  <w:r>
                    <w:rPr>
                      <w:sz w:val="24"/>
                      <w:szCs w:val="24"/>
                    </w:rPr>
                    <w:t>食用油</w:t>
                  </w:r>
                </w:p>
              </w:tc>
              <w:tc>
                <w:tcPr>
                  <w:tcW w:w="5401" w:type="dxa"/>
                  <w:tcBorders>
                    <w:top w:val="nil"/>
                    <w:left w:val="single" w:color="000000" w:sz="4" w:space="0"/>
                    <w:bottom w:val="single" w:color="000000" w:sz="4" w:space="0"/>
                    <w:right w:val="single" w:color="000000" w:sz="4" w:space="0"/>
                  </w:tcBorders>
                  <w:vAlign w:val="top"/>
                </w:tcPr>
                <w:p w14:paraId="702605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1、油类执行标准：花生油：GB 1534-2003</w:t>
                  </w:r>
                </w:p>
                <w:p w14:paraId="68129E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2、油类质量要求：必须符合国家有关标准，并标明“非转基因产品”。</w:t>
                  </w:r>
                </w:p>
                <w:p w14:paraId="20ABB0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3、外包装完好，标明品名、厂名、重量、生产日期、保质期或保存期、执行标准，剩余保质期不少于二分之一，具有产品合格证。具有正常植物油的色泽、透明度、气味和滋味，无焦臭、酸败及其他异味。</w:t>
                  </w:r>
                </w:p>
                <w:p w14:paraId="6B2B28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4、加热试验（280℃）油色不得变深，无析出物。</w:t>
                  </w:r>
                </w:p>
                <w:p w14:paraId="0C0472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5、不得混有其他食用油或非食用油。</w:t>
                  </w:r>
                </w:p>
                <w:p w14:paraId="4FC74D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6、卫生标准和动植物检疫项目，按照国家有关规定执行。</w:t>
                  </w:r>
                </w:p>
              </w:tc>
            </w:tr>
            <w:tr w14:paraId="69D11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08E27E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3</w:t>
                  </w:r>
                </w:p>
              </w:tc>
              <w:tc>
                <w:tcPr>
                  <w:tcW w:w="839" w:type="dxa"/>
                  <w:tcBorders>
                    <w:top w:val="nil"/>
                    <w:left w:val="single" w:color="000000" w:sz="4" w:space="0"/>
                    <w:bottom w:val="single" w:color="000000" w:sz="4" w:space="0"/>
                    <w:right w:val="single" w:color="000000" w:sz="4" w:space="0"/>
                  </w:tcBorders>
                  <w:vAlign w:val="top"/>
                </w:tcPr>
                <w:p w14:paraId="06A24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淀粉制品</w:t>
                  </w:r>
                </w:p>
              </w:tc>
              <w:tc>
                <w:tcPr>
                  <w:tcW w:w="5401" w:type="dxa"/>
                  <w:tcBorders>
                    <w:top w:val="nil"/>
                    <w:left w:val="single" w:color="000000" w:sz="4" w:space="0"/>
                    <w:bottom w:val="single" w:color="000000" w:sz="4" w:space="0"/>
                    <w:right w:val="single" w:color="000000" w:sz="4" w:space="0"/>
                  </w:tcBorders>
                  <w:vAlign w:val="top"/>
                </w:tcPr>
                <w:p w14:paraId="5EC7D1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具有各自品种固有的形态和色泽，不酸、不粘、不发霉，无变质，无异味，无杂质，口尝无砂质。</w:t>
                  </w:r>
                </w:p>
              </w:tc>
            </w:tr>
            <w:tr w14:paraId="66F0A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00BA02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4</w:t>
                  </w:r>
                </w:p>
              </w:tc>
              <w:tc>
                <w:tcPr>
                  <w:tcW w:w="839" w:type="dxa"/>
                  <w:tcBorders>
                    <w:top w:val="nil"/>
                    <w:left w:val="single" w:color="000000" w:sz="4" w:space="0"/>
                    <w:bottom w:val="single" w:color="000000" w:sz="4" w:space="0"/>
                    <w:right w:val="single" w:color="000000" w:sz="4" w:space="0"/>
                  </w:tcBorders>
                  <w:vAlign w:val="top"/>
                </w:tcPr>
                <w:p w14:paraId="2E323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361A85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6ED06D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面粉</w:t>
                  </w:r>
                </w:p>
              </w:tc>
              <w:tc>
                <w:tcPr>
                  <w:tcW w:w="5401" w:type="dxa"/>
                  <w:tcBorders>
                    <w:top w:val="nil"/>
                    <w:left w:val="single" w:color="000000" w:sz="4" w:space="0"/>
                    <w:bottom w:val="single" w:color="000000" w:sz="4" w:space="0"/>
                    <w:right w:val="single" w:color="000000" w:sz="4" w:space="0"/>
                  </w:tcBorders>
                  <w:vAlign w:val="top"/>
                </w:tcPr>
                <w:p w14:paraId="71460C1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1、面粉等级为中筋面粉（即普通面粉）。</w:t>
                  </w:r>
                </w:p>
                <w:p w14:paraId="3FF343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2、要新鲜、色泽呈现乳白或微黄色、手感细腻、均匀、有自然浓郁的麦香味、手抓后自然流出、松开手后不成团、用它制成的成品如馒头有麦香味、香甜入口不粘牙、符合国家食品卫生标准。</w:t>
                  </w:r>
                </w:p>
                <w:p w14:paraId="16EC4B0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3、剩余保质期不少于二分之一。</w:t>
                  </w:r>
                </w:p>
              </w:tc>
            </w:tr>
            <w:tr w14:paraId="472A0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434C09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5</w:t>
                  </w:r>
                </w:p>
              </w:tc>
              <w:tc>
                <w:tcPr>
                  <w:tcW w:w="839" w:type="dxa"/>
                  <w:tcBorders>
                    <w:top w:val="nil"/>
                    <w:left w:val="single" w:color="000000" w:sz="4" w:space="0"/>
                    <w:bottom w:val="single" w:color="000000" w:sz="4" w:space="0"/>
                    <w:right w:val="single" w:color="000000" w:sz="4" w:space="0"/>
                  </w:tcBorders>
                  <w:vAlign w:val="top"/>
                </w:tcPr>
                <w:p w14:paraId="33BC2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酱油</w:t>
                  </w:r>
                </w:p>
              </w:tc>
              <w:tc>
                <w:tcPr>
                  <w:tcW w:w="5401" w:type="dxa"/>
                  <w:tcBorders>
                    <w:top w:val="nil"/>
                    <w:left w:val="single" w:color="000000" w:sz="4" w:space="0"/>
                    <w:bottom w:val="single" w:color="000000" w:sz="4" w:space="0"/>
                    <w:right w:val="single" w:color="000000" w:sz="4" w:space="0"/>
                  </w:tcBorders>
                  <w:vAlign w:val="top"/>
                </w:tcPr>
                <w:p w14:paraId="030D8EB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颜色比较红、亮，有光泽、透明，摇晃后产生的泡沫细腻，保持持久，挂碗现象好，有发黏的感觉。</w:t>
                  </w:r>
                </w:p>
              </w:tc>
            </w:tr>
            <w:tr w14:paraId="71196E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26E70A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6</w:t>
                  </w:r>
                </w:p>
              </w:tc>
              <w:tc>
                <w:tcPr>
                  <w:tcW w:w="839" w:type="dxa"/>
                  <w:tcBorders>
                    <w:top w:val="nil"/>
                    <w:left w:val="single" w:color="000000" w:sz="4" w:space="0"/>
                    <w:bottom w:val="single" w:color="000000" w:sz="4" w:space="0"/>
                    <w:right w:val="single" w:color="000000" w:sz="4" w:space="0"/>
                  </w:tcBorders>
                  <w:vAlign w:val="top"/>
                </w:tcPr>
                <w:p w14:paraId="6D406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食醋</w:t>
                  </w:r>
                </w:p>
              </w:tc>
              <w:tc>
                <w:tcPr>
                  <w:tcW w:w="5401" w:type="dxa"/>
                  <w:tcBorders>
                    <w:top w:val="nil"/>
                    <w:left w:val="single" w:color="000000" w:sz="4" w:space="0"/>
                    <w:bottom w:val="single" w:color="000000" w:sz="4" w:space="0"/>
                    <w:right w:val="single" w:color="000000" w:sz="4" w:space="0"/>
                  </w:tcBorders>
                  <w:vAlign w:val="top"/>
                </w:tcPr>
                <w:p w14:paraId="007B7D4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具有正常食醋的色泽、气味和滋味，不涩，无其他不良气味与异味无浮物，不浑浊，无沉淀，无异物，无醋鳗、醋虱。</w:t>
                  </w:r>
                </w:p>
              </w:tc>
            </w:tr>
            <w:tr w14:paraId="20025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53F7D0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7</w:t>
                  </w:r>
                </w:p>
              </w:tc>
              <w:tc>
                <w:tcPr>
                  <w:tcW w:w="839" w:type="dxa"/>
                  <w:tcBorders>
                    <w:top w:val="nil"/>
                    <w:left w:val="single" w:color="000000" w:sz="4" w:space="0"/>
                    <w:bottom w:val="single" w:color="000000" w:sz="4" w:space="0"/>
                    <w:right w:val="single" w:color="000000" w:sz="4" w:space="0"/>
                  </w:tcBorders>
                  <w:vAlign w:val="top"/>
                </w:tcPr>
                <w:p w14:paraId="3972B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酱类食品</w:t>
                  </w:r>
                </w:p>
              </w:tc>
              <w:tc>
                <w:tcPr>
                  <w:tcW w:w="5401" w:type="dxa"/>
                  <w:tcBorders>
                    <w:top w:val="nil"/>
                    <w:left w:val="single" w:color="000000" w:sz="4" w:space="0"/>
                    <w:bottom w:val="single" w:color="000000" w:sz="4" w:space="0"/>
                    <w:right w:val="single" w:color="000000" w:sz="4" w:space="0"/>
                  </w:tcBorders>
                  <w:vAlign w:val="top"/>
                </w:tcPr>
                <w:p w14:paraId="76F5FA7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具有正常酿造酱的色泽、气味和滋味，不涩，无其他不良气味，不得有酸、苦、焦及其它异味、异物。</w:t>
                  </w:r>
                </w:p>
              </w:tc>
            </w:tr>
            <w:tr w14:paraId="44DD6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4ED7A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8</w:t>
                  </w:r>
                </w:p>
              </w:tc>
              <w:tc>
                <w:tcPr>
                  <w:tcW w:w="839" w:type="dxa"/>
                  <w:tcBorders>
                    <w:top w:val="nil"/>
                    <w:left w:val="single" w:color="000000" w:sz="4" w:space="0"/>
                    <w:bottom w:val="single" w:color="000000" w:sz="4" w:space="0"/>
                    <w:right w:val="single" w:color="000000" w:sz="4" w:space="0"/>
                  </w:tcBorders>
                  <w:vAlign w:val="top"/>
                </w:tcPr>
                <w:p w14:paraId="259A39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407612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生粉</w:t>
                  </w:r>
                </w:p>
              </w:tc>
              <w:tc>
                <w:tcPr>
                  <w:tcW w:w="5401" w:type="dxa"/>
                  <w:tcBorders>
                    <w:top w:val="nil"/>
                    <w:left w:val="single" w:color="000000" w:sz="4" w:space="0"/>
                    <w:bottom w:val="single" w:color="000000" w:sz="4" w:space="0"/>
                    <w:right w:val="single" w:color="000000" w:sz="4" w:space="0"/>
                  </w:tcBorders>
                  <w:vAlign w:val="top"/>
                </w:tcPr>
                <w:p w14:paraId="168AAFBD">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色泽呈白色或微黄色，不发暗，无杂质的颜色，呈细粉末状，不含杂质，手指捻捏时无粗粒感，无虫子和结块，置于手中紧捏后放开不成团，具有面粉的正常气味，无其他异味。</w:t>
                  </w:r>
                </w:p>
              </w:tc>
            </w:tr>
            <w:tr w14:paraId="3071E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3D76C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9</w:t>
                  </w:r>
                </w:p>
              </w:tc>
              <w:tc>
                <w:tcPr>
                  <w:tcW w:w="839" w:type="dxa"/>
                  <w:tcBorders>
                    <w:top w:val="nil"/>
                    <w:left w:val="single" w:color="000000" w:sz="4" w:space="0"/>
                    <w:bottom w:val="single" w:color="000000" w:sz="4" w:space="0"/>
                    <w:right w:val="single" w:color="000000" w:sz="4" w:space="0"/>
                  </w:tcBorders>
                  <w:vAlign w:val="top"/>
                </w:tcPr>
                <w:p w14:paraId="129CB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食盐</w:t>
                  </w:r>
                </w:p>
              </w:tc>
              <w:tc>
                <w:tcPr>
                  <w:tcW w:w="5401" w:type="dxa"/>
                  <w:tcBorders>
                    <w:top w:val="nil"/>
                    <w:left w:val="single" w:color="000000" w:sz="4" w:space="0"/>
                    <w:bottom w:val="single" w:color="000000" w:sz="4" w:space="0"/>
                    <w:right w:val="single" w:color="000000" w:sz="4" w:space="0"/>
                  </w:tcBorders>
                  <w:vAlign w:val="top"/>
                </w:tcPr>
                <w:p w14:paraId="2D7DE0A5">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结晶整齐一致，坚硬光滑，呈透明或半透明，不结块，无反卤吸潮现象，无杂质，沾取少许尝试具有纯正的咸味。</w:t>
                  </w:r>
                </w:p>
              </w:tc>
            </w:tr>
            <w:tr w14:paraId="3B6213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4E168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10</w:t>
                  </w:r>
                </w:p>
              </w:tc>
              <w:tc>
                <w:tcPr>
                  <w:tcW w:w="839" w:type="dxa"/>
                  <w:tcBorders>
                    <w:top w:val="nil"/>
                    <w:left w:val="single" w:color="000000" w:sz="4" w:space="0"/>
                    <w:bottom w:val="single" w:color="000000" w:sz="4" w:space="0"/>
                    <w:right w:val="single" w:color="000000" w:sz="4" w:space="0"/>
                  </w:tcBorders>
                  <w:vAlign w:val="top"/>
                </w:tcPr>
                <w:p w14:paraId="4E745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101CE6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鸡蛋</w:t>
                  </w:r>
                </w:p>
              </w:tc>
              <w:tc>
                <w:tcPr>
                  <w:tcW w:w="5401" w:type="dxa"/>
                  <w:tcBorders>
                    <w:top w:val="nil"/>
                    <w:left w:val="single" w:color="000000" w:sz="4" w:space="0"/>
                    <w:bottom w:val="single" w:color="000000" w:sz="4" w:space="0"/>
                    <w:right w:val="single" w:color="000000" w:sz="4" w:space="0"/>
                  </w:tcBorders>
                  <w:vAlign w:val="top"/>
                </w:tcPr>
                <w:p w14:paraId="2BE6EE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蛋壳清洁完整，色泽鲜明，无破损、裂纹，无霉斑，灯光透视时，整个蛋呈桔黄色至橙红色，蛋黄不见或略见阴影，没有霉味、酸味，臭味等不良气味，打开后蛋黄凸起、完整、有韧性，蛋白澄清、透明、稠分明，无异味。</w:t>
                  </w:r>
                </w:p>
              </w:tc>
            </w:tr>
            <w:tr w14:paraId="56BDA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754AC0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11</w:t>
                  </w:r>
                </w:p>
              </w:tc>
              <w:tc>
                <w:tcPr>
                  <w:tcW w:w="839" w:type="dxa"/>
                  <w:tcBorders>
                    <w:top w:val="nil"/>
                    <w:left w:val="single" w:color="000000" w:sz="4" w:space="0"/>
                    <w:bottom w:val="single" w:color="000000" w:sz="4" w:space="0"/>
                    <w:right w:val="single" w:color="000000" w:sz="4" w:space="0"/>
                  </w:tcBorders>
                  <w:vAlign w:val="top"/>
                </w:tcPr>
                <w:p w14:paraId="2E024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262ED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3FA3F7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咸蛋</w:t>
                  </w:r>
                </w:p>
              </w:tc>
              <w:tc>
                <w:tcPr>
                  <w:tcW w:w="5401" w:type="dxa"/>
                  <w:tcBorders>
                    <w:top w:val="nil"/>
                    <w:left w:val="single" w:color="000000" w:sz="4" w:space="0"/>
                    <w:bottom w:val="single" w:color="000000" w:sz="4" w:space="0"/>
                    <w:right w:val="single" w:color="000000" w:sz="4" w:space="0"/>
                  </w:tcBorders>
                  <w:vAlign w:val="top"/>
                </w:tcPr>
                <w:p w14:paraId="5BB010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w:t>
                  </w:r>
                </w:p>
                <w:p w14:paraId="16A4A18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咸蛋固有的香味。</w:t>
                  </w:r>
                </w:p>
              </w:tc>
            </w:tr>
            <w:tr w14:paraId="261BA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0407A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12</w:t>
                  </w:r>
                </w:p>
              </w:tc>
              <w:tc>
                <w:tcPr>
                  <w:tcW w:w="839" w:type="dxa"/>
                  <w:tcBorders>
                    <w:top w:val="nil"/>
                    <w:left w:val="single" w:color="000000" w:sz="4" w:space="0"/>
                    <w:bottom w:val="single" w:color="000000" w:sz="4" w:space="0"/>
                    <w:right w:val="single" w:color="000000" w:sz="4" w:space="0"/>
                  </w:tcBorders>
                  <w:vAlign w:val="top"/>
                </w:tcPr>
                <w:p w14:paraId="6D98E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大豆</w:t>
                  </w:r>
                </w:p>
              </w:tc>
              <w:tc>
                <w:tcPr>
                  <w:tcW w:w="5401" w:type="dxa"/>
                  <w:tcBorders>
                    <w:top w:val="nil"/>
                    <w:left w:val="single" w:color="000000" w:sz="4" w:space="0"/>
                    <w:bottom w:val="single" w:color="000000" w:sz="4" w:space="0"/>
                    <w:right w:val="single" w:color="000000" w:sz="4" w:space="0"/>
                  </w:tcBorders>
                  <w:vAlign w:val="top"/>
                </w:tcPr>
                <w:p w14:paraId="4A8B925B">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大豆皮色呈各种大豆固有的颜色，光彩油亮，洁净而有光泽，颗粒饱满，整齐均匀，无虫蛀粒，无杂质，无霉变。</w:t>
                  </w:r>
                </w:p>
              </w:tc>
            </w:tr>
            <w:tr w14:paraId="55DEA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5BE8D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13</w:t>
                  </w:r>
                </w:p>
              </w:tc>
              <w:tc>
                <w:tcPr>
                  <w:tcW w:w="839" w:type="dxa"/>
                  <w:tcBorders>
                    <w:top w:val="nil"/>
                    <w:left w:val="single" w:color="000000" w:sz="4" w:space="0"/>
                    <w:bottom w:val="single" w:color="000000" w:sz="4" w:space="0"/>
                    <w:right w:val="single" w:color="000000" w:sz="4" w:space="0"/>
                  </w:tcBorders>
                  <w:vAlign w:val="top"/>
                </w:tcPr>
                <w:p w14:paraId="2D295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7F7288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花生</w:t>
                  </w:r>
                </w:p>
              </w:tc>
              <w:tc>
                <w:tcPr>
                  <w:tcW w:w="5401" w:type="dxa"/>
                  <w:tcBorders>
                    <w:top w:val="nil"/>
                    <w:left w:val="single" w:color="000000" w:sz="4" w:space="0"/>
                    <w:bottom w:val="single" w:color="000000" w:sz="4" w:space="0"/>
                    <w:right w:val="single" w:color="000000" w:sz="4" w:space="0"/>
                  </w:tcBorders>
                  <w:vAlign w:val="top"/>
                </w:tcPr>
                <w:p w14:paraId="3EA7DA3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果荚呈土黄色或白色，果仁呈各不同品种所特有的颜色，色泽分布均匀一致，带荚花生和去荚果仁均颗粒饱满、形态完整、大小均匀，子叶肥厚而有光泽，无质，具有花生特有的气味、香味，无任何异味。</w:t>
                  </w:r>
                </w:p>
              </w:tc>
            </w:tr>
            <w:tr w14:paraId="076936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2FB7A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14</w:t>
                  </w:r>
                </w:p>
              </w:tc>
              <w:tc>
                <w:tcPr>
                  <w:tcW w:w="839" w:type="dxa"/>
                  <w:tcBorders>
                    <w:top w:val="nil"/>
                    <w:left w:val="single" w:color="000000" w:sz="4" w:space="0"/>
                    <w:bottom w:val="single" w:color="000000" w:sz="4" w:space="0"/>
                    <w:right w:val="single" w:color="000000" w:sz="4" w:space="0"/>
                  </w:tcBorders>
                  <w:vAlign w:val="top"/>
                </w:tcPr>
                <w:p w14:paraId="30A30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766154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点心</w:t>
                  </w:r>
                </w:p>
              </w:tc>
              <w:tc>
                <w:tcPr>
                  <w:tcW w:w="5401" w:type="dxa"/>
                  <w:tcBorders>
                    <w:top w:val="nil"/>
                    <w:left w:val="single" w:color="000000" w:sz="4" w:space="0"/>
                    <w:bottom w:val="single" w:color="000000" w:sz="4" w:space="0"/>
                    <w:right w:val="single" w:color="000000" w:sz="4" w:space="0"/>
                  </w:tcBorders>
                  <w:vAlign w:val="top"/>
                </w:tcPr>
                <w:p w14:paraId="0B811A3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具有点心应有的正常色泽、气味和滋味，无异味，无霉变，无生虫及其他正常视力可见的外来物，以及符合《GB 7099-2015 食品安全国家标准糕点、面包》及国家食品标准中的其他有关规定。</w:t>
                  </w:r>
                </w:p>
              </w:tc>
            </w:tr>
            <w:tr w14:paraId="42D35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78F8B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15</w:t>
                  </w:r>
                </w:p>
                <w:p w14:paraId="382CC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c>
                <w:tcPr>
                  <w:tcW w:w="839" w:type="dxa"/>
                  <w:tcBorders>
                    <w:top w:val="nil"/>
                    <w:left w:val="single" w:color="000000" w:sz="4" w:space="0"/>
                    <w:bottom w:val="single" w:color="000000" w:sz="4" w:space="0"/>
                    <w:right w:val="single" w:color="000000" w:sz="4" w:space="0"/>
                  </w:tcBorders>
                  <w:vAlign w:val="top"/>
                </w:tcPr>
                <w:p w14:paraId="20F62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味精</w:t>
                  </w:r>
                </w:p>
              </w:tc>
              <w:tc>
                <w:tcPr>
                  <w:tcW w:w="5401" w:type="dxa"/>
                  <w:tcBorders>
                    <w:top w:val="nil"/>
                    <w:left w:val="single" w:color="000000" w:sz="4" w:space="0"/>
                    <w:bottom w:val="single" w:color="000000" w:sz="4" w:space="0"/>
                    <w:right w:val="single" w:color="000000" w:sz="4" w:space="0"/>
                  </w:tcBorders>
                  <w:vAlign w:val="top"/>
                </w:tcPr>
                <w:p w14:paraId="0A8FE63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无色至白色结晶或粉末，具有特殊的鲜味，无异味，无肉眼可见杂质。</w:t>
                  </w:r>
                </w:p>
              </w:tc>
            </w:tr>
            <w:tr w14:paraId="10769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00ED5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16</w:t>
                  </w:r>
                </w:p>
              </w:tc>
              <w:tc>
                <w:tcPr>
                  <w:tcW w:w="839" w:type="dxa"/>
                  <w:tcBorders>
                    <w:top w:val="nil"/>
                    <w:left w:val="single" w:color="000000" w:sz="4" w:space="0"/>
                    <w:bottom w:val="single" w:color="000000" w:sz="4" w:space="0"/>
                    <w:right w:val="single" w:color="000000" w:sz="4" w:space="0"/>
                  </w:tcBorders>
                  <w:vAlign w:val="top"/>
                </w:tcPr>
                <w:p w14:paraId="5820F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酒</w:t>
                  </w:r>
                </w:p>
              </w:tc>
              <w:tc>
                <w:tcPr>
                  <w:tcW w:w="5401" w:type="dxa"/>
                  <w:tcBorders>
                    <w:top w:val="nil"/>
                    <w:left w:val="single" w:color="000000" w:sz="4" w:space="0"/>
                    <w:bottom w:val="single" w:color="000000" w:sz="4" w:space="0"/>
                    <w:right w:val="single" w:color="000000" w:sz="4" w:space="0"/>
                  </w:tcBorders>
                  <w:vAlign w:val="top"/>
                </w:tcPr>
                <w:p w14:paraId="53A0FAD0">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酒液应是无色、透明、无悬浮物和沉淀物的液体。</w:t>
                  </w:r>
                </w:p>
              </w:tc>
            </w:tr>
            <w:tr w14:paraId="5EBE1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2F7CA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17</w:t>
                  </w:r>
                </w:p>
              </w:tc>
              <w:tc>
                <w:tcPr>
                  <w:tcW w:w="839" w:type="dxa"/>
                  <w:tcBorders>
                    <w:top w:val="nil"/>
                    <w:left w:val="single" w:color="000000" w:sz="4" w:space="0"/>
                    <w:bottom w:val="single" w:color="000000" w:sz="4" w:space="0"/>
                    <w:right w:val="single" w:color="000000" w:sz="4" w:space="0"/>
                  </w:tcBorders>
                  <w:vAlign w:val="top"/>
                </w:tcPr>
                <w:p w14:paraId="3BA3C1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酱腌菜</w:t>
                  </w:r>
                </w:p>
              </w:tc>
              <w:tc>
                <w:tcPr>
                  <w:tcW w:w="5401" w:type="dxa"/>
                  <w:tcBorders>
                    <w:top w:val="nil"/>
                    <w:left w:val="single" w:color="000000" w:sz="4" w:space="0"/>
                    <w:bottom w:val="single" w:color="000000" w:sz="4" w:space="0"/>
                    <w:right w:val="single" w:color="000000" w:sz="4" w:space="0"/>
                  </w:tcBorders>
                  <w:vAlign w:val="top"/>
                </w:tcPr>
                <w:p w14:paraId="2E08272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具有酱腌菜固有的色、香、味，无杂质，无其他不良气味，不得有霉斑白膜。</w:t>
                  </w:r>
                </w:p>
              </w:tc>
            </w:tr>
            <w:tr w14:paraId="101D6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2359A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18</w:t>
                  </w:r>
                </w:p>
              </w:tc>
              <w:tc>
                <w:tcPr>
                  <w:tcW w:w="839" w:type="dxa"/>
                  <w:tcBorders>
                    <w:top w:val="nil"/>
                    <w:left w:val="single" w:color="000000" w:sz="4" w:space="0"/>
                    <w:bottom w:val="single" w:color="000000" w:sz="4" w:space="0"/>
                    <w:right w:val="single" w:color="000000" w:sz="4" w:space="0"/>
                  </w:tcBorders>
                  <w:vAlign w:val="top"/>
                </w:tcPr>
                <w:p w14:paraId="5978F8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58DFF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油炸豆卜</w:t>
                  </w:r>
                </w:p>
              </w:tc>
              <w:tc>
                <w:tcPr>
                  <w:tcW w:w="5401" w:type="dxa"/>
                  <w:tcBorders>
                    <w:top w:val="nil"/>
                    <w:left w:val="single" w:color="000000" w:sz="4" w:space="0"/>
                    <w:bottom w:val="single" w:color="000000" w:sz="4" w:space="0"/>
                    <w:right w:val="single" w:color="000000" w:sz="4" w:space="0"/>
                  </w:tcBorders>
                  <w:vAlign w:val="top"/>
                </w:tcPr>
                <w:p w14:paraId="3D4CFD6F">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为金黄色或棕黄色，色彩鲜艳而有光泽，块形整齐，有弹性，皮脆内质呈蜂窝状，不粘不散，无杂质，具有豆腐泡特有的清香风味，无其他任何不良气味，取样品细细咀嚼，外皮酥脆适口，泡内软嫩，咸香</w:t>
                  </w:r>
                </w:p>
                <w:p w14:paraId="6A0121E5">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适度，具有豆腐泡固有的滋味。</w:t>
                  </w:r>
                </w:p>
              </w:tc>
            </w:tr>
            <w:tr w14:paraId="0051A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6FAF6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19</w:t>
                  </w:r>
                </w:p>
              </w:tc>
              <w:tc>
                <w:tcPr>
                  <w:tcW w:w="839" w:type="dxa"/>
                  <w:tcBorders>
                    <w:top w:val="nil"/>
                    <w:left w:val="single" w:color="000000" w:sz="4" w:space="0"/>
                    <w:bottom w:val="single" w:color="000000" w:sz="4" w:space="0"/>
                    <w:right w:val="single" w:color="000000" w:sz="4" w:space="0"/>
                  </w:tcBorders>
                  <w:vAlign w:val="top"/>
                </w:tcPr>
                <w:p w14:paraId="513BB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7AE1A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腐竹</w:t>
                  </w:r>
                </w:p>
              </w:tc>
              <w:tc>
                <w:tcPr>
                  <w:tcW w:w="5401" w:type="dxa"/>
                  <w:tcBorders>
                    <w:top w:val="nil"/>
                    <w:left w:val="single" w:color="000000" w:sz="4" w:space="0"/>
                    <w:bottom w:val="single" w:color="000000" w:sz="4" w:space="0"/>
                    <w:right w:val="single" w:color="000000" w:sz="4" w:space="0"/>
                  </w:tcBorders>
                  <w:vAlign w:val="top"/>
                </w:tcPr>
                <w:p w14:paraId="752F719F">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为枝条或片叶状，质脆易折，条状折断有空心，无霉斑、杂质、虫蛀。呈淡黄色，有光泽。具有腐竹固有的香味，无其他任何异味，取样</w:t>
                  </w:r>
                </w:p>
                <w:p w14:paraId="1A8A50E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品品尝其滋味，具有腐竹固有的鲜香滋味。</w:t>
                  </w:r>
                </w:p>
              </w:tc>
            </w:tr>
            <w:tr w14:paraId="78FB3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742B4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20</w:t>
                  </w:r>
                </w:p>
              </w:tc>
              <w:tc>
                <w:tcPr>
                  <w:tcW w:w="839" w:type="dxa"/>
                  <w:tcBorders>
                    <w:top w:val="nil"/>
                    <w:left w:val="single" w:color="000000" w:sz="4" w:space="0"/>
                    <w:bottom w:val="single" w:color="000000" w:sz="4" w:space="0"/>
                    <w:right w:val="single" w:color="000000" w:sz="4" w:space="0"/>
                  </w:tcBorders>
                  <w:vAlign w:val="top"/>
                </w:tcPr>
                <w:p w14:paraId="499C3E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p w14:paraId="72758C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腐乳</w:t>
                  </w:r>
                </w:p>
              </w:tc>
              <w:tc>
                <w:tcPr>
                  <w:tcW w:w="5401" w:type="dxa"/>
                  <w:tcBorders>
                    <w:top w:val="nil"/>
                    <w:left w:val="single" w:color="000000" w:sz="4" w:space="0"/>
                    <w:bottom w:val="single" w:color="000000" w:sz="4" w:space="0"/>
                    <w:right w:val="single" w:color="000000" w:sz="4" w:space="0"/>
                  </w:tcBorders>
                  <w:vAlign w:val="top"/>
                </w:tcPr>
                <w:p w14:paraId="437D6ED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tc>
            </w:tr>
            <w:tr w14:paraId="2ED10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015D2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21</w:t>
                  </w:r>
                </w:p>
              </w:tc>
              <w:tc>
                <w:tcPr>
                  <w:tcW w:w="839" w:type="dxa"/>
                  <w:tcBorders>
                    <w:top w:val="nil"/>
                    <w:left w:val="single" w:color="000000" w:sz="4" w:space="0"/>
                    <w:bottom w:val="single" w:color="000000" w:sz="4" w:space="0"/>
                    <w:right w:val="single" w:color="000000" w:sz="4" w:space="0"/>
                  </w:tcBorders>
                  <w:vAlign w:val="top"/>
                </w:tcPr>
                <w:p w14:paraId="0F89830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sz w:val="24"/>
                      <w:szCs w:val="24"/>
                    </w:rPr>
                    <w:t>食糖</w:t>
                  </w:r>
                </w:p>
              </w:tc>
              <w:tc>
                <w:tcPr>
                  <w:tcW w:w="5401" w:type="dxa"/>
                  <w:tcBorders>
                    <w:top w:val="nil"/>
                    <w:left w:val="single" w:color="000000" w:sz="4" w:space="0"/>
                    <w:bottom w:val="single" w:color="000000" w:sz="4" w:space="0"/>
                    <w:right w:val="single" w:color="000000" w:sz="4" w:space="0"/>
                  </w:tcBorders>
                  <w:vAlign w:val="top"/>
                </w:tcPr>
                <w:p w14:paraId="5D863A2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食糖根据经营习惯分为白糖、红糖、冰糖、方糖等。</w:t>
                  </w:r>
                </w:p>
                <w:p w14:paraId="5B7BD57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24"/>
                      <w:szCs w:val="24"/>
                    </w:rPr>
                  </w:pPr>
                  <w:r>
                    <w:rPr>
                      <w:sz w:val="24"/>
                      <w:szCs w:val="24"/>
                    </w:rPr>
                    <w:t>白糖的感官鉴别</w:t>
                  </w:r>
                </w:p>
                <w:p w14:paraId="1A6DC1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色泽洁白明亮，有光泽，具有白糖的正常气味，无酸味、酒味或其他外来气味。白砂糖：颗粒大如砂粒，晶粒均匀整齐，晶面明显，无碎末，糖质坚硬。</w:t>
                  </w:r>
                </w:p>
                <w:p w14:paraId="72ADE29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绵白糖：颗粒细小而均匀，质地绵软、潮润。</w:t>
                  </w:r>
                </w:p>
                <w:p w14:paraId="207802A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冰糖：块形完整，个粒均匀，结晶组织严密，透明或半透明，无破碎。</w:t>
                  </w:r>
                </w:p>
                <w:p w14:paraId="45717A2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方糖：呈正六面体状，表面平整，无裂纹，铁边，断角，无突出砂粒，无霉斑。</w:t>
                  </w:r>
                </w:p>
                <w:p w14:paraId="1E4BB1C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凡是白糖都应干燥，晶粒松散，不粘手，不结块，无肉眼可见的杂质，白糖的水溶液应清晰透明无杂质。</w:t>
                  </w:r>
                </w:p>
                <w:p w14:paraId="4E562503">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红糖可细分为赤砂糖和红糖两种，其中赤砂糖是机制未经洗蜜的糖，红糖是用手工制成的土糖。因为红糖的颜色有红褐、青褐、黄褐、赤红、金黄、淡黄、枣红等多种，很不一致，故凭色泽难</w:t>
                  </w:r>
                </w:p>
                <w:p w14:paraId="722D6D9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以识别红糖的质量，应将感官鉴别的侧重点放在组织状态、气味、滋味三个指标上。</w:t>
                  </w:r>
                </w:p>
                <w:p w14:paraId="4A5CD6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呈晶粒状或粉末状，干燥而松散，不结块，不成团，无杂质，其水溶液清晰，无沉淀，无悬浮物，具有甘蔗汁的清香味，无有酒味、酸味或其他外来不良气味，口味浓甜带鲜，微有糖蜜味，无焦苦味或其他外来异味。</w:t>
                  </w:r>
                </w:p>
                <w:p w14:paraId="13DAED0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24"/>
                      <w:szCs w:val="24"/>
                    </w:rPr>
                  </w:pPr>
                  <w:r>
                    <w:rPr>
                      <w:sz w:val="24"/>
                      <w:szCs w:val="24"/>
                    </w:rPr>
                    <w:t>红糖的感官鉴别</w:t>
                  </w:r>
                </w:p>
              </w:tc>
            </w:tr>
            <w:tr w14:paraId="78477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7" w:type="dxa"/>
                  <w:tcBorders>
                    <w:top w:val="nil"/>
                    <w:left w:val="single" w:color="000000" w:sz="4" w:space="0"/>
                    <w:bottom w:val="single" w:color="000000" w:sz="4" w:space="0"/>
                    <w:right w:val="single" w:color="000000" w:sz="4" w:space="0"/>
                  </w:tcBorders>
                  <w:vAlign w:val="top"/>
                </w:tcPr>
                <w:p w14:paraId="18145A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r>
                    <w:rPr>
                      <w:sz w:val="24"/>
                      <w:szCs w:val="24"/>
                    </w:rPr>
                    <w:t>22</w:t>
                  </w:r>
                </w:p>
              </w:tc>
              <w:tc>
                <w:tcPr>
                  <w:tcW w:w="839" w:type="dxa"/>
                  <w:tcBorders>
                    <w:top w:val="nil"/>
                    <w:left w:val="single" w:color="000000" w:sz="4" w:space="0"/>
                    <w:bottom w:val="single" w:color="000000" w:sz="4" w:space="0"/>
                    <w:right w:val="single" w:color="000000" w:sz="4" w:space="0"/>
                  </w:tcBorders>
                  <w:vAlign w:val="top"/>
                </w:tcPr>
                <w:p w14:paraId="0FAA771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sz w:val="24"/>
                      <w:szCs w:val="24"/>
                    </w:rPr>
                  </w:pPr>
                  <w:r>
                    <w:rPr>
                      <w:sz w:val="24"/>
                      <w:szCs w:val="24"/>
                    </w:rPr>
                    <w:t>辛辣料</w:t>
                  </w:r>
                </w:p>
              </w:tc>
              <w:tc>
                <w:tcPr>
                  <w:tcW w:w="5401" w:type="dxa"/>
                  <w:tcBorders>
                    <w:top w:val="nil"/>
                    <w:left w:val="single" w:color="000000" w:sz="4" w:space="0"/>
                    <w:bottom w:val="single" w:color="000000" w:sz="4" w:space="0"/>
                    <w:right w:val="single" w:color="000000" w:sz="4" w:space="0"/>
                  </w:tcBorders>
                  <w:vAlign w:val="top"/>
                </w:tcPr>
                <w:p w14:paraId="2B67EE1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辛辣料是采用植物果实和种子粉碎而配制成的天然植物香料，如五香粉、胡椒粉、花椒粉、咖喱粉、芥末粉等，辛辣料的主要原料有八角花椒、胡椒、桂皮、小茴香、大茴香、辣椒、孜然等。</w:t>
                  </w:r>
                </w:p>
                <w:p w14:paraId="3D1446C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辛辣料呈干燥状，具有该种香料植物所特有的色、香、味，没有不纯正的气味和味道，无发霉味或其他异味。</w:t>
                  </w:r>
                </w:p>
              </w:tc>
            </w:tr>
          </w:tbl>
          <w:p w14:paraId="7776E6A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r>
      <w:tr w14:paraId="395E5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11ED256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0F90F8D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3</w:t>
            </w:r>
          </w:p>
        </w:tc>
        <w:tc>
          <w:tcPr>
            <w:tcW w:w="7515" w:type="dxa"/>
          </w:tcPr>
          <w:p w14:paraId="6170F4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sz w:val="24"/>
                <w:szCs w:val="24"/>
              </w:rPr>
              <w:t>供货、配送及卸货服务要求</w:t>
            </w:r>
          </w:p>
          <w:p w14:paraId="2B2F846E">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中标人根据</w:t>
            </w:r>
            <w:r>
              <w:rPr>
                <w:rFonts w:hint="eastAsia"/>
                <w:sz w:val="24"/>
                <w:szCs w:val="24"/>
                <w:lang w:eastAsia="zh-CN"/>
              </w:rPr>
              <w:t>采购人</w:t>
            </w:r>
            <w:r>
              <w:rPr>
                <w:sz w:val="24"/>
                <w:szCs w:val="24"/>
              </w:rPr>
              <w:t>实际要求运送货物，如食材需要加工的需按</w:t>
            </w:r>
            <w:r>
              <w:rPr>
                <w:rFonts w:hint="eastAsia"/>
                <w:sz w:val="24"/>
                <w:szCs w:val="24"/>
                <w:lang w:eastAsia="zh-CN"/>
              </w:rPr>
              <w:t>采购人</w:t>
            </w:r>
            <w:r>
              <w:rPr>
                <w:sz w:val="24"/>
                <w:szCs w:val="24"/>
              </w:rPr>
              <w:t>要求进行加工，所产生的费用已包含在合同金额。</w:t>
            </w:r>
          </w:p>
          <w:p w14:paraId="55786A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rFonts w:hint="eastAsia"/>
                <w:sz w:val="24"/>
                <w:szCs w:val="24"/>
                <w:lang w:eastAsia="zh-CN"/>
              </w:rPr>
              <w:t>采购人</w:t>
            </w:r>
            <w:r>
              <w:rPr>
                <w:sz w:val="24"/>
                <w:szCs w:val="24"/>
              </w:rPr>
              <w:t>提前一天向中标人发出订货通知单，中标人按照</w:t>
            </w:r>
            <w:r>
              <w:rPr>
                <w:rFonts w:hint="eastAsia"/>
                <w:sz w:val="24"/>
                <w:szCs w:val="24"/>
                <w:lang w:eastAsia="zh-CN"/>
              </w:rPr>
              <w:t>采购人</w:t>
            </w:r>
            <w:r>
              <w:rPr>
                <w:sz w:val="24"/>
                <w:szCs w:val="24"/>
              </w:rPr>
              <w:t>规定的时间要求送到指定地点。特殊情况需要提前送到的，</w:t>
            </w:r>
            <w:r>
              <w:rPr>
                <w:rFonts w:hint="eastAsia"/>
                <w:sz w:val="24"/>
                <w:szCs w:val="24"/>
                <w:lang w:eastAsia="zh-CN"/>
              </w:rPr>
              <w:t>采购人</w:t>
            </w:r>
            <w:r>
              <w:rPr>
                <w:sz w:val="24"/>
                <w:szCs w:val="24"/>
              </w:rPr>
              <w:t>另行通知。</w:t>
            </w:r>
          </w:p>
          <w:p w14:paraId="4D972A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具体送货时间：早上送货到达时间应在6 时 30 分至 7 时 20 分之间，如鱼等部分肉类需要现场宰杀的按</w:t>
            </w:r>
            <w:r>
              <w:rPr>
                <w:rFonts w:hint="eastAsia"/>
                <w:sz w:val="24"/>
                <w:szCs w:val="24"/>
                <w:lang w:eastAsia="zh-CN"/>
              </w:rPr>
              <w:t>采购人</w:t>
            </w:r>
            <w:r>
              <w:rPr>
                <w:sz w:val="24"/>
                <w:szCs w:val="24"/>
              </w:rPr>
              <w:t>要求的时间现场加工。如果</w:t>
            </w:r>
            <w:r>
              <w:rPr>
                <w:rFonts w:hint="eastAsia"/>
                <w:sz w:val="24"/>
                <w:szCs w:val="24"/>
                <w:lang w:eastAsia="zh-CN"/>
              </w:rPr>
              <w:t>采购人</w:t>
            </w:r>
            <w:r>
              <w:rPr>
                <w:sz w:val="24"/>
                <w:szCs w:val="24"/>
              </w:rPr>
              <w:t>临时增加订购的货物种类、规格、数量等，中标人须在接到通知后的 30 分钟内将货物送达，待</w:t>
            </w:r>
            <w:r>
              <w:rPr>
                <w:rFonts w:hint="eastAsia"/>
                <w:sz w:val="24"/>
                <w:szCs w:val="24"/>
                <w:lang w:eastAsia="zh-CN"/>
              </w:rPr>
              <w:t>采购人</w:t>
            </w:r>
            <w:r>
              <w:rPr>
                <w:sz w:val="24"/>
                <w:szCs w:val="24"/>
              </w:rPr>
              <w:t>验收、核对后，供货才算完成。</w:t>
            </w:r>
            <w:r>
              <w:rPr>
                <w:b w:val="0"/>
                <w:bCs/>
                <w:sz w:val="24"/>
                <w:szCs w:val="24"/>
              </w:rPr>
              <w:t>供应商超过约定时间30分钟未送达货物的，</w:t>
            </w:r>
            <w:r>
              <w:rPr>
                <w:rFonts w:hint="eastAsia"/>
                <w:b w:val="0"/>
                <w:bCs/>
                <w:sz w:val="24"/>
                <w:szCs w:val="24"/>
                <w:lang w:eastAsia="zh-CN"/>
              </w:rPr>
              <w:t>采购</w:t>
            </w:r>
            <w:r>
              <w:rPr>
                <w:b w:val="0"/>
                <w:bCs/>
                <w:sz w:val="24"/>
                <w:szCs w:val="24"/>
              </w:rPr>
              <w:t>人有权作出5000元/次的扣罚。</w:t>
            </w:r>
          </w:p>
          <w:p w14:paraId="402A0C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在满足质量要求的前提下，按照</w:t>
            </w:r>
            <w:r>
              <w:rPr>
                <w:rFonts w:hint="eastAsia"/>
                <w:sz w:val="24"/>
                <w:szCs w:val="24"/>
                <w:lang w:eastAsia="zh-CN"/>
              </w:rPr>
              <w:t>采购人</w:t>
            </w:r>
            <w:r>
              <w:rPr>
                <w:sz w:val="24"/>
                <w:szCs w:val="24"/>
              </w:rPr>
              <w:t>每次下订单的要求提供指定品牌货品。</w:t>
            </w:r>
          </w:p>
          <w:p w14:paraId="75F91D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合同执行期间，若出现货物质量问题，中标人在接到</w:t>
            </w:r>
            <w:r>
              <w:rPr>
                <w:rFonts w:hint="eastAsia"/>
                <w:sz w:val="24"/>
                <w:szCs w:val="24"/>
                <w:lang w:eastAsia="zh-CN"/>
              </w:rPr>
              <w:t>采购人</w:t>
            </w:r>
            <w:r>
              <w:rPr>
                <w:sz w:val="24"/>
                <w:szCs w:val="24"/>
              </w:rPr>
              <w:t>的通知1 小时内，必须派出相关人员赶到</w:t>
            </w:r>
            <w:r>
              <w:rPr>
                <w:rFonts w:hint="eastAsia"/>
                <w:sz w:val="24"/>
                <w:szCs w:val="24"/>
                <w:lang w:eastAsia="zh-CN"/>
              </w:rPr>
              <w:t>采购人</w:t>
            </w:r>
            <w:r>
              <w:rPr>
                <w:sz w:val="24"/>
                <w:szCs w:val="24"/>
              </w:rPr>
              <w:t>指定地点进行处理。</w:t>
            </w:r>
          </w:p>
          <w:p w14:paraId="7B9195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食品运输必须采用封闭的、有低温保鲜设备并符合国家卫生、动物防疫条件的运载工具。运输猪肉的，还应当设置吊挂设施。并且要保持清洁和定期消毒。</w:t>
            </w:r>
          </w:p>
          <w:p w14:paraId="0AD4FB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sz w:val="24"/>
                <w:szCs w:val="24"/>
              </w:rPr>
              <w:t>整个运输过程应科学合理，运输车辆应定期清洁，保持性能稳定，符合规定的温度要求，使运输食品处于恒定的环境中。</w:t>
            </w:r>
          </w:p>
          <w:p w14:paraId="2AE40C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食品用环保胶箱分装后再用专用保温车辆送到</w:t>
            </w:r>
            <w:r>
              <w:rPr>
                <w:rFonts w:hint="eastAsia"/>
                <w:sz w:val="24"/>
                <w:szCs w:val="24"/>
                <w:lang w:eastAsia="zh-CN"/>
              </w:rPr>
              <w:t>采购人</w:t>
            </w:r>
            <w:r>
              <w:rPr>
                <w:sz w:val="24"/>
                <w:szCs w:val="24"/>
              </w:rPr>
              <w:t>指定的地点，要求送到</w:t>
            </w:r>
            <w:r>
              <w:rPr>
                <w:rFonts w:hint="eastAsia"/>
                <w:sz w:val="24"/>
                <w:szCs w:val="24"/>
                <w:lang w:eastAsia="zh-CN"/>
              </w:rPr>
              <w:t>采购人</w:t>
            </w:r>
            <w:r>
              <w:rPr>
                <w:sz w:val="24"/>
                <w:szCs w:val="24"/>
              </w:rPr>
              <w:t>指定地点时，食品温度保持</w:t>
            </w:r>
            <w:r>
              <w:rPr>
                <w:rFonts w:hint="eastAsia"/>
                <w:sz w:val="24"/>
                <w:szCs w:val="24"/>
                <w:lang w:eastAsia="zh-CN"/>
              </w:rPr>
              <w:t>采购人</w:t>
            </w:r>
            <w:r>
              <w:rPr>
                <w:sz w:val="24"/>
                <w:szCs w:val="24"/>
              </w:rPr>
              <w:t>指定温度。</w:t>
            </w:r>
          </w:p>
        </w:tc>
      </w:tr>
      <w:tr w14:paraId="14041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048C19E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3D9841A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4</w:t>
            </w:r>
          </w:p>
        </w:tc>
        <w:tc>
          <w:tcPr>
            <w:tcW w:w="7515" w:type="dxa"/>
          </w:tcPr>
          <w:p w14:paraId="2EF18F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sz w:val="24"/>
                <w:szCs w:val="24"/>
              </w:rPr>
              <w:t>人员要求</w:t>
            </w:r>
          </w:p>
          <w:p w14:paraId="4FF4EC9A">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（1）中标人需为本项目配备一名项目负责人，负责与</w:t>
            </w:r>
            <w:r>
              <w:rPr>
                <w:rFonts w:hint="eastAsia"/>
                <w:sz w:val="24"/>
                <w:szCs w:val="24"/>
                <w:lang w:eastAsia="zh-CN"/>
              </w:rPr>
              <w:t>采购人</w:t>
            </w:r>
            <w:r>
              <w:rPr>
                <w:sz w:val="24"/>
                <w:szCs w:val="24"/>
              </w:rPr>
              <w:t>沟通协调工作及食材供应的全面日常管理工作。</w:t>
            </w:r>
          </w:p>
          <w:p w14:paraId="0215FA9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（2）中标人还需配备满足项目需求的食品安全管理员、农产品质量安全检测人员等。</w:t>
            </w:r>
          </w:p>
          <w:p w14:paraId="606CF08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（3）中标人需将货物运送至</w:t>
            </w:r>
            <w:r>
              <w:rPr>
                <w:rFonts w:hint="eastAsia"/>
                <w:sz w:val="24"/>
                <w:szCs w:val="24"/>
                <w:lang w:eastAsia="zh-CN"/>
              </w:rPr>
              <w:t>采购人</w:t>
            </w:r>
            <w:r>
              <w:rPr>
                <w:sz w:val="24"/>
                <w:szCs w:val="24"/>
              </w:rPr>
              <w:t>指定的地点、现场卸货并搬运到指定地方。每次送货，中标人必须安排不少于 3 个送货员（含司机）分别负责送货，负责货物的运输、过秤，并协助</w:t>
            </w:r>
            <w:r>
              <w:rPr>
                <w:rFonts w:hint="eastAsia"/>
                <w:sz w:val="24"/>
                <w:szCs w:val="24"/>
                <w:lang w:eastAsia="zh-CN"/>
              </w:rPr>
              <w:t>采购人</w:t>
            </w:r>
            <w:r>
              <w:rPr>
                <w:sz w:val="24"/>
                <w:szCs w:val="24"/>
              </w:rPr>
              <w:t>验收货物，货物的品种和重量以</w:t>
            </w:r>
            <w:r>
              <w:rPr>
                <w:rFonts w:hint="eastAsia"/>
                <w:sz w:val="24"/>
                <w:szCs w:val="24"/>
                <w:lang w:eastAsia="zh-CN"/>
              </w:rPr>
              <w:t>采购人</w:t>
            </w:r>
            <w:r>
              <w:rPr>
                <w:sz w:val="24"/>
                <w:szCs w:val="24"/>
              </w:rPr>
              <w:t>验收的结果为准。中标人在与</w:t>
            </w:r>
            <w:r>
              <w:rPr>
                <w:rFonts w:hint="eastAsia"/>
                <w:sz w:val="24"/>
                <w:szCs w:val="24"/>
                <w:lang w:eastAsia="zh-CN"/>
              </w:rPr>
              <w:t>采购人</w:t>
            </w:r>
            <w:r>
              <w:rPr>
                <w:sz w:val="24"/>
                <w:szCs w:val="24"/>
              </w:rPr>
              <w:t>签定合同后，须将配送团队成员的《无违法犯罪记录证明》、劳动合同、近三个月在中标人单位购买的社保证明及其健康证复印件交</w:t>
            </w:r>
            <w:r>
              <w:rPr>
                <w:rFonts w:hint="eastAsia"/>
                <w:sz w:val="24"/>
                <w:szCs w:val="24"/>
                <w:lang w:eastAsia="zh-CN"/>
              </w:rPr>
              <w:t>采购人</w:t>
            </w:r>
            <w:r>
              <w:rPr>
                <w:sz w:val="24"/>
                <w:szCs w:val="24"/>
              </w:rPr>
              <w:t>备案，提交复印件时须同时提供原件以供核对。如中标人须更换配送人员，须提供更换的人员的上述资料，经</w:t>
            </w:r>
            <w:r>
              <w:rPr>
                <w:rFonts w:hint="eastAsia"/>
                <w:sz w:val="24"/>
                <w:szCs w:val="24"/>
                <w:lang w:eastAsia="zh-CN"/>
              </w:rPr>
              <w:t>采购人</w:t>
            </w:r>
            <w:r>
              <w:rPr>
                <w:sz w:val="24"/>
                <w:szCs w:val="24"/>
              </w:rPr>
              <w:t>书面同意后方可更换，否则作考核扣分处理。</w:t>
            </w:r>
          </w:p>
          <w:p w14:paraId="2BC361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（4）中标人应做好工作人员的培训、教育工作，遵守</w:t>
            </w:r>
            <w:r>
              <w:rPr>
                <w:rFonts w:hint="eastAsia"/>
                <w:sz w:val="24"/>
                <w:szCs w:val="24"/>
                <w:lang w:eastAsia="zh-CN"/>
              </w:rPr>
              <w:t>采购人</w:t>
            </w:r>
            <w:r>
              <w:rPr>
                <w:sz w:val="24"/>
                <w:szCs w:val="24"/>
              </w:rPr>
              <w:t>各项规定。</w:t>
            </w:r>
          </w:p>
        </w:tc>
      </w:tr>
      <w:tr w14:paraId="0F4A0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5C27976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553E5B30">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5</w:t>
            </w:r>
          </w:p>
        </w:tc>
        <w:tc>
          <w:tcPr>
            <w:tcW w:w="7515" w:type="dxa"/>
          </w:tcPr>
          <w:p w14:paraId="1BCC5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sz w:val="24"/>
                <w:szCs w:val="24"/>
              </w:rPr>
              <w:t>车辆要求</w:t>
            </w:r>
          </w:p>
          <w:p w14:paraId="2AD3336C">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（1）中标人应根据产品特性采用科学合理的运输工具、保存方式以及搬运方法进行运输，每次送货不少于 2 辆送货车（其中一台必须为冷链运输专用车，保证肉类中心温度控制在-2 至 7℃的范围之内，保证运输过程冷链不中断）。食品运输必须采用符合卫生要求的外包装和运载工具，车辆保持性能稳定。要保持清洁和定期消毒。运输车厢的内仓，包括地面、墙面和仓顶，应为抗腐蚀、防潮、易清洁消毒的材料，有防虫、防鼠设施。对温度有要求的产品应按产品温度控制标准进行控温，建立物流全程温度记录制度，相关记录保存时间要超过产品保质期 6 个月以上。避免日晒、雨淋、机械损伤、食品的交叉污染等影响食物质量情况发生。商品到达目的地时外包装箱干爽，无软化现象。</w:t>
            </w:r>
          </w:p>
          <w:p w14:paraId="090C815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（2）如属中标人车辆责任造成人员事故的，一切责任由中标人承担。</w:t>
            </w:r>
          </w:p>
          <w:p w14:paraId="7B0F6D6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对冷藏要求高的产品，在运输时送货车辆实行一小时配送圈运作，目的地在一小时内的用保温车配送，一小时以外的用制冷车配送，保证运输过程冷链不中断。产品到达目的地时外包装箱干爽，无软化现象。在配送卸货环节中应保证冷藏食品脱离冷链时间不得超过 20 分钟，肉类保证交至</w:t>
            </w:r>
            <w:r>
              <w:rPr>
                <w:rFonts w:hint="eastAsia"/>
                <w:sz w:val="24"/>
                <w:szCs w:val="24"/>
                <w:lang w:eastAsia="zh-CN"/>
              </w:rPr>
              <w:t>采购人</w:t>
            </w:r>
            <w:r>
              <w:rPr>
                <w:sz w:val="24"/>
                <w:szCs w:val="24"/>
              </w:rPr>
              <w:t>时中心温度控制在-2 至 7℃的范围之内。</w:t>
            </w:r>
          </w:p>
          <w:p w14:paraId="40BA9F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（4）冻肉及冷冻食用副产品装运前应将产品中心温度降低至-15℃及其以下的温度，运输过程中箱体内温度应保持在-15℃及其以下的温度，并做好温度记录，保证交至</w:t>
            </w:r>
            <w:r>
              <w:rPr>
                <w:rFonts w:hint="eastAsia"/>
                <w:sz w:val="24"/>
                <w:szCs w:val="24"/>
                <w:lang w:eastAsia="zh-CN"/>
              </w:rPr>
              <w:t>采购人</w:t>
            </w:r>
            <w:r>
              <w:rPr>
                <w:sz w:val="24"/>
                <w:szCs w:val="24"/>
              </w:rPr>
              <w:t>时中心温度控制在-15℃及其以下。</w:t>
            </w:r>
          </w:p>
        </w:tc>
      </w:tr>
      <w:tr w14:paraId="6539F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5EE9FDE9">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01189B74">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6</w:t>
            </w:r>
          </w:p>
        </w:tc>
        <w:tc>
          <w:tcPr>
            <w:tcW w:w="7515" w:type="dxa"/>
          </w:tcPr>
          <w:p w14:paraId="2EB05C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val="0"/>
                <w:bCs/>
                <w:sz w:val="24"/>
                <w:szCs w:val="24"/>
              </w:rPr>
              <w:t>为确保食材的新鲜和对</w:t>
            </w:r>
            <w:r>
              <w:rPr>
                <w:rFonts w:hint="eastAsia"/>
                <w:b w:val="0"/>
                <w:bCs/>
                <w:sz w:val="24"/>
                <w:szCs w:val="24"/>
                <w:lang w:eastAsia="zh-CN"/>
              </w:rPr>
              <w:t>采购人</w:t>
            </w:r>
            <w:r>
              <w:rPr>
                <w:b w:val="0"/>
                <w:bCs/>
                <w:sz w:val="24"/>
                <w:szCs w:val="24"/>
              </w:rPr>
              <w:t>供应的及时性，对</w:t>
            </w:r>
            <w:r>
              <w:rPr>
                <w:rFonts w:hint="eastAsia"/>
                <w:b w:val="0"/>
                <w:bCs/>
                <w:sz w:val="24"/>
                <w:szCs w:val="24"/>
                <w:lang w:eastAsia="zh-CN"/>
              </w:rPr>
              <w:t>采购人</w:t>
            </w:r>
            <w:r>
              <w:rPr>
                <w:b w:val="0"/>
                <w:bCs/>
                <w:sz w:val="24"/>
                <w:szCs w:val="24"/>
              </w:rPr>
              <w:t>日常下达的订单，中标人应在</w:t>
            </w:r>
            <w:r>
              <w:rPr>
                <w:rFonts w:hint="eastAsia"/>
                <w:b w:val="0"/>
                <w:bCs/>
                <w:sz w:val="24"/>
                <w:szCs w:val="24"/>
                <w:lang w:eastAsia="zh-CN"/>
              </w:rPr>
              <w:t>采购人</w:t>
            </w:r>
            <w:r>
              <w:rPr>
                <w:b w:val="0"/>
                <w:bCs/>
                <w:sz w:val="24"/>
                <w:szCs w:val="24"/>
              </w:rPr>
              <w:t>指定的时间内如数送达。因特殊情况需要中标人临时供应食材的，中标人须在接到</w:t>
            </w:r>
            <w:r>
              <w:rPr>
                <w:rFonts w:hint="eastAsia"/>
                <w:b w:val="0"/>
                <w:bCs/>
                <w:sz w:val="24"/>
                <w:szCs w:val="24"/>
                <w:lang w:eastAsia="zh-CN"/>
              </w:rPr>
              <w:t>采购人</w:t>
            </w:r>
            <w:r>
              <w:rPr>
                <w:b w:val="0"/>
                <w:bCs/>
                <w:sz w:val="24"/>
                <w:szCs w:val="24"/>
              </w:rPr>
              <w:t>下达订单后30 分钟内将</w:t>
            </w:r>
            <w:r>
              <w:rPr>
                <w:rFonts w:hint="eastAsia"/>
                <w:b w:val="0"/>
                <w:bCs/>
                <w:sz w:val="24"/>
                <w:szCs w:val="24"/>
                <w:lang w:eastAsia="zh-CN"/>
              </w:rPr>
              <w:t>采购人</w:t>
            </w:r>
            <w:r>
              <w:rPr>
                <w:b w:val="0"/>
                <w:bCs/>
                <w:sz w:val="24"/>
                <w:szCs w:val="24"/>
              </w:rPr>
              <w:t>指定的食材送到</w:t>
            </w:r>
            <w:r>
              <w:rPr>
                <w:rFonts w:hint="eastAsia"/>
                <w:b w:val="0"/>
                <w:bCs/>
                <w:sz w:val="24"/>
                <w:szCs w:val="24"/>
                <w:lang w:eastAsia="zh-CN"/>
              </w:rPr>
              <w:t>采购人</w:t>
            </w:r>
            <w:r>
              <w:rPr>
                <w:b w:val="0"/>
                <w:bCs/>
                <w:sz w:val="24"/>
                <w:szCs w:val="24"/>
              </w:rPr>
              <w:t>指定的地点。除发生客观不可抗力的情况外，中标人不得推迟送货。如确需延迟送货的，中标人应在得知情况的同时告知</w:t>
            </w:r>
            <w:r>
              <w:rPr>
                <w:rFonts w:hint="eastAsia"/>
                <w:b w:val="0"/>
                <w:bCs/>
                <w:sz w:val="24"/>
                <w:szCs w:val="24"/>
                <w:lang w:eastAsia="zh-CN"/>
              </w:rPr>
              <w:t>采购人</w:t>
            </w:r>
            <w:r>
              <w:rPr>
                <w:b w:val="0"/>
                <w:bCs/>
                <w:sz w:val="24"/>
                <w:szCs w:val="24"/>
              </w:rPr>
              <w:t>并征得</w:t>
            </w:r>
            <w:r>
              <w:rPr>
                <w:rFonts w:hint="eastAsia"/>
                <w:b w:val="0"/>
                <w:bCs/>
                <w:sz w:val="24"/>
                <w:szCs w:val="24"/>
                <w:lang w:eastAsia="zh-CN"/>
              </w:rPr>
              <w:t>采购人</w:t>
            </w:r>
            <w:r>
              <w:rPr>
                <w:b w:val="0"/>
                <w:bCs/>
                <w:sz w:val="24"/>
                <w:szCs w:val="24"/>
              </w:rPr>
              <w:t>同意，由于中标人原因造成</w:t>
            </w:r>
            <w:r>
              <w:rPr>
                <w:rFonts w:hint="eastAsia"/>
                <w:b w:val="0"/>
                <w:bCs/>
                <w:sz w:val="24"/>
                <w:szCs w:val="24"/>
                <w:lang w:eastAsia="zh-CN"/>
              </w:rPr>
              <w:t>采购人</w:t>
            </w:r>
            <w:r>
              <w:rPr>
                <w:b w:val="0"/>
                <w:bCs/>
                <w:sz w:val="24"/>
                <w:szCs w:val="24"/>
              </w:rPr>
              <w:t>利益受损的，</w:t>
            </w:r>
            <w:r>
              <w:rPr>
                <w:rFonts w:hint="eastAsia"/>
                <w:b w:val="0"/>
                <w:bCs/>
                <w:sz w:val="24"/>
                <w:szCs w:val="24"/>
                <w:lang w:eastAsia="zh-CN"/>
              </w:rPr>
              <w:t>采购人</w:t>
            </w:r>
            <w:r>
              <w:rPr>
                <w:b w:val="0"/>
                <w:bCs/>
                <w:sz w:val="24"/>
                <w:szCs w:val="24"/>
              </w:rPr>
              <w:t>有权要求中标人赔偿，同时</w:t>
            </w:r>
            <w:r>
              <w:rPr>
                <w:rFonts w:hint="eastAsia"/>
                <w:b w:val="0"/>
                <w:bCs/>
                <w:sz w:val="24"/>
                <w:szCs w:val="24"/>
                <w:lang w:eastAsia="zh-CN"/>
              </w:rPr>
              <w:t>采购人</w:t>
            </w:r>
            <w:r>
              <w:rPr>
                <w:b w:val="0"/>
                <w:bCs/>
                <w:sz w:val="24"/>
                <w:szCs w:val="24"/>
              </w:rPr>
              <w:t>有权解除合同，由此产生的责任和经济损失由中标人承担。</w:t>
            </w:r>
          </w:p>
        </w:tc>
      </w:tr>
      <w:tr w14:paraId="592DF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417B8FF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5FC4604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7</w:t>
            </w:r>
          </w:p>
        </w:tc>
        <w:tc>
          <w:tcPr>
            <w:tcW w:w="7515" w:type="dxa"/>
          </w:tcPr>
          <w:p w14:paraId="4E001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在</w:t>
            </w:r>
            <w:r>
              <w:rPr>
                <w:rFonts w:hint="eastAsia"/>
                <w:sz w:val="24"/>
                <w:szCs w:val="24"/>
                <w:lang w:eastAsia="zh-CN"/>
              </w:rPr>
              <w:t>采购人</w:t>
            </w:r>
            <w:r>
              <w:rPr>
                <w:sz w:val="24"/>
                <w:szCs w:val="24"/>
              </w:rPr>
              <w:t>签收之前，货物的所有权和风险属于中标人，货物发生遗失、损坏由中标人负责。</w:t>
            </w:r>
          </w:p>
        </w:tc>
      </w:tr>
      <w:tr w14:paraId="081E2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3213126A">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792F580D">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8</w:t>
            </w:r>
          </w:p>
        </w:tc>
        <w:tc>
          <w:tcPr>
            <w:tcW w:w="7515" w:type="dxa"/>
          </w:tcPr>
          <w:p w14:paraId="625E7C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卸货要求</w:t>
            </w:r>
          </w:p>
          <w:p w14:paraId="789D2EE0">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送货车辆应保持清洁；食品堆放科学合理，避免造成食品的交叉污染；如对温度有要求的食品应确定食品的温度，记录送货车辆温度，并记录存档。</w:t>
            </w:r>
          </w:p>
          <w:p w14:paraId="7069BC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中标人必须负责货物的运输、搬运等工作，由此所产生的费用由中标人负责。</w:t>
            </w:r>
          </w:p>
        </w:tc>
      </w:tr>
      <w:tr w14:paraId="3879C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1EE0857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2894241C">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9</w:t>
            </w:r>
          </w:p>
        </w:tc>
        <w:tc>
          <w:tcPr>
            <w:tcW w:w="7515" w:type="dxa"/>
          </w:tcPr>
          <w:p w14:paraId="2B9969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供货价格执行标准</w:t>
            </w:r>
          </w:p>
          <w:p w14:paraId="7A895CED">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sz w:val="24"/>
                <w:szCs w:val="24"/>
              </w:rPr>
            </w:pPr>
            <w:r>
              <w:rPr>
                <w:sz w:val="24"/>
                <w:szCs w:val="24"/>
              </w:rPr>
              <w:t>（1）本项目所有货物的供货单价统一按照佛山市发展和改革局网站</w:t>
            </w:r>
          </w:p>
          <w:p w14:paraId="406432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 xml:space="preserve">( </w:t>
            </w:r>
            <w:r>
              <w:rPr>
                <w:sz w:val="24"/>
                <w:szCs w:val="24"/>
                <w:u w:val="single"/>
              </w:rPr>
              <w:t>http://fsdr.foshan.gov.cn/fsfgj/fhj/bmcx/jgcx/nfcp/tqjg/)里的顺德区农副产</w:t>
            </w:r>
            <w:r>
              <w:rPr>
                <w:sz w:val="24"/>
                <w:szCs w:val="24"/>
              </w:rPr>
              <w:t>品的零售价格为基准,每个星期为一个周期，按该网站上顺德区农副产品公布的每周平均零售价作为本周的结算依据。当本项目的实际供货金额达到采购预算或服务期届满停止供货。</w:t>
            </w:r>
          </w:p>
          <w:p w14:paraId="307FCC7E">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sz w:val="24"/>
                <w:szCs w:val="24"/>
              </w:rPr>
            </w:pPr>
            <w:r>
              <w:rPr>
                <w:sz w:val="24"/>
                <w:szCs w:val="24"/>
              </w:rPr>
              <w:t>（2）（汇总各类供应品）每日的结算金额＝（各类供应品）每周平均零售价×（各类供应品）每日实际供货量×中标结算系数。</w:t>
            </w:r>
          </w:p>
          <w:p w14:paraId="4AC919A3">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sz w:val="24"/>
                <w:szCs w:val="24"/>
              </w:rPr>
            </w:pPr>
            <w:r>
              <w:rPr>
                <w:sz w:val="24"/>
                <w:szCs w:val="24"/>
              </w:rPr>
              <w:t>每月的结算金额＝（汇总各类供应品）每日的结算金额合计</w:t>
            </w:r>
          </w:p>
          <w:p w14:paraId="5BF22830">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sz w:val="24"/>
                <w:szCs w:val="24"/>
              </w:rPr>
            </w:pPr>
            <w:r>
              <w:rPr>
                <w:sz w:val="24"/>
                <w:szCs w:val="24"/>
              </w:rPr>
              <w:t>【以2022年5月8日供应排骨为例，佛山市发展和改革局网站上顺德区农副产品公布2022年5月2日-2022年5月8日排骨的周平均零售价是29.0 元/500克，排骨供货量是5000克，中标结算系数如为80%，则：2022年5月8日排骨的结算金额=周平均零售价×实际供货量×中标结算系数：29.0元/500克×10×80%=232元】</w:t>
            </w:r>
          </w:p>
          <w:p w14:paraId="755C44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（3）若上述网站均无报价，则由</w:t>
            </w:r>
            <w:r>
              <w:rPr>
                <w:rFonts w:hint="eastAsia"/>
                <w:sz w:val="24"/>
                <w:szCs w:val="24"/>
                <w:lang w:eastAsia="zh-CN"/>
              </w:rPr>
              <w:t>采购人</w:t>
            </w:r>
            <w:r>
              <w:rPr>
                <w:sz w:val="24"/>
                <w:szCs w:val="24"/>
              </w:rPr>
              <w:t>和中标人到本地的第三方批发市场参考同类产品的价格，取平均值作供货基准价格。在</w:t>
            </w:r>
            <w:r>
              <w:rPr>
                <w:rFonts w:hint="eastAsia"/>
                <w:sz w:val="24"/>
                <w:szCs w:val="24"/>
                <w:lang w:eastAsia="zh-CN"/>
              </w:rPr>
              <w:t>采购人</w:t>
            </w:r>
            <w:r>
              <w:rPr>
                <w:sz w:val="24"/>
                <w:szCs w:val="24"/>
              </w:rPr>
              <w:t>有要求的情况下还须提供第三方批发市场出具的价格证明文件。如</w:t>
            </w:r>
            <w:r>
              <w:rPr>
                <w:rFonts w:hint="eastAsia"/>
                <w:sz w:val="24"/>
                <w:szCs w:val="24"/>
                <w:lang w:eastAsia="zh-CN"/>
              </w:rPr>
              <w:t>采购人</w:t>
            </w:r>
            <w:r>
              <w:rPr>
                <w:sz w:val="24"/>
                <w:szCs w:val="24"/>
              </w:rPr>
              <w:t>发现中标人与第三方批发市场串通，故意抬高价格，将在考核中作扣分处理。</w:t>
            </w:r>
          </w:p>
        </w:tc>
      </w:tr>
      <w:tr w14:paraId="49EFE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738960E0">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4A05D0CD">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10</w:t>
            </w:r>
          </w:p>
        </w:tc>
        <w:tc>
          <w:tcPr>
            <w:tcW w:w="7515" w:type="dxa"/>
          </w:tcPr>
          <w:p w14:paraId="112C9D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sz w:val="24"/>
                <w:szCs w:val="24"/>
              </w:rPr>
              <w:t>发现食品安全质量问题的处理</w:t>
            </w:r>
          </w:p>
          <w:p w14:paraId="5FF9E7E8">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（1）对危及人身安全的食品质量问题采取零容忍措施，中标人提供伪劣、过期、变质的、有毒食品的，一经发现，当日所送同批次产品全部退货，如水产品中发现河豚鱼，发现腐败变质肉类等，扣罚1万元。</w:t>
            </w:r>
          </w:p>
          <w:p w14:paraId="1B93044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（2）若抽查未发现问题，而在加工食用前发现部分产品质量问题，应立即通知单位伙食物资验收小组及中标人，将问题产品退货处理。</w:t>
            </w:r>
          </w:p>
          <w:p w14:paraId="2B82522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w:t>
            </w:r>
            <w:r>
              <w:rPr>
                <w:rFonts w:hint="eastAsia"/>
                <w:sz w:val="24"/>
                <w:szCs w:val="24"/>
                <w:lang w:eastAsia="zh-CN"/>
              </w:rPr>
              <w:t>采购人</w:t>
            </w:r>
            <w:r>
              <w:rPr>
                <w:sz w:val="24"/>
                <w:szCs w:val="24"/>
              </w:rPr>
              <w:t>退货后将记录在案，并对中标人予以处罚，除要承担因此产生的一切损失和费用外，同时</w:t>
            </w:r>
            <w:r>
              <w:rPr>
                <w:rFonts w:hint="eastAsia"/>
                <w:sz w:val="24"/>
                <w:szCs w:val="24"/>
                <w:lang w:eastAsia="zh-CN"/>
              </w:rPr>
              <w:t>采购人</w:t>
            </w:r>
            <w:r>
              <w:rPr>
                <w:sz w:val="24"/>
                <w:szCs w:val="24"/>
              </w:rPr>
              <w:t>有权取消中标人供货资格，其履约保证不予退还。</w:t>
            </w:r>
          </w:p>
          <w:p w14:paraId="18501E2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（4）整批产品无或缺少《溯源标准及要求》中提及的相应票证的全部退货。</w:t>
            </w:r>
          </w:p>
          <w:p w14:paraId="37D83DBC">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（5）货物的质量问题争议及解决办法：因货物的质量问题发生争议，由佛山市质量技术监督局或国家法定的质量鉴定单位进行质量鉴定。货物符合质量标准的，鉴定费由</w:t>
            </w:r>
            <w:r>
              <w:rPr>
                <w:rFonts w:hint="eastAsia"/>
                <w:sz w:val="24"/>
                <w:szCs w:val="24"/>
                <w:lang w:eastAsia="zh-CN"/>
              </w:rPr>
              <w:t>采购人</w:t>
            </w:r>
            <w:r>
              <w:rPr>
                <w:sz w:val="24"/>
                <w:szCs w:val="24"/>
              </w:rPr>
              <w:t>承担；货物不符合质量标准的，鉴定费由中标人承担，并且</w:t>
            </w:r>
            <w:r>
              <w:rPr>
                <w:rFonts w:hint="eastAsia"/>
                <w:sz w:val="24"/>
                <w:szCs w:val="24"/>
                <w:lang w:eastAsia="zh-CN"/>
              </w:rPr>
              <w:t>采购人</w:t>
            </w:r>
            <w:r>
              <w:rPr>
                <w:sz w:val="24"/>
                <w:szCs w:val="24"/>
              </w:rPr>
              <w:t>有权追究中标人的相关责任。</w:t>
            </w:r>
          </w:p>
        </w:tc>
      </w:tr>
      <w:tr w14:paraId="2CEFF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66437FD1">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30D025B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11</w:t>
            </w:r>
          </w:p>
        </w:tc>
        <w:tc>
          <w:tcPr>
            <w:tcW w:w="7515" w:type="dxa"/>
          </w:tcPr>
          <w:p w14:paraId="3FE783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sz w:val="24"/>
                <w:szCs w:val="24"/>
              </w:rPr>
              <w:t>抽查发现资质证照不全问题的处理</w:t>
            </w:r>
          </w:p>
          <w:p w14:paraId="3641B49F">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（1）整批产品没有资质的机构出具的动植物检疫合格证明的全部退货；</w:t>
            </w:r>
          </w:p>
          <w:p w14:paraId="7DFF0264">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抽查发现部分产品没有资质的机构出具的动植物检疫合格证明，加抽15%（含），两次抽查数50%（含）以上没有动植物检疫合格证明的，全部退货；50%以下（不含）没有动植物检疫合格证明的，将没有动植物检疫合格证明的货物退货。</w:t>
            </w:r>
          </w:p>
          <w:p w14:paraId="0963E2A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（3）整批产品有省地市出具的动植物检疫合格证明，随箱产品合格证不齐全的，加抽15%（含），两次抽查数50%以上（含）没有产品合格证的，全部退货； 50%以下（不含）没有产品合格证明的，将没有产品合格证明的货物退货。</w:t>
            </w:r>
          </w:p>
          <w:p w14:paraId="711A3FE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（4）肉制品没有疾病控制或质量技术监督部门出具的当批次同类产品半年内 有效检验报告，作退货处理；随箱产品合格证不齐全的，加抽15%（含）， 两次抽查数50%以上（含）没有产品合格证的，全部退货；50%以下（不含）没有产品合格证明的，将无产品合格证明的货物退货。</w:t>
            </w:r>
          </w:p>
          <w:p w14:paraId="3A95D3F0">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验收记录：对每次验收的物资均记录物资名称、数量、验收情况等事项，并由送货人签名确认。</w:t>
            </w:r>
          </w:p>
        </w:tc>
      </w:tr>
      <w:tr w14:paraId="0FA23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7A49EC2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7D963338">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12</w:t>
            </w:r>
          </w:p>
        </w:tc>
        <w:tc>
          <w:tcPr>
            <w:tcW w:w="7515" w:type="dxa"/>
          </w:tcPr>
          <w:p w14:paraId="04B960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sz w:val="24"/>
                <w:szCs w:val="24"/>
              </w:rPr>
              <w:t>违约责任</w:t>
            </w:r>
          </w:p>
          <w:p w14:paraId="750A094B">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中标人不能按核定的供货价交付某些产品、不能提供与其承诺相符的服务或中标人存在违反招标文件和合同的行为，</w:t>
            </w:r>
            <w:r>
              <w:rPr>
                <w:rFonts w:hint="eastAsia"/>
                <w:sz w:val="24"/>
                <w:szCs w:val="24"/>
                <w:lang w:eastAsia="zh-CN"/>
              </w:rPr>
              <w:t>采购人</w:t>
            </w:r>
            <w:r>
              <w:rPr>
                <w:sz w:val="24"/>
                <w:szCs w:val="24"/>
              </w:rPr>
              <w:t>将取消其中标资格。此项下违约责任包括但不限于下列各项：</w:t>
            </w:r>
          </w:p>
          <w:p w14:paraId="64B0B01B">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（1）中标人在收到</w:t>
            </w:r>
            <w:r>
              <w:rPr>
                <w:rFonts w:hint="eastAsia"/>
                <w:sz w:val="24"/>
                <w:szCs w:val="24"/>
                <w:lang w:eastAsia="zh-CN"/>
              </w:rPr>
              <w:t>采购人</w:t>
            </w:r>
            <w:r>
              <w:rPr>
                <w:sz w:val="24"/>
                <w:szCs w:val="24"/>
              </w:rPr>
              <w:t>订货要求后，在承诺的供货时间内不能供货或不能如数供货的；</w:t>
            </w:r>
          </w:p>
          <w:p w14:paraId="01DB4AD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（2）中标人有私自更改菜单中货品的；</w:t>
            </w:r>
          </w:p>
          <w:p w14:paraId="4592EF88">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（3）中标人未能提供承诺的服务的；</w:t>
            </w:r>
          </w:p>
          <w:p w14:paraId="3C814306">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（4）中标商品在保质期出现损坏的，中标人未能提供免费替换服务的；</w:t>
            </w:r>
          </w:p>
          <w:p w14:paraId="76526EFE">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（5）中标人的送货单没有详细注明商品的品种、单价、数量，送货单出现涂改， 标记不清的情况的；</w:t>
            </w:r>
          </w:p>
          <w:p w14:paraId="63E7D747">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（6）中标人泄露</w:t>
            </w:r>
            <w:r>
              <w:rPr>
                <w:rFonts w:hint="eastAsia"/>
                <w:sz w:val="24"/>
                <w:szCs w:val="24"/>
                <w:lang w:eastAsia="zh-CN"/>
              </w:rPr>
              <w:t>采购人</w:t>
            </w:r>
            <w:r>
              <w:rPr>
                <w:sz w:val="24"/>
                <w:szCs w:val="24"/>
              </w:rPr>
              <w:t>的商业秘密，泄密造成</w:t>
            </w:r>
            <w:r>
              <w:rPr>
                <w:rFonts w:hint="eastAsia"/>
                <w:sz w:val="24"/>
                <w:szCs w:val="24"/>
                <w:lang w:eastAsia="zh-CN"/>
              </w:rPr>
              <w:t>采购人</w:t>
            </w:r>
            <w:r>
              <w:rPr>
                <w:sz w:val="24"/>
                <w:szCs w:val="24"/>
              </w:rPr>
              <w:t>损失的；</w:t>
            </w:r>
          </w:p>
          <w:p w14:paraId="389BE55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（7）中标人将中标项目转让或分包给他人；</w:t>
            </w:r>
          </w:p>
          <w:p w14:paraId="0B251754">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（8）中标人应严格遵守食品安全法等相关规定，一经发现供应以下食品，除全部退货外，将取消中标人 的供货资格，中标人并承担由此造成的经济责任和法律责任：</w:t>
            </w:r>
          </w:p>
          <w:p w14:paraId="2634AF7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1）检测发现致病性微生物、农药残留、兽药残留、重金属、污染物质以及其他危害人体健康的物质含 量超过食品安全标准限量的食品。</w:t>
            </w:r>
          </w:p>
          <w:p w14:paraId="4BCDF167">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2）腐败变质、油脂酸败、霉变生虫、污秽不洁、混有异物、参假掺杂或者感官性状异常的食品。</w:t>
            </w:r>
          </w:p>
          <w:p w14:paraId="1007D7C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3）病死、毒死或者死因不明的禽、畜、兽、水产动物肉类及其制品。</w:t>
            </w:r>
          </w:p>
          <w:p w14:paraId="1004B888">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4）未经动物卫生监督机构检疫或者检疫不合格的肉类，或者未经检验或者检验不合格的肉类制品。</w:t>
            </w:r>
          </w:p>
          <w:p w14:paraId="583DDED8">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5）被包装材料、容器、运输工具等污染的食品。</w:t>
            </w:r>
          </w:p>
          <w:p w14:paraId="07F78037">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6）超过保质期的食品。</w:t>
            </w:r>
          </w:p>
          <w:p w14:paraId="66EF2C0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7）用非食品原料生产的食品或添加食品添加剂以外的化学物质和其他可能危害人体健康物质的食品，或者用回收食品作为原料生产的食品。</w:t>
            </w:r>
          </w:p>
          <w:p w14:paraId="38FCF5E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8）营养成分不符合食品安全标准限量的乳制品。</w:t>
            </w:r>
          </w:p>
          <w:p w14:paraId="2E005C85">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9）无标识的预包装食品。</w:t>
            </w:r>
          </w:p>
          <w:p w14:paraId="61220502">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10）国家为防病等特殊需要明令禁止生产经营的食品。</w:t>
            </w:r>
          </w:p>
          <w:p w14:paraId="586058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11） 其他不符合食品安全标准或者要求的食品。</w:t>
            </w:r>
          </w:p>
        </w:tc>
      </w:tr>
      <w:tr w14:paraId="4D434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184D429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191CD39B">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13</w:t>
            </w:r>
          </w:p>
        </w:tc>
        <w:tc>
          <w:tcPr>
            <w:tcW w:w="7515" w:type="dxa"/>
          </w:tcPr>
          <w:p w14:paraId="65B4B4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b w:val="0"/>
                <w:bCs/>
                <w:sz w:val="24"/>
                <w:szCs w:val="24"/>
              </w:rPr>
              <w:t>中标人提供有毒、变质等食品，造成食品安全事故的，经有关单位鉴定原因后，如确实为中标人提供之食品问题，经查实后确属中标人责任的，中标人应承担全部责任，主要包括食物中毒人员医疗费、误工费、事故处理费等。</w:t>
            </w:r>
            <w:r>
              <w:rPr>
                <w:rFonts w:hint="eastAsia"/>
                <w:b w:val="0"/>
                <w:bCs/>
                <w:sz w:val="24"/>
                <w:szCs w:val="24"/>
                <w:lang w:eastAsia="zh-CN"/>
              </w:rPr>
              <w:t>采购人</w:t>
            </w:r>
            <w:r>
              <w:rPr>
                <w:b w:val="0"/>
                <w:bCs/>
                <w:sz w:val="24"/>
                <w:szCs w:val="24"/>
              </w:rPr>
              <w:t>有权解除合同，中标人同时需承担相应的民事或刑事法律责任。</w:t>
            </w:r>
          </w:p>
        </w:tc>
      </w:tr>
      <w:tr w14:paraId="4DB5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2820D8A6">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5048B2A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14</w:t>
            </w:r>
          </w:p>
        </w:tc>
        <w:tc>
          <w:tcPr>
            <w:tcW w:w="7515" w:type="dxa"/>
          </w:tcPr>
          <w:p w14:paraId="09126B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sz w:val="24"/>
                <w:szCs w:val="24"/>
              </w:rPr>
              <w:t>退（补)货流程</w:t>
            </w:r>
          </w:p>
          <w:p w14:paraId="3049B7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szCs w:val="24"/>
              </w:rPr>
            </w:pPr>
            <w:bookmarkStart w:id="0" w:name="_GoBack"/>
            <w:bookmarkEnd w:id="0"/>
            <w:r>
              <w:rPr>
                <w:sz w:val="24"/>
                <w:szCs w:val="24"/>
              </w:rPr>
              <w:t>对不符合质量要求的货物由</w:t>
            </w:r>
            <w:r>
              <w:rPr>
                <w:rFonts w:hint="eastAsia"/>
                <w:sz w:val="24"/>
                <w:szCs w:val="24"/>
                <w:lang w:eastAsia="zh-CN"/>
              </w:rPr>
              <w:t>采购人</w:t>
            </w:r>
            <w:r>
              <w:rPr>
                <w:sz w:val="24"/>
                <w:szCs w:val="24"/>
              </w:rPr>
              <w:t>的验收人员提出退货，且必须在确定退货的30分钟（含）内补送完成。如双方对质量或重量有争议的可送具有检验资质的部门检测，同时留样备检，对数量不足或部分退货的，责成中标人以不影响货物供应为前提尽快补送。若中标人无法补齐数量的，由</w:t>
            </w:r>
            <w:r>
              <w:rPr>
                <w:rFonts w:hint="eastAsia"/>
                <w:sz w:val="24"/>
                <w:szCs w:val="24"/>
                <w:lang w:eastAsia="zh-CN"/>
              </w:rPr>
              <w:t>采购人</w:t>
            </w:r>
            <w:r>
              <w:rPr>
                <w:sz w:val="24"/>
                <w:szCs w:val="24"/>
              </w:rPr>
              <w:t>自行采购，中标人应承担</w:t>
            </w:r>
            <w:r>
              <w:rPr>
                <w:rFonts w:hint="eastAsia"/>
                <w:sz w:val="24"/>
                <w:szCs w:val="24"/>
                <w:lang w:eastAsia="zh-CN"/>
              </w:rPr>
              <w:t>采购人</w:t>
            </w:r>
            <w:r>
              <w:rPr>
                <w:sz w:val="24"/>
                <w:szCs w:val="24"/>
              </w:rPr>
              <w:t>由此造成的经济损失和接受处罚。（对有碍公共卫生安全的食品，应按国家有关规定处理或进行协议销毁，不退货给中标人。）</w:t>
            </w:r>
          </w:p>
          <w:p w14:paraId="676068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《退货记录表》详见合同</w:t>
            </w:r>
          </w:p>
        </w:tc>
      </w:tr>
      <w:tr w14:paraId="7EDCB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5533153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032344A7">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15</w:t>
            </w:r>
          </w:p>
        </w:tc>
        <w:tc>
          <w:tcPr>
            <w:tcW w:w="7515" w:type="dxa"/>
          </w:tcPr>
          <w:p w14:paraId="5F35E7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4"/>
              </w:rPr>
            </w:pPr>
            <w:r>
              <w:rPr>
                <w:b/>
                <w:sz w:val="24"/>
                <w:szCs w:val="24"/>
              </w:rPr>
              <w:t>考核标准</w:t>
            </w:r>
          </w:p>
          <w:p w14:paraId="1ECA5679">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本考核办法以每一个月为一个考核周期，</w:t>
            </w:r>
            <w:r>
              <w:rPr>
                <w:rFonts w:hint="eastAsia"/>
                <w:sz w:val="24"/>
                <w:szCs w:val="24"/>
                <w:lang w:eastAsia="zh-CN"/>
              </w:rPr>
              <w:t>采购人</w:t>
            </w:r>
            <w:r>
              <w:rPr>
                <w:sz w:val="24"/>
                <w:szCs w:val="24"/>
              </w:rPr>
              <w:t>对中标人的食材配送服务进行考核，考核满分为100分。</w:t>
            </w:r>
            <w:r>
              <w:rPr>
                <w:rFonts w:hint="eastAsia"/>
                <w:sz w:val="24"/>
                <w:szCs w:val="24"/>
                <w:lang w:eastAsia="zh-CN"/>
              </w:rPr>
              <w:t>采购人</w:t>
            </w:r>
            <w:r>
              <w:rPr>
                <w:sz w:val="24"/>
                <w:szCs w:val="24"/>
              </w:rPr>
              <w:t>将根据考核期间的配送服务质量结合考核得分情况支付服务费。月考核得分在80分（含）以上的为合格， 全额支付当月服务费；</w:t>
            </w:r>
          </w:p>
          <w:p w14:paraId="5A413E7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（1）月考核得分在80分以下(不含80分)每减少1分，扣除500元/分服务费，不足1分按照1分计算，以此类推计算出当月的服务费；同时</w:t>
            </w:r>
            <w:r>
              <w:rPr>
                <w:rFonts w:hint="eastAsia"/>
                <w:sz w:val="24"/>
                <w:szCs w:val="24"/>
                <w:lang w:eastAsia="zh-CN"/>
              </w:rPr>
              <w:t>采购人</w:t>
            </w:r>
            <w:r>
              <w:rPr>
                <w:sz w:val="24"/>
                <w:szCs w:val="24"/>
              </w:rPr>
              <w:t>向中标人发出限期整改通知书，中标人应虚心接受意见，并在规定限期内作出整改，服务期间的一切经济和法律责任由中标人承担。</w:t>
            </w:r>
          </w:p>
          <w:p w14:paraId="63341010">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（2）服务期内累计出现两次月考核得分低于70分（不含），</w:t>
            </w:r>
            <w:r>
              <w:rPr>
                <w:rFonts w:hint="eastAsia"/>
                <w:sz w:val="24"/>
                <w:szCs w:val="24"/>
                <w:lang w:eastAsia="zh-CN"/>
              </w:rPr>
              <w:t>采购人</w:t>
            </w:r>
            <w:r>
              <w:rPr>
                <w:sz w:val="24"/>
                <w:szCs w:val="24"/>
              </w:rPr>
              <w:t>有权解除合同，重新进行招标。</w:t>
            </w:r>
          </w:p>
          <w:p w14:paraId="6649859D">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《考核制度标准》详见合同</w:t>
            </w:r>
          </w:p>
        </w:tc>
      </w:tr>
      <w:tr w14:paraId="2BB17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3" w:type="dxa"/>
          </w:tcPr>
          <w:p w14:paraId="3E637C9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c>
          <w:tcPr>
            <w:tcW w:w="660" w:type="dxa"/>
          </w:tcPr>
          <w:p w14:paraId="6AF427FB">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sz w:val="24"/>
                <w:szCs w:val="24"/>
              </w:rPr>
              <w:t>16</w:t>
            </w:r>
          </w:p>
        </w:tc>
        <w:tc>
          <w:tcPr>
            <w:tcW w:w="7515" w:type="dxa"/>
          </w:tcPr>
          <w:p w14:paraId="4000CC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bCs/>
                <w:sz w:val="24"/>
                <w:szCs w:val="24"/>
              </w:rPr>
            </w:pPr>
            <w:r>
              <w:rPr>
                <w:b/>
                <w:bCs/>
                <w:sz w:val="24"/>
                <w:szCs w:val="24"/>
              </w:rPr>
              <w:t>溯源标准及要求</w:t>
            </w:r>
          </w:p>
          <w:p w14:paraId="4EF1FDE3">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sz w:val="24"/>
                <w:szCs w:val="24"/>
              </w:rPr>
            </w:pPr>
            <w:r>
              <w:rPr>
                <w:sz w:val="24"/>
                <w:szCs w:val="24"/>
              </w:rPr>
              <w:t>提供加盖中标人公章的货物清单（送货单）。</w:t>
            </w:r>
          </w:p>
          <w:p w14:paraId="474DD3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4"/>
                <w:szCs w:val="24"/>
              </w:rPr>
            </w:pPr>
            <w:r>
              <w:rPr>
                <w:sz w:val="24"/>
                <w:szCs w:val="24"/>
              </w:rPr>
              <w:t>中标人根据自身属性，按照合同《餐饮服务食品采购索证索票管理工作指南》中的采购地点类型以及当地食品监督部门的要求，提供相关证件凭证等。</w:t>
            </w:r>
          </w:p>
        </w:tc>
      </w:tr>
    </w:tbl>
    <w:p w14:paraId="10BF551D">
      <w:pPr>
        <w:jc w:val="center"/>
        <w:rPr>
          <w:rFonts w:hint="eastAsia" w:ascii="宋体" w:hAnsi="宋体" w:cs="宋体"/>
          <w:b/>
          <w:bCs/>
          <w:i w:val="0"/>
          <w:iCs/>
          <w:kern w:val="0"/>
          <w:sz w:val="32"/>
          <w:szCs w:val="32"/>
          <w:u w:val="none"/>
          <w:lang w:val="en-US" w:eastAsia="zh-CN"/>
        </w:rPr>
      </w:pPr>
    </w:p>
    <w:sectPr>
      <w:pgSz w:w="11906" w:h="16838"/>
      <w:pgMar w:top="1383" w:right="1463" w:bottom="138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abstractNum w:abstractNumId="1">
    <w:nsid w:val="0053208E"/>
    <w:multiLevelType w:val="singleLevel"/>
    <w:tmpl w:val="0053208E"/>
    <w:lvl w:ilvl="0" w:tentative="0">
      <w:start w:val="1"/>
      <w:numFmt w:val="bullet"/>
      <w:lvlText w:val="⚫"/>
      <w:lvlJc w:val="left"/>
      <w:pPr>
        <w:ind w:left="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C514E"/>
    <w:rsid w:val="5C79643E"/>
    <w:rsid w:val="65C8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444444"/>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11095</Words>
  <Characters>11433</Characters>
  <Lines>0</Lines>
  <Paragraphs>0</Paragraphs>
  <TotalTime>20</TotalTime>
  <ScaleCrop>false</ScaleCrop>
  <LinksUpToDate>false</LinksUpToDate>
  <CharactersWithSpaces>11485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2025-03-31T02:30:00Z</dcterms:created>
  <dc:creator>Administrator</dc:creator>
  <cp:lastModifiedBy>浅浅</cp:lastModifiedBy>
  <dcterms:modified xsi:type="dcterms:W3CDTF">2025-03-31T06:36:45Z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eyJoZGlkIjoiZjgyMzdhMjc5MTU1NWUyMjQ2YjcxNTE0ZDY0MGFjNTgiLCJ1c2VySWQiOiIyOTM4MzE1NjEifQ==</vt:lpwstr>
  </property>
  <property fmtid="{D5CDD505-2E9C-101B-9397-08002B2CF9AE}" pid="4" name="ICV">
    <vt:lpwstr>1FCECD7153704BDDBE68D09917D107D5_12</vt:lpwstr>
  </property>
</Properties>
</file>