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BF37">
      <w:pPr>
        <w:pStyle w:val="12"/>
        <w:jc w:val="center"/>
        <w:outlineLvl w:val="1"/>
        <w:rPr>
          <w:color w:val="auto"/>
          <w:highlight w:val="none"/>
        </w:rPr>
      </w:pPr>
      <w:r>
        <w:rPr>
          <w:b/>
          <w:color w:val="auto"/>
          <w:sz w:val="36"/>
          <w:highlight w:val="none"/>
        </w:rPr>
        <w:t>第二章 采购需求</w:t>
      </w:r>
    </w:p>
    <w:p w14:paraId="4764AA5D">
      <w:pPr>
        <w:pStyle w:val="12"/>
        <w:outlineLvl w:val="2"/>
        <w:rPr>
          <w:color w:val="auto"/>
          <w:highlight w:val="none"/>
        </w:rPr>
      </w:pPr>
      <w:r>
        <w:rPr>
          <w:b/>
          <w:color w:val="auto"/>
          <w:sz w:val="28"/>
          <w:highlight w:val="none"/>
        </w:rPr>
        <w:t>一、项目概况：</w:t>
      </w:r>
    </w:p>
    <w:p w14:paraId="16277DBD">
      <w:pPr>
        <w:pStyle w:val="12"/>
        <w:ind w:firstLine="420" w:firstLineChars="200"/>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本项目致力于打造综合性、智能化的佛山市功能型无人车管理服务平台。该平台既是贯彻落实国家、省、市功能型无人车政策法规的核心载体，也是促进产业发展的重要引擎。作为核心载体，通过全生命周期监管实现政策有效落地，依托全流程实时监管、动态路权管理等功能，采集行驶轨迹、速度等数据，形成监管闭环，保障道路交通安全与运输秩序；作为重要引擎，整合资源与信息，提供</w:t>
      </w:r>
      <w:r>
        <w:rPr>
          <w:rFonts w:hint="eastAsia"/>
          <w:color w:val="auto"/>
          <w:sz w:val="21"/>
          <w:szCs w:val="21"/>
          <w:highlight w:val="none"/>
          <w:lang w:val="en-US" w:eastAsia="zh-CN"/>
        </w:rPr>
        <w:t>功能型无人车</w:t>
      </w:r>
      <w:r>
        <w:rPr>
          <w:rFonts w:hint="default" w:eastAsia="宋体"/>
          <w:color w:val="auto"/>
          <w:sz w:val="21"/>
          <w:szCs w:val="21"/>
          <w:highlight w:val="none"/>
          <w:lang w:val="en-US" w:eastAsia="zh-CN"/>
        </w:rPr>
        <w:t>上路审批，加速主体商业化落地与产业规模扩张，助力佛山打造特色产业集群并提升全国影响力；同时，平台深度融入智慧城市建设体系，与其他城市管理系统协同作业，优化无人物流配送、无人环卫等应用场景，提升城市服务质量与整体运行效率，推动佛山成为功能型无人车高质量发展示范城市。</w:t>
      </w:r>
    </w:p>
    <w:p w14:paraId="31724D64">
      <w:pPr>
        <w:pStyle w:val="12"/>
        <w:ind w:firstLine="420" w:firstLineChars="200"/>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项目总体建设</w:t>
      </w:r>
      <w:r>
        <w:rPr>
          <w:rFonts w:hint="eastAsia" w:eastAsia="宋体" w:cs="Times New Roman"/>
          <w:color w:val="auto"/>
          <w:sz w:val="21"/>
          <w:szCs w:val="21"/>
          <w:highlight w:val="none"/>
          <w:lang w:val="en-US" w:eastAsia="zh-CN"/>
        </w:rPr>
        <w:t>内容包含软件开发及系统业务运营</w:t>
      </w:r>
      <w:r>
        <w:rPr>
          <w:rFonts w:hint="eastAsia" w:cs="Times New Roman"/>
          <w:color w:val="auto"/>
          <w:sz w:val="21"/>
          <w:szCs w:val="21"/>
          <w:highlight w:val="none"/>
          <w:lang w:val="en-US" w:eastAsia="zh-CN"/>
        </w:rPr>
        <w:t>：</w:t>
      </w:r>
    </w:p>
    <w:p w14:paraId="3DE4682C">
      <w:pPr>
        <w:pStyle w:val="12"/>
        <w:ind w:firstLine="420" w:firstLineChars="200"/>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eastAsia" w:eastAsia="宋体" w:cs="Times New Roman"/>
          <w:color w:val="auto"/>
          <w:sz w:val="21"/>
          <w:szCs w:val="21"/>
          <w:highlight w:val="none"/>
          <w:lang w:val="en-US" w:eastAsia="zh-CN"/>
        </w:rPr>
        <w:t>软件开发主要内容为车辆动态一张图、基础业务数据管理、道路测试主体信息档案管理、商业应用主体信息档案管理、业务办理、行业监管、安全监测、视频监控和个人工作台等模块</w:t>
      </w:r>
      <w:r>
        <w:rPr>
          <w:rFonts w:hint="eastAsia" w:eastAsia="宋体" w:cs="Times New Roman"/>
          <w:color w:val="auto"/>
          <w:sz w:val="21"/>
          <w:szCs w:val="21"/>
          <w:highlight w:val="none"/>
          <w:lang w:val="en-US" w:eastAsia="zh-CN"/>
        </w:rPr>
        <w:t>。</w:t>
      </w:r>
    </w:p>
    <w:p w14:paraId="0BEC01B2">
      <w:pPr>
        <w:pStyle w:val="12"/>
        <w:ind w:firstLine="420" w:firstLineChars="200"/>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eastAsia="宋体" w:cs="Times New Roman"/>
          <w:color w:val="auto"/>
          <w:sz w:val="21"/>
          <w:szCs w:val="21"/>
          <w:highlight w:val="none"/>
          <w:lang w:val="en-US" w:eastAsia="zh-CN"/>
        </w:rPr>
        <w:t>系统业务运营</w:t>
      </w:r>
      <w:r>
        <w:rPr>
          <w:rFonts w:hint="eastAsia" w:eastAsia="宋体" w:cs="Times New Roman"/>
          <w:color w:val="auto"/>
          <w:sz w:val="21"/>
          <w:szCs w:val="21"/>
          <w:highlight w:val="none"/>
          <w:lang w:val="en-US" w:eastAsia="zh-CN"/>
        </w:rPr>
        <w:t>主要提供数据处理运营服务，包括等数据归集与整合治理、数据管理体系建设、数据统计分析与可视化展示等内容。</w:t>
      </w:r>
    </w:p>
    <w:p w14:paraId="60E49B6A">
      <w:pPr>
        <w:pStyle w:val="12"/>
        <w:rPr>
          <w:color w:val="auto"/>
          <w:sz w:val="21"/>
          <w:szCs w:val="21"/>
          <w:highlight w:val="none"/>
        </w:rPr>
      </w:pPr>
      <w:r>
        <w:rPr>
          <w:b/>
          <w:color w:val="auto"/>
          <w:sz w:val="21"/>
          <w:szCs w:val="21"/>
          <w:highlight w:val="none"/>
        </w:rPr>
        <w:t>1.主要商务要求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9"/>
        <w:gridCol w:w="6287"/>
      </w:tblGrid>
      <w:tr w14:paraId="7CCA1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noWrap w:val="0"/>
            <w:vAlign w:val="center"/>
          </w:tcPr>
          <w:p w14:paraId="0B149943">
            <w:pPr>
              <w:pStyle w:val="12"/>
              <w:jc w:val="center"/>
              <w:rPr>
                <w:color w:val="auto"/>
                <w:sz w:val="21"/>
                <w:szCs w:val="21"/>
                <w:highlight w:val="none"/>
              </w:rPr>
            </w:pPr>
            <w:r>
              <w:rPr>
                <w:color w:val="auto"/>
                <w:sz w:val="21"/>
                <w:szCs w:val="21"/>
                <w:highlight w:val="none"/>
              </w:rPr>
              <w:t>标的提供的时间</w:t>
            </w:r>
          </w:p>
        </w:tc>
        <w:tc>
          <w:tcPr>
            <w:tcW w:w="6287" w:type="dxa"/>
            <w:noWrap w:val="0"/>
            <w:vAlign w:val="top"/>
          </w:tcPr>
          <w:p w14:paraId="58D1F3D1">
            <w:pPr>
              <w:pStyle w:val="12"/>
              <w:rPr>
                <w:rFonts w:hint="eastAsia" w:eastAsia="宋体"/>
                <w:color w:val="auto"/>
                <w:sz w:val="21"/>
                <w:szCs w:val="21"/>
                <w:highlight w:val="none"/>
                <w:lang w:eastAsia="zh-CN"/>
              </w:rPr>
            </w:pPr>
            <w:r>
              <w:rPr>
                <w:rFonts w:hint="eastAsia"/>
                <w:color w:val="auto"/>
                <w:sz w:val="21"/>
                <w:szCs w:val="21"/>
                <w:highlight w:val="none"/>
                <w:lang w:eastAsia="zh-CN"/>
              </w:rPr>
              <w:t>合同签订之日起</w:t>
            </w:r>
            <w:r>
              <w:rPr>
                <w:rFonts w:hint="eastAsia"/>
                <w:color w:val="auto"/>
                <w:sz w:val="21"/>
                <w:szCs w:val="21"/>
                <w:highlight w:val="none"/>
                <w:lang w:val="en-US" w:eastAsia="zh-CN"/>
              </w:rPr>
              <w:t>9</w:t>
            </w:r>
            <w:r>
              <w:rPr>
                <w:rFonts w:hint="eastAsia"/>
                <w:color w:val="auto"/>
                <w:sz w:val="21"/>
                <w:szCs w:val="21"/>
                <w:highlight w:val="none"/>
                <w:lang w:eastAsia="zh-CN"/>
              </w:rPr>
              <w:t>个月内</w:t>
            </w:r>
            <w:r>
              <w:rPr>
                <w:color w:val="auto"/>
                <w:sz w:val="21"/>
                <w:szCs w:val="21"/>
                <w:highlight w:val="none"/>
              </w:rPr>
              <w:t>完成采购人合同验收，采购人验收合格后，协助采购人完成政数部门符合性验收。</w:t>
            </w:r>
            <w:r>
              <w:rPr>
                <w:rFonts w:hint="eastAsia"/>
                <w:color w:val="auto"/>
                <w:sz w:val="21"/>
                <w:szCs w:val="21"/>
                <w:highlight w:val="none"/>
              </w:rPr>
              <w:t>项目终验后提供1年运维服务</w:t>
            </w:r>
            <w:r>
              <w:rPr>
                <w:rFonts w:hint="eastAsia"/>
                <w:color w:val="auto"/>
                <w:sz w:val="21"/>
                <w:szCs w:val="21"/>
                <w:highlight w:val="none"/>
                <w:lang w:eastAsia="zh-CN"/>
              </w:rPr>
              <w:t>。</w:t>
            </w:r>
          </w:p>
        </w:tc>
      </w:tr>
      <w:tr w14:paraId="1CA0C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noWrap w:val="0"/>
            <w:vAlign w:val="center"/>
          </w:tcPr>
          <w:p w14:paraId="70B8183E">
            <w:pPr>
              <w:pStyle w:val="12"/>
              <w:jc w:val="center"/>
              <w:rPr>
                <w:color w:val="auto"/>
                <w:sz w:val="21"/>
                <w:szCs w:val="21"/>
                <w:highlight w:val="none"/>
              </w:rPr>
            </w:pPr>
            <w:r>
              <w:rPr>
                <w:color w:val="auto"/>
                <w:sz w:val="21"/>
                <w:szCs w:val="21"/>
                <w:highlight w:val="none"/>
              </w:rPr>
              <w:t>标的提供的地点</w:t>
            </w:r>
          </w:p>
        </w:tc>
        <w:tc>
          <w:tcPr>
            <w:tcW w:w="6287" w:type="dxa"/>
            <w:noWrap w:val="0"/>
            <w:vAlign w:val="top"/>
          </w:tcPr>
          <w:p w14:paraId="487C8D20">
            <w:pPr>
              <w:pStyle w:val="12"/>
              <w:rPr>
                <w:color w:val="auto"/>
                <w:sz w:val="21"/>
                <w:szCs w:val="21"/>
                <w:highlight w:val="none"/>
              </w:rPr>
            </w:pPr>
            <w:r>
              <w:rPr>
                <w:color w:val="auto"/>
                <w:sz w:val="21"/>
                <w:szCs w:val="21"/>
                <w:highlight w:val="none"/>
              </w:rPr>
              <w:t>采购人指定地点。</w:t>
            </w:r>
          </w:p>
        </w:tc>
      </w:tr>
      <w:tr w14:paraId="71645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noWrap w:val="0"/>
            <w:vAlign w:val="center"/>
          </w:tcPr>
          <w:p w14:paraId="01862A4D">
            <w:pPr>
              <w:pStyle w:val="12"/>
              <w:jc w:val="center"/>
              <w:rPr>
                <w:color w:val="auto"/>
                <w:sz w:val="21"/>
                <w:szCs w:val="21"/>
                <w:highlight w:val="none"/>
              </w:rPr>
            </w:pPr>
            <w:r>
              <w:rPr>
                <w:color w:val="auto"/>
                <w:sz w:val="21"/>
                <w:szCs w:val="21"/>
                <w:highlight w:val="none"/>
              </w:rPr>
              <w:t>付款方式</w:t>
            </w:r>
          </w:p>
        </w:tc>
        <w:tc>
          <w:tcPr>
            <w:tcW w:w="6287" w:type="dxa"/>
            <w:noWrap w:val="0"/>
            <w:vAlign w:val="top"/>
          </w:tcPr>
          <w:p w14:paraId="2C652EC3">
            <w:pPr>
              <w:pStyle w:val="12"/>
              <w:rPr>
                <w:rFonts w:hint="eastAsia" w:eastAsia="宋体"/>
                <w:color w:val="auto"/>
                <w:sz w:val="21"/>
                <w:szCs w:val="21"/>
                <w:highlight w:val="none"/>
                <w:lang w:eastAsia="zh-CN"/>
              </w:rPr>
            </w:pPr>
            <w:r>
              <w:rPr>
                <w:color w:val="auto"/>
                <w:sz w:val="21"/>
                <w:szCs w:val="21"/>
                <w:highlight w:val="none"/>
              </w:rPr>
              <w:t>1期：支付比例</w:t>
            </w:r>
            <w:r>
              <w:rPr>
                <w:rFonts w:hint="eastAsia"/>
                <w:color w:val="auto"/>
                <w:sz w:val="21"/>
                <w:szCs w:val="21"/>
                <w:highlight w:val="none"/>
                <w:lang w:val="en-US" w:eastAsia="zh-CN"/>
              </w:rPr>
              <w:t>4</w:t>
            </w:r>
            <w:r>
              <w:rPr>
                <w:color w:val="auto"/>
                <w:sz w:val="21"/>
                <w:szCs w:val="21"/>
                <w:highlight w:val="none"/>
              </w:rPr>
              <w:t>0%,</w:t>
            </w:r>
            <w:r>
              <w:rPr>
                <w:rFonts w:hint="eastAsia"/>
                <w:color w:val="auto"/>
                <w:sz w:val="21"/>
                <w:szCs w:val="21"/>
                <w:highlight w:val="none"/>
                <w:lang w:val="en-US" w:eastAsia="zh-CN"/>
              </w:rPr>
              <w:t xml:space="preserve">  </w:t>
            </w:r>
            <w:r>
              <w:rPr>
                <w:color w:val="auto"/>
                <w:sz w:val="21"/>
                <w:szCs w:val="21"/>
                <w:highlight w:val="none"/>
              </w:rPr>
              <w:t>合同签订生效后，</w:t>
            </w:r>
            <w:r>
              <w:rPr>
                <w:rFonts w:hint="eastAsia"/>
                <w:color w:val="auto"/>
                <w:sz w:val="21"/>
                <w:szCs w:val="21"/>
                <w:highlight w:val="none"/>
                <w:lang w:eastAsia="zh-CN"/>
              </w:rPr>
              <w:t>成交供应商向采购人提交实施方案，实施方案经采购人确认后，</w:t>
            </w:r>
            <w:r>
              <w:rPr>
                <w:color w:val="auto"/>
                <w:sz w:val="21"/>
                <w:szCs w:val="21"/>
                <w:highlight w:val="none"/>
              </w:rPr>
              <w:t>采购人向成交供应商支付合同总价的</w:t>
            </w:r>
            <w:r>
              <w:rPr>
                <w:rFonts w:hint="eastAsia"/>
                <w:color w:val="auto"/>
                <w:sz w:val="21"/>
                <w:szCs w:val="21"/>
                <w:highlight w:val="none"/>
                <w:lang w:val="en-US" w:eastAsia="zh-CN"/>
              </w:rPr>
              <w:t>4</w:t>
            </w:r>
            <w:r>
              <w:rPr>
                <w:color w:val="auto"/>
                <w:sz w:val="21"/>
                <w:szCs w:val="21"/>
                <w:highlight w:val="none"/>
              </w:rPr>
              <w:t>0%；</w:t>
            </w:r>
          </w:p>
          <w:p w14:paraId="6297438B">
            <w:pPr>
              <w:pStyle w:val="12"/>
              <w:rPr>
                <w:color w:val="auto"/>
                <w:sz w:val="21"/>
                <w:szCs w:val="21"/>
                <w:highlight w:val="none"/>
              </w:rPr>
            </w:pPr>
            <w:r>
              <w:rPr>
                <w:rFonts w:hint="eastAsia"/>
                <w:color w:val="auto"/>
                <w:sz w:val="21"/>
                <w:szCs w:val="21"/>
                <w:highlight w:val="none"/>
                <w:lang w:val="en-US" w:eastAsia="zh-CN"/>
              </w:rPr>
              <w:t>2</w:t>
            </w:r>
            <w:r>
              <w:rPr>
                <w:color w:val="auto"/>
                <w:sz w:val="21"/>
                <w:szCs w:val="21"/>
                <w:highlight w:val="none"/>
              </w:rPr>
              <w:t>期：支付比例</w:t>
            </w:r>
            <w:r>
              <w:rPr>
                <w:rFonts w:hint="eastAsia"/>
                <w:color w:val="auto"/>
                <w:sz w:val="21"/>
                <w:szCs w:val="21"/>
                <w:highlight w:val="none"/>
                <w:lang w:val="en-US" w:eastAsia="zh-CN"/>
              </w:rPr>
              <w:t>3</w:t>
            </w:r>
            <w:r>
              <w:rPr>
                <w:color w:val="auto"/>
                <w:sz w:val="21"/>
                <w:szCs w:val="21"/>
                <w:highlight w:val="none"/>
              </w:rPr>
              <w:t>0%,</w:t>
            </w:r>
            <w:r>
              <w:rPr>
                <w:rFonts w:hint="eastAsia"/>
                <w:color w:val="auto"/>
                <w:sz w:val="21"/>
                <w:szCs w:val="21"/>
                <w:highlight w:val="none"/>
                <w:lang w:val="en-US" w:eastAsia="zh-CN"/>
              </w:rPr>
              <w:t xml:space="preserve"> </w:t>
            </w:r>
            <w:r>
              <w:rPr>
                <w:rFonts w:hint="eastAsia"/>
                <w:color w:val="auto"/>
                <w:sz w:val="21"/>
                <w:szCs w:val="21"/>
                <w:highlight w:val="none"/>
                <w:lang w:val="en-US" w:eastAsia="zh-CN"/>
              </w:rPr>
              <w:t xml:space="preserve"> 2026年11月20日前，成交供应商向采购人提交阶段实施报告，阶段实施报告经采购人确认后，采购人向成交供应商支付合同总额的30%。</w:t>
            </w:r>
          </w:p>
          <w:p w14:paraId="1178E3D6">
            <w:pPr>
              <w:pStyle w:val="12"/>
              <w:rPr>
                <w:rFonts w:hint="eastAsia" w:eastAsia="宋体"/>
                <w:color w:val="auto"/>
                <w:sz w:val="21"/>
                <w:szCs w:val="21"/>
                <w:highlight w:val="none"/>
                <w:lang w:val="en-US" w:eastAsia="zh-CN"/>
              </w:rPr>
            </w:pPr>
            <w:r>
              <w:rPr>
                <w:rFonts w:hint="eastAsia"/>
                <w:color w:val="auto"/>
                <w:sz w:val="21"/>
                <w:szCs w:val="21"/>
                <w:highlight w:val="none"/>
                <w:lang w:val="en-US" w:eastAsia="zh-CN"/>
              </w:rPr>
              <w:t>3期：</w:t>
            </w:r>
            <w:r>
              <w:rPr>
                <w:color w:val="auto"/>
                <w:sz w:val="21"/>
                <w:szCs w:val="21"/>
                <w:highlight w:val="none"/>
              </w:rPr>
              <w:t>支付比例</w:t>
            </w:r>
            <w:r>
              <w:rPr>
                <w:rFonts w:hint="eastAsia"/>
                <w:color w:val="auto"/>
                <w:sz w:val="21"/>
                <w:szCs w:val="21"/>
                <w:highlight w:val="none"/>
                <w:lang w:val="en-US" w:eastAsia="zh-CN"/>
              </w:rPr>
              <w:t>3</w:t>
            </w:r>
            <w:r>
              <w:rPr>
                <w:color w:val="auto"/>
                <w:sz w:val="21"/>
                <w:szCs w:val="21"/>
                <w:highlight w:val="none"/>
              </w:rPr>
              <w:t>0%,</w:t>
            </w:r>
            <w:r>
              <w:rPr>
                <w:rFonts w:hint="eastAsia"/>
                <w:color w:val="auto"/>
                <w:sz w:val="21"/>
                <w:szCs w:val="21"/>
                <w:highlight w:val="none"/>
                <w:lang w:val="en-US" w:eastAsia="zh-CN"/>
              </w:rPr>
              <w:t xml:space="preserve"> </w:t>
            </w:r>
            <w:bookmarkStart w:id="9" w:name="_GoBack"/>
            <w:bookmarkEnd w:id="9"/>
            <w:r>
              <w:rPr>
                <w:color w:val="auto"/>
                <w:sz w:val="21"/>
                <w:szCs w:val="21"/>
                <w:highlight w:val="none"/>
              </w:rPr>
              <w:t>项目实施完毕并通过验收后，采购人向成交供应商支付合同总价的</w:t>
            </w:r>
            <w:r>
              <w:rPr>
                <w:rFonts w:hint="eastAsia"/>
                <w:color w:val="auto"/>
                <w:sz w:val="21"/>
                <w:szCs w:val="21"/>
                <w:highlight w:val="none"/>
                <w:lang w:val="en-US" w:eastAsia="zh-CN"/>
              </w:rPr>
              <w:t>3</w:t>
            </w:r>
            <w:r>
              <w:rPr>
                <w:color w:val="auto"/>
                <w:sz w:val="21"/>
                <w:szCs w:val="21"/>
                <w:highlight w:val="none"/>
              </w:rPr>
              <w:t>0%。</w:t>
            </w:r>
          </w:p>
          <w:p w14:paraId="1E7209C2">
            <w:pPr>
              <w:pStyle w:val="12"/>
              <w:rPr>
                <w:color w:val="auto"/>
                <w:sz w:val="21"/>
                <w:szCs w:val="21"/>
                <w:highlight w:val="none"/>
              </w:rPr>
            </w:pPr>
            <w:r>
              <w:rPr>
                <w:color w:val="auto"/>
                <w:sz w:val="21"/>
                <w:szCs w:val="21"/>
                <w:highlight w:val="none"/>
              </w:rPr>
              <w:t>如项目发生合同融资，采购人应当将合同款项支付到合同约定收款账户。</w:t>
            </w:r>
          </w:p>
        </w:tc>
      </w:tr>
      <w:tr w14:paraId="1480D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noWrap w:val="0"/>
            <w:vAlign w:val="center"/>
          </w:tcPr>
          <w:p w14:paraId="3D76C5D0">
            <w:pPr>
              <w:pStyle w:val="12"/>
              <w:jc w:val="center"/>
              <w:rPr>
                <w:color w:val="auto"/>
                <w:sz w:val="21"/>
                <w:szCs w:val="21"/>
                <w:highlight w:val="none"/>
              </w:rPr>
            </w:pPr>
            <w:r>
              <w:rPr>
                <w:color w:val="auto"/>
                <w:sz w:val="21"/>
                <w:szCs w:val="21"/>
                <w:highlight w:val="none"/>
              </w:rPr>
              <w:t>验收要求</w:t>
            </w:r>
          </w:p>
        </w:tc>
        <w:tc>
          <w:tcPr>
            <w:tcW w:w="6287" w:type="dxa"/>
            <w:noWrap w:val="0"/>
            <w:vAlign w:val="top"/>
          </w:tcPr>
          <w:p w14:paraId="76E7C72A">
            <w:pPr>
              <w:pStyle w:val="12"/>
              <w:rPr>
                <w:color w:val="auto"/>
                <w:highlight w:val="none"/>
              </w:rPr>
            </w:pPr>
            <w:r>
              <w:rPr>
                <w:color w:val="auto"/>
                <w:highlight w:val="none"/>
              </w:rPr>
              <w:t>1.采购人在收到</w:t>
            </w:r>
            <w:r>
              <w:rPr>
                <w:rFonts w:hint="eastAsia"/>
                <w:color w:val="auto"/>
                <w:highlight w:val="none"/>
                <w:lang w:eastAsia="zh-CN"/>
              </w:rPr>
              <w:t>成交供应商</w:t>
            </w:r>
            <w:r>
              <w:rPr>
                <w:color w:val="auto"/>
                <w:highlight w:val="none"/>
              </w:rPr>
              <w:t>项目验收申请之日起7个工作日内按照合同的约定对履约情况进行验收。</w:t>
            </w:r>
            <w:r>
              <w:rPr>
                <w:rFonts w:hint="eastAsia"/>
                <w:color w:val="auto"/>
                <w:highlight w:val="none"/>
                <w:lang w:eastAsia="zh-CN"/>
              </w:rPr>
              <w:t>成交供应商</w:t>
            </w:r>
            <w:r>
              <w:rPr>
                <w:color w:val="auto"/>
                <w:highlight w:val="none"/>
              </w:rPr>
              <w:t>需为验收提供必需的一切条件及相关费用，积极配合采购人完成验收工作。</w:t>
            </w:r>
          </w:p>
          <w:p w14:paraId="17AC0727">
            <w:pPr>
              <w:pStyle w:val="12"/>
              <w:rPr>
                <w:color w:val="auto"/>
                <w:highlight w:val="none"/>
              </w:rPr>
            </w:pPr>
            <w:r>
              <w:rPr>
                <w:color w:val="auto"/>
                <w:highlight w:val="none"/>
              </w:rPr>
              <w:t>2.验收标准：验收的主要依据包括本招标需求书、</w:t>
            </w:r>
            <w:r>
              <w:rPr>
                <w:rFonts w:hint="eastAsia"/>
                <w:color w:val="auto"/>
                <w:highlight w:val="none"/>
                <w:lang w:val="en-US" w:eastAsia="zh-CN"/>
              </w:rPr>
              <w:t>响应</w:t>
            </w:r>
            <w:r>
              <w:rPr>
                <w:color w:val="auto"/>
                <w:highlight w:val="none"/>
              </w:rPr>
              <w:t>文件、合同文件以及用户需求说明书和设计方案。</w:t>
            </w:r>
          </w:p>
          <w:p w14:paraId="2DC76173">
            <w:pPr>
              <w:pStyle w:val="12"/>
              <w:rPr>
                <w:color w:val="auto"/>
                <w:highlight w:val="none"/>
              </w:rPr>
            </w:pPr>
            <w:r>
              <w:rPr>
                <w:color w:val="auto"/>
                <w:highlight w:val="none"/>
              </w:rPr>
              <w:t>3.验收要求：</w:t>
            </w:r>
          </w:p>
          <w:p w14:paraId="5B281A68">
            <w:pPr>
              <w:pStyle w:val="12"/>
              <w:rPr>
                <w:color w:val="auto"/>
                <w:highlight w:val="none"/>
              </w:rPr>
            </w:pPr>
            <w:r>
              <w:rPr>
                <w:color w:val="auto"/>
                <w:highlight w:val="none"/>
              </w:rPr>
              <w:t>1）合同验收：以本项目内所有应用系统开发完成并安装使用、相关技术文档均已提交并通过审核、系统至少试运行一个月为标志。合同验收将依据项目合同、系统需求说明书的要求进行验收，合同验收方案必须经由采购人、</w:t>
            </w:r>
            <w:r>
              <w:rPr>
                <w:rFonts w:hint="eastAsia"/>
                <w:color w:val="auto"/>
                <w:highlight w:val="none"/>
                <w:lang w:eastAsia="zh-CN"/>
              </w:rPr>
              <w:t>成交供应商</w:t>
            </w:r>
            <w:r>
              <w:rPr>
                <w:color w:val="auto"/>
                <w:highlight w:val="none"/>
              </w:rPr>
              <w:t>及监理公司的技术人员三方审定通过，三方对系统进行项目合同验收，采购人、</w:t>
            </w:r>
            <w:r>
              <w:rPr>
                <w:rFonts w:hint="eastAsia"/>
                <w:color w:val="auto"/>
                <w:highlight w:val="none"/>
                <w:lang w:eastAsia="zh-CN"/>
              </w:rPr>
              <w:t>成交供应商</w:t>
            </w:r>
            <w:r>
              <w:rPr>
                <w:color w:val="auto"/>
                <w:highlight w:val="none"/>
              </w:rPr>
              <w:t>、监理方共同签署《项目验收报告》。</w:t>
            </w:r>
          </w:p>
          <w:p w14:paraId="1FC0F6E7">
            <w:pPr>
              <w:pStyle w:val="12"/>
              <w:rPr>
                <w:rFonts w:hint="eastAsia" w:eastAsia="宋体"/>
                <w:color w:val="auto"/>
                <w:sz w:val="21"/>
                <w:szCs w:val="21"/>
                <w:highlight w:val="none"/>
                <w:lang w:val="en-US" w:eastAsia="zh-CN"/>
              </w:rPr>
            </w:pPr>
            <w:r>
              <w:rPr>
                <w:color w:val="auto"/>
                <w:highlight w:val="none"/>
              </w:rPr>
              <w:t>2）项目符合性验收：以合同验收合格1个月内，采购人向政数部门提出符合性验收申请。</w:t>
            </w:r>
            <w:r>
              <w:rPr>
                <w:rFonts w:hint="eastAsia"/>
                <w:color w:val="auto"/>
                <w:highlight w:val="none"/>
                <w:lang w:eastAsia="zh-CN"/>
              </w:rPr>
              <w:t>成交供应商</w:t>
            </w:r>
            <w:r>
              <w:rPr>
                <w:color w:val="auto"/>
                <w:highlight w:val="none"/>
              </w:rPr>
              <w:t>须积极配合本项目的符合性验收工作，确保符合性验收能顺利通过。如由于</w:t>
            </w:r>
            <w:r>
              <w:rPr>
                <w:rFonts w:hint="eastAsia"/>
                <w:color w:val="auto"/>
                <w:highlight w:val="none"/>
                <w:lang w:eastAsia="zh-CN"/>
              </w:rPr>
              <w:t>成交供应商</w:t>
            </w:r>
            <w:r>
              <w:rPr>
                <w:color w:val="auto"/>
                <w:highlight w:val="none"/>
              </w:rPr>
              <w:t>原因导致符合性验收未能提供的，由</w:t>
            </w:r>
            <w:r>
              <w:rPr>
                <w:rFonts w:hint="eastAsia"/>
                <w:color w:val="auto"/>
                <w:highlight w:val="none"/>
                <w:lang w:eastAsia="zh-CN"/>
              </w:rPr>
              <w:t>成交供应商</w:t>
            </w:r>
            <w:r>
              <w:rPr>
                <w:color w:val="auto"/>
                <w:highlight w:val="none"/>
              </w:rPr>
              <w:t>负责完善，直至符合性验收通过为止。</w:t>
            </w:r>
          </w:p>
        </w:tc>
      </w:tr>
      <w:tr w14:paraId="02CDF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noWrap w:val="0"/>
            <w:vAlign w:val="center"/>
          </w:tcPr>
          <w:p w14:paraId="4B7B29EB">
            <w:pPr>
              <w:pStyle w:val="12"/>
              <w:jc w:val="center"/>
              <w:rPr>
                <w:color w:val="auto"/>
                <w:sz w:val="21"/>
                <w:szCs w:val="21"/>
                <w:highlight w:val="none"/>
              </w:rPr>
            </w:pPr>
            <w:r>
              <w:rPr>
                <w:color w:val="auto"/>
                <w:sz w:val="21"/>
                <w:szCs w:val="21"/>
                <w:highlight w:val="none"/>
              </w:rPr>
              <w:t>履约保证金</w:t>
            </w:r>
          </w:p>
        </w:tc>
        <w:tc>
          <w:tcPr>
            <w:tcW w:w="6287" w:type="dxa"/>
            <w:noWrap w:val="0"/>
            <w:vAlign w:val="top"/>
          </w:tcPr>
          <w:p w14:paraId="62F8C22D">
            <w:pPr>
              <w:pStyle w:val="12"/>
              <w:rPr>
                <w:color w:val="auto"/>
                <w:sz w:val="21"/>
                <w:szCs w:val="21"/>
                <w:highlight w:val="none"/>
              </w:rPr>
            </w:pPr>
            <w:r>
              <w:rPr>
                <w:color w:val="auto"/>
                <w:sz w:val="21"/>
                <w:szCs w:val="21"/>
                <w:highlight w:val="none"/>
              </w:rPr>
              <w:t>不收取</w:t>
            </w:r>
          </w:p>
        </w:tc>
      </w:tr>
      <w:tr w14:paraId="70A0F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9" w:type="dxa"/>
            <w:noWrap w:val="0"/>
            <w:vAlign w:val="center"/>
          </w:tcPr>
          <w:p w14:paraId="347CA5DD">
            <w:pPr>
              <w:pStyle w:val="12"/>
              <w:jc w:val="center"/>
              <w:rPr>
                <w:color w:val="auto"/>
                <w:sz w:val="21"/>
                <w:szCs w:val="21"/>
                <w:highlight w:val="none"/>
              </w:rPr>
            </w:pPr>
            <w:r>
              <w:rPr>
                <w:color w:val="auto"/>
                <w:sz w:val="21"/>
                <w:szCs w:val="21"/>
                <w:highlight w:val="none"/>
              </w:rPr>
              <w:t>其他</w:t>
            </w:r>
          </w:p>
        </w:tc>
        <w:tc>
          <w:tcPr>
            <w:tcW w:w="6287" w:type="dxa"/>
            <w:noWrap w:val="0"/>
            <w:vAlign w:val="top"/>
          </w:tcPr>
          <w:p w14:paraId="170911E0">
            <w:pPr>
              <w:pStyle w:val="12"/>
              <w:rPr>
                <w:color w:val="auto"/>
                <w:sz w:val="21"/>
                <w:szCs w:val="21"/>
                <w:highlight w:val="none"/>
              </w:rPr>
            </w:pPr>
          </w:p>
        </w:tc>
      </w:tr>
    </w:tbl>
    <w:p w14:paraId="61272D47">
      <w:pPr>
        <w:pStyle w:val="12"/>
        <w:rPr>
          <w:color w:val="auto"/>
          <w:sz w:val="21"/>
          <w:szCs w:val="21"/>
          <w:highlight w:val="none"/>
        </w:rPr>
      </w:pPr>
      <w:r>
        <w:rPr>
          <w:color w:val="auto"/>
          <w:sz w:val="21"/>
          <w:szCs w:val="21"/>
          <w:highlight w:val="none"/>
        </w:rPr>
        <w:t>其他商务需求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829"/>
        <w:gridCol w:w="1630"/>
        <w:gridCol w:w="5171"/>
        <w:gridCol w:w="3"/>
      </w:tblGrid>
      <w:tr w14:paraId="2C668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6D58E005">
            <w:pPr>
              <w:pStyle w:val="12"/>
              <w:jc w:val="center"/>
              <w:rPr>
                <w:color w:val="auto"/>
                <w:sz w:val="21"/>
                <w:szCs w:val="21"/>
                <w:highlight w:val="none"/>
              </w:rPr>
            </w:pPr>
            <w:r>
              <w:rPr>
                <w:color w:val="auto"/>
                <w:sz w:val="21"/>
                <w:szCs w:val="21"/>
                <w:highlight w:val="none"/>
              </w:rPr>
              <w:t>参数性质</w:t>
            </w:r>
          </w:p>
        </w:tc>
        <w:tc>
          <w:tcPr>
            <w:tcW w:w="829" w:type="dxa"/>
            <w:noWrap w:val="0"/>
            <w:vAlign w:val="center"/>
          </w:tcPr>
          <w:p w14:paraId="7DBFBA45">
            <w:pPr>
              <w:pStyle w:val="12"/>
              <w:jc w:val="center"/>
              <w:rPr>
                <w:color w:val="auto"/>
                <w:sz w:val="21"/>
                <w:szCs w:val="21"/>
                <w:highlight w:val="none"/>
              </w:rPr>
            </w:pPr>
            <w:r>
              <w:rPr>
                <w:color w:val="auto"/>
                <w:sz w:val="21"/>
                <w:szCs w:val="21"/>
                <w:highlight w:val="none"/>
              </w:rPr>
              <w:t>编号</w:t>
            </w:r>
          </w:p>
        </w:tc>
        <w:tc>
          <w:tcPr>
            <w:tcW w:w="1630" w:type="dxa"/>
            <w:noWrap w:val="0"/>
            <w:vAlign w:val="center"/>
          </w:tcPr>
          <w:p w14:paraId="63D10DAF">
            <w:pPr>
              <w:pStyle w:val="12"/>
              <w:jc w:val="center"/>
              <w:rPr>
                <w:color w:val="auto"/>
                <w:sz w:val="21"/>
                <w:szCs w:val="21"/>
                <w:highlight w:val="none"/>
              </w:rPr>
            </w:pPr>
            <w:r>
              <w:rPr>
                <w:color w:val="auto"/>
                <w:sz w:val="21"/>
                <w:szCs w:val="21"/>
                <w:highlight w:val="none"/>
              </w:rPr>
              <w:t>内容明细</w:t>
            </w:r>
          </w:p>
        </w:tc>
        <w:tc>
          <w:tcPr>
            <w:tcW w:w="5171" w:type="dxa"/>
            <w:noWrap w:val="0"/>
            <w:vAlign w:val="top"/>
          </w:tcPr>
          <w:p w14:paraId="7B3A147F">
            <w:pPr>
              <w:pStyle w:val="12"/>
              <w:jc w:val="center"/>
              <w:rPr>
                <w:color w:val="auto"/>
                <w:sz w:val="21"/>
                <w:szCs w:val="21"/>
                <w:highlight w:val="none"/>
              </w:rPr>
            </w:pPr>
            <w:r>
              <w:rPr>
                <w:color w:val="auto"/>
                <w:sz w:val="21"/>
                <w:szCs w:val="21"/>
                <w:highlight w:val="none"/>
              </w:rPr>
              <w:t>内容说明</w:t>
            </w:r>
          </w:p>
        </w:tc>
      </w:tr>
      <w:tr w14:paraId="182BC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69EC88E3">
            <w:pPr>
              <w:jc w:val="center"/>
              <w:rPr>
                <w:color w:val="auto"/>
                <w:sz w:val="21"/>
                <w:szCs w:val="21"/>
                <w:highlight w:val="none"/>
              </w:rPr>
            </w:pPr>
          </w:p>
        </w:tc>
        <w:tc>
          <w:tcPr>
            <w:tcW w:w="829" w:type="dxa"/>
            <w:noWrap w:val="0"/>
            <w:vAlign w:val="center"/>
          </w:tcPr>
          <w:p w14:paraId="278FE994">
            <w:pPr>
              <w:pStyle w:val="12"/>
              <w:jc w:val="center"/>
              <w:rPr>
                <w:color w:val="auto"/>
                <w:sz w:val="21"/>
                <w:szCs w:val="21"/>
                <w:highlight w:val="none"/>
              </w:rPr>
            </w:pPr>
            <w:r>
              <w:rPr>
                <w:color w:val="auto"/>
                <w:sz w:val="21"/>
                <w:szCs w:val="21"/>
                <w:highlight w:val="none"/>
              </w:rPr>
              <w:t>1</w:t>
            </w:r>
          </w:p>
        </w:tc>
        <w:tc>
          <w:tcPr>
            <w:tcW w:w="1630" w:type="dxa"/>
            <w:noWrap w:val="0"/>
            <w:vAlign w:val="center"/>
          </w:tcPr>
          <w:p w14:paraId="4815F2F1">
            <w:pPr>
              <w:pStyle w:val="12"/>
              <w:jc w:val="center"/>
              <w:rPr>
                <w:color w:val="auto"/>
                <w:sz w:val="21"/>
                <w:szCs w:val="21"/>
                <w:highlight w:val="none"/>
              </w:rPr>
            </w:pPr>
            <w:r>
              <w:rPr>
                <w:color w:val="auto"/>
                <w:sz w:val="21"/>
                <w:szCs w:val="21"/>
                <w:highlight w:val="none"/>
              </w:rPr>
              <w:t>报价要求</w:t>
            </w:r>
          </w:p>
        </w:tc>
        <w:tc>
          <w:tcPr>
            <w:tcW w:w="5171" w:type="dxa"/>
            <w:noWrap w:val="0"/>
            <w:vAlign w:val="top"/>
          </w:tcPr>
          <w:p w14:paraId="446BCB53">
            <w:pPr>
              <w:pStyle w:val="12"/>
              <w:jc w:val="left"/>
              <w:rPr>
                <w:color w:val="auto"/>
                <w:sz w:val="21"/>
                <w:szCs w:val="21"/>
                <w:highlight w:val="none"/>
              </w:rPr>
            </w:pPr>
            <w:r>
              <w:rPr>
                <w:color w:val="auto"/>
                <w:sz w:val="21"/>
                <w:szCs w:val="21"/>
                <w:highlight w:val="none"/>
              </w:rPr>
              <w:t>1.本项目报价为广东省佛山市目的地交付价。</w:t>
            </w:r>
          </w:p>
          <w:p w14:paraId="4BE20FF0">
            <w:pPr>
              <w:pStyle w:val="12"/>
              <w:jc w:val="left"/>
              <w:rPr>
                <w:color w:val="auto"/>
                <w:sz w:val="21"/>
                <w:szCs w:val="21"/>
                <w:highlight w:val="none"/>
              </w:rPr>
            </w:pPr>
            <w:r>
              <w:rPr>
                <w:color w:val="auto"/>
                <w:sz w:val="21"/>
                <w:szCs w:val="21"/>
                <w:highlight w:val="none"/>
              </w:rPr>
              <w:t>2.</w:t>
            </w:r>
            <w:r>
              <w:rPr>
                <w:rFonts w:hint="eastAsia"/>
                <w:color w:val="auto"/>
                <w:sz w:val="21"/>
                <w:szCs w:val="21"/>
                <w:highlight w:val="none"/>
                <w:lang w:val="en-US" w:eastAsia="zh-CN"/>
              </w:rPr>
              <w:t>响应</w:t>
            </w:r>
            <w:r>
              <w:rPr>
                <w:color w:val="auto"/>
                <w:sz w:val="21"/>
                <w:szCs w:val="21"/>
                <w:highlight w:val="none"/>
              </w:rPr>
              <w:t>报价指</w:t>
            </w:r>
            <w:r>
              <w:rPr>
                <w:rFonts w:hint="eastAsia"/>
                <w:color w:val="auto"/>
                <w:sz w:val="21"/>
                <w:szCs w:val="21"/>
                <w:highlight w:val="none"/>
                <w:lang w:eastAsia="zh-CN"/>
              </w:rPr>
              <w:t>供应商</w:t>
            </w:r>
            <w:r>
              <w:rPr>
                <w:color w:val="auto"/>
                <w:sz w:val="21"/>
                <w:szCs w:val="21"/>
                <w:highlight w:val="none"/>
              </w:rPr>
              <w:t>为完成本项目所收取的全部费用，包含但不限于以下费用：设计深化、系统开发、成本费、劳务费、交通费、场地费、</w:t>
            </w:r>
            <w:r>
              <w:rPr>
                <w:rFonts w:hint="eastAsia"/>
                <w:color w:val="auto"/>
                <w:sz w:val="21"/>
                <w:szCs w:val="21"/>
                <w:highlight w:val="none"/>
                <w:lang w:val="en-US" w:eastAsia="zh-CN"/>
              </w:rPr>
              <w:t>系统运维服务、</w:t>
            </w:r>
            <w:r>
              <w:rPr>
                <w:color w:val="auto"/>
                <w:sz w:val="21"/>
                <w:szCs w:val="21"/>
                <w:highlight w:val="none"/>
              </w:rPr>
              <w:t>税金（全额含税发票）、雇员费用、如涉及软件许可使用或技术指导、人员培训的，还应包括软件许可费以及一切技术服务费、人员培训费、项目实施过程中其它应预见和不可预见费用等完成本采购项目、达到采购人目的的一切费用及企业利润，以及本项目的招标代理服务费（即中标服务费），但此费用无需单列，包含在各子项中。</w:t>
            </w:r>
          </w:p>
          <w:p w14:paraId="52BC81F1">
            <w:pPr>
              <w:pStyle w:val="12"/>
              <w:jc w:val="left"/>
              <w:rPr>
                <w:color w:val="auto"/>
                <w:sz w:val="21"/>
                <w:szCs w:val="21"/>
                <w:highlight w:val="none"/>
              </w:rPr>
            </w:pPr>
            <w:r>
              <w:rPr>
                <w:color w:val="auto"/>
                <w:sz w:val="21"/>
                <w:szCs w:val="21"/>
                <w:highlight w:val="none"/>
              </w:rPr>
              <w:t>3.</w:t>
            </w:r>
            <w:r>
              <w:rPr>
                <w:rFonts w:hint="eastAsia"/>
                <w:color w:val="auto"/>
                <w:sz w:val="21"/>
                <w:szCs w:val="21"/>
                <w:highlight w:val="none"/>
                <w:lang w:eastAsia="zh-CN"/>
              </w:rPr>
              <w:t>供应商</w:t>
            </w:r>
            <w:r>
              <w:rPr>
                <w:color w:val="auto"/>
                <w:sz w:val="21"/>
                <w:szCs w:val="21"/>
                <w:highlight w:val="none"/>
              </w:rPr>
              <w:t>须考虑本项目在实施期间的一切可能产生的费用。</w:t>
            </w:r>
          </w:p>
          <w:p w14:paraId="449EC530">
            <w:pPr>
              <w:pStyle w:val="12"/>
              <w:jc w:val="left"/>
              <w:rPr>
                <w:color w:val="auto"/>
                <w:sz w:val="21"/>
                <w:szCs w:val="21"/>
                <w:highlight w:val="none"/>
              </w:rPr>
            </w:pPr>
            <w:r>
              <w:rPr>
                <w:color w:val="auto"/>
                <w:sz w:val="21"/>
                <w:szCs w:val="21"/>
                <w:highlight w:val="none"/>
              </w:rPr>
              <w:t>4.报价不得高于本项目的预算金额，否则视为无效报价，作无效投标处理。</w:t>
            </w:r>
          </w:p>
          <w:p w14:paraId="20E700B5">
            <w:pPr>
              <w:pStyle w:val="12"/>
              <w:jc w:val="left"/>
              <w:rPr>
                <w:color w:val="auto"/>
                <w:sz w:val="21"/>
                <w:szCs w:val="21"/>
                <w:highlight w:val="none"/>
              </w:rPr>
            </w:pPr>
            <w:r>
              <w:rPr>
                <w:color w:val="auto"/>
                <w:sz w:val="21"/>
                <w:szCs w:val="21"/>
                <w:highlight w:val="none"/>
              </w:rPr>
              <w:t>5.报价合理性：根据《政府采购货物和服务招标投标管理办法》第六十条的规定：评标委员会认为</w:t>
            </w:r>
            <w:r>
              <w:rPr>
                <w:rFonts w:hint="eastAsia"/>
                <w:color w:val="auto"/>
                <w:sz w:val="21"/>
                <w:szCs w:val="21"/>
                <w:highlight w:val="none"/>
                <w:lang w:eastAsia="zh-CN"/>
              </w:rPr>
              <w:t>供应商</w:t>
            </w:r>
            <w:r>
              <w:rPr>
                <w:color w:val="auto"/>
                <w:sz w:val="21"/>
                <w:szCs w:val="21"/>
                <w:highlight w:val="none"/>
              </w:rPr>
              <w:t>的报价明显低于其他通过符合性审查</w:t>
            </w:r>
            <w:r>
              <w:rPr>
                <w:rFonts w:hint="eastAsia"/>
                <w:color w:val="auto"/>
                <w:sz w:val="21"/>
                <w:szCs w:val="21"/>
                <w:highlight w:val="none"/>
                <w:lang w:eastAsia="zh-CN"/>
              </w:rPr>
              <w:t>供应商</w:t>
            </w:r>
            <w:r>
              <w:rPr>
                <w:color w:val="auto"/>
                <w:sz w:val="21"/>
                <w:szCs w:val="21"/>
                <w:highlight w:val="none"/>
              </w:rPr>
              <w:t>的报价，有可能影响产品质量或者不能诚信履约的，应当要求其在评标现场合理的时间内提供书面说明，必要时提交相关证明材料；</w:t>
            </w:r>
            <w:r>
              <w:rPr>
                <w:rFonts w:hint="eastAsia"/>
                <w:color w:val="auto"/>
                <w:sz w:val="21"/>
                <w:szCs w:val="21"/>
                <w:highlight w:val="none"/>
                <w:lang w:eastAsia="zh-CN"/>
              </w:rPr>
              <w:t>供应商</w:t>
            </w:r>
            <w:r>
              <w:rPr>
                <w:color w:val="auto"/>
                <w:sz w:val="21"/>
                <w:szCs w:val="21"/>
                <w:highlight w:val="none"/>
              </w:rPr>
              <w:t>不能证明其报价合理性的，评标委员会应当将其作为无效投标处理。</w:t>
            </w:r>
          </w:p>
        </w:tc>
      </w:tr>
      <w:tr w14:paraId="539D7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7DB192C6">
            <w:pPr>
              <w:jc w:val="center"/>
              <w:rPr>
                <w:color w:val="auto"/>
                <w:sz w:val="21"/>
                <w:szCs w:val="21"/>
                <w:highlight w:val="none"/>
              </w:rPr>
            </w:pPr>
          </w:p>
        </w:tc>
        <w:tc>
          <w:tcPr>
            <w:tcW w:w="829" w:type="dxa"/>
            <w:noWrap w:val="0"/>
            <w:vAlign w:val="center"/>
          </w:tcPr>
          <w:p w14:paraId="6A57B000">
            <w:pPr>
              <w:pStyle w:val="12"/>
              <w:jc w:val="center"/>
              <w:rPr>
                <w:color w:val="auto"/>
                <w:sz w:val="21"/>
                <w:szCs w:val="21"/>
                <w:highlight w:val="none"/>
              </w:rPr>
            </w:pPr>
            <w:r>
              <w:rPr>
                <w:color w:val="auto"/>
                <w:sz w:val="21"/>
                <w:szCs w:val="21"/>
                <w:highlight w:val="none"/>
              </w:rPr>
              <w:t>2</w:t>
            </w:r>
          </w:p>
        </w:tc>
        <w:tc>
          <w:tcPr>
            <w:tcW w:w="1630" w:type="dxa"/>
            <w:noWrap w:val="0"/>
            <w:vAlign w:val="center"/>
          </w:tcPr>
          <w:p w14:paraId="3DB53D87">
            <w:pPr>
              <w:pStyle w:val="12"/>
              <w:jc w:val="center"/>
              <w:rPr>
                <w:color w:val="auto"/>
                <w:sz w:val="21"/>
                <w:szCs w:val="21"/>
                <w:highlight w:val="none"/>
              </w:rPr>
            </w:pPr>
            <w:r>
              <w:rPr>
                <w:color w:val="auto"/>
                <w:sz w:val="21"/>
                <w:szCs w:val="21"/>
                <w:highlight w:val="none"/>
              </w:rPr>
              <w:t>项目实施人员管理</w:t>
            </w:r>
          </w:p>
        </w:tc>
        <w:tc>
          <w:tcPr>
            <w:tcW w:w="5171" w:type="dxa"/>
            <w:noWrap w:val="0"/>
            <w:vAlign w:val="top"/>
          </w:tcPr>
          <w:p w14:paraId="6209A004">
            <w:pPr>
              <w:pStyle w:val="12"/>
              <w:jc w:val="left"/>
              <w:rPr>
                <w:color w:val="auto"/>
                <w:sz w:val="21"/>
                <w:szCs w:val="21"/>
                <w:highlight w:val="none"/>
              </w:rPr>
            </w:pPr>
            <w:r>
              <w:rPr>
                <w:color w:val="auto"/>
                <w:sz w:val="21"/>
                <w:szCs w:val="21"/>
                <w:highlight w:val="none"/>
              </w:rPr>
              <w:t>1.</w:t>
            </w:r>
            <w:r>
              <w:rPr>
                <w:rFonts w:hint="eastAsia"/>
                <w:color w:val="auto"/>
                <w:sz w:val="21"/>
                <w:szCs w:val="21"/>
                <w:highlight w:val="none"/>
                <w:lang w:eastAsia="zh-CN"/>
              </w:rPr>
              <w:t>供应商</w:t>
            </w:r>
            <w:r>
              <w:rPr>
                <w:color w:val="auto"/>
                <w:sz w:val="21"/>
                <w:szCs w:val="21"/>
                <w:highlight w:val="none"/>
              </w:rPr>
              <w:t>需有成熟的内部质量、环境、职业健康管理体系和相关管理制度，确保为采购人提供专业服务。</w:t>
            </w:r>
          </w:p>
          <w:p w14:paraId="5F0D3F0D">
            <w:pPr>
              <w:pStyle w:val="12"/>
              <w:jc w:val="left"/>
              <w:rPr>
                <w:color w:val="auto"/>
                <w:sz w:val="21"/>
                <w:szCs w:val="21"/>
                <w:highlight w:val="none"/>
              </w:rPr>
            </w:pPr>
            <w:r>
              <w:rPr>
                <w:color w:val="auto"/>
                <w:sz w:val="21"/>
                <w:szCs w:val="21"/>
                <w:highlight w:val="none"/>
              </w:rPr>
              <w:t>2.在项目实施期间，</w:t>
            </w:r>
            <w:r>
              <w:rPr>
                <w:rFonts w:hint="eastAsia"/>
                <w:color w:val="auto"/>
                <w:sz w:val="21"/>
                <w:szCs w:val="21"/>
                <w:highlight w:val="none"/>
                <w:lang w:eastAsia="zh-CN"/>
              </w:rPr>
              <w:t>成交供应商</w:t>
            </w:r>
            <w:r>
              <w:rPr>
                <w:color w:val="auto"/>
                <w:sz w:val="21"/>
                <w:szCs w:val="21"/>
                <w:highlight w:val="none"/>
              </w:rPr>
              <w:t>须投入专业团队为采购人提供服务，具体各岗位分配包含但不</w:t>
            </w:r>
            <w:r>
              <w:rPr>
                <w:color w:val="auto"/>
                <w:sz w:val="21"/>
                <w:szCs w:val="21"/>
                <w:highlight w:val="none"/>
              </w:rPr>
              <w:t>限于需求分析、系统架构、软件开发、软件测试、售后运维等</w:t>
            </w:r>
            <w:r>
              <w:rPr>
                <w:color w:val="auto"/>
                <w:sz w:val="21"/>
                <w:szCs w:val="21"/>
                <w:highlight w:val="none"/>
              </w:rPr>
              <w:t>。</w:t>
            </w:r>
          </w:p>
          <w:p w14:paraId="284FF965">
            <w:pPr>
              <w:pStyle w:val="12"/>
              <w:jc w:val="left"/>
              <w:rPr>
                <w:color w:val="auto"/>
                <w:sz w:val="21"/>
                <w:szCs w:val="21"/>
                <w:highlight w:val="none"/>
              </w:rPr>
            </w:pPr>
            <w:r>
              <w:rPr>
                <w:color w:val="auto"/>
                <w:sz w:val="21"/>
                <w:szCs w:val="21"/>
                <w:highlight w:val="none"/>
              </w:rPr>
              <w:t>3.未经采购人同意，</w:t>
            </w:r>
            <w:r>
              <w:rPr>
                <w:rFonts w:hint="eastAsia"/>
                <w:color w:val="auto"/>
                <w:sz w:val="21"/>
                <w:szCs w:val="21"/>
                <w:highlight w:val="none"/>
                <w:lang w:eastAsia="zh-CN"/>
              </w:rPr>
              <w:t>成交供应商</w:t>
            </w:r>
            <w:r>
              <w:rPr>
                <w:color w:val="auto"/>
                <w:sz w:val="21"/>
                <w:szCs w:val="21"/>
                <w:highlight w:val="none"/>
              </w:rPr>
              <w:t>不得调整在</w:t>
            </w:r>
            <w:r>
              <w:rPr>
                <w:rFonts w:hint="eastAsia"/>
                <w:color w:val="auto"/>
                <w:sz w:val="21"/>
                <w:szCs w:val="21"/>
                <w:highlight w:val="none"/>
                <w:lang w:val="en-US" w:eastAsia="zh-CN"/>
              </w:rPr>
              <w:t>响应</w:t>
            </w:r>
            <w:r>
              <w:rPr>
                <w:color w:val="auto"/>
                <w:sz w:val="21"/>
                <w:szCs w:val="21"/>
                <w:highlight w:val="none"/>
              </w:rPr>
              <w:t>文件中所承诺投入的项目实施人员，否则</w:t>
            </w:r>
            <w:r>
              <w:rPr>
                <w:rFonts w:hint="eastAsia"/>
                <w:color w:val="auto"/>
                <w:sz w:val="21"/>
                <w:szCs w:val="21"/>
                <w:highlight w:val="none"/>
                <w:lang w:eastAsia="zh-CN"/>
              </w:rPr>
              <w:t>成交供应商</w:t>
            </w:r>
            <w:r>
              <w:rPr>
                <w:color w:val="auto"/>
                <w:sz w:val="21"/>
                <w:szCs w:val="21"/>
                <w:highlight w:val="none"/>
              </w:rPr>
              <w:t>赔偿由此给采购人造成的全部损失。采购人有权以书面形式要求</w:t>
            </w:r>
            <w:r>
              <w:rPr>
                <w:rFonts w:hint="eastAsia"/>
                <w:color w:val="auto"/>
                <w:sz w:val="21"/>
                <w:szCs w:val="21"/>
                <w:highlight w:val="none"/>
                <w:lang w:eastAsia="zh-CN"/>
              </w:rPr>
              <w:t>成交供应商</w:t>
            </w:r>
            <w:r>
              <w:rPr>
                <w:color w:val="auto"/>
                <w:sz w:val="21"/>
                <w:szCs w:val="21"/>
                <w:highlight w:val="none"/>
              </w:rPr>
              <w:t>更换不能按规定履行合同的人员。即使是采购人要求或同意更换的人员，其代替人员的资质仍应得到采购人的认可，且其资历和经验均不低于被更换人员。由此产生的费用由</w:t>
            </w:r>
            <w:r>
              <w:rPr>
                <w:rFonts w:hint="eastAsia"/>
                <w:color w:val="auto"/>
                <w:sz w:val="21"/>
                <w:szCs w:val="21"/>
                <w:highlight w:val="none"/>
                <w:lang w:eastAsia="zh-CN"/>
              </w:rPr>
              <w:t>成交供应商</w:t>
            </w:r>
            <w:r>
              <w:rPr>
                <w:color w:val="auto"/>
                <w:sz w:val="21"/>
                <w:szCs w:val="21"/>
                <w:highlight w:val="none"/>
              </w:rPr>
              <w:t>承担。</w:t>
            </w:r>
          </w:p>
          <w:p w14:paraId="4FBCD3CF">
            <w:pPr>
              <w:pStyle w:val="12"/>
              <w:jc w:val="left"/>
              <w:rPr>
                <w:color w:val="auto"/>
                <w:sz w:val="21"/>
                <w:szCs w:val="21"/>
                <w:highlight w:val="none"/>
              </w:rPr>
            </w:pPr>
            <w:r>
              <w:rPr>
                <w:color w:val="auto"/>
                <w:sz w:val="21"/>
                <w:szCs w:val="21"/>
                <w:highlight w:val="none"/>
              </w:rPr>
              <w:t>4.</w:t>
            </w:r>
            <w:r>
              <w:rPr>
                <w:rFonts w:hint="eastAsia"/>
                <w:color w:val="auto"/>
                <w:sz w:val="21"/>
                <w:szCs w:val="21"/>
                <w:highlight w:val="none"/>
                <w:lang w:eastAsia="zh-CN"/>
              </w:rPr>
              <w:t>成交供应商</w:t>
            </w:r>
            <w:r>
              <w:rPr>
                <w:color w:val="auto"/>
                <w:sz w:val="21"/>
                <w:szCs w:val="21"/>
                <w:highlight w:val="none"/>
              </w:rPr>
              <w:t>对其雇员的人身安全负全部责任。</w:t>
            </w:r>
          </w:p>
        </w:tc>
      </w:tr>
      <w:tr w14:paraId="6599A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4FADDAEC">
            <w:pPr>
              <w:jc w:val="center"/>
              <w:rPr>
                <w:color w:val="auto"/>
                <w:sz w:val="21"/>
                <w:szCs w:val="21"/>
                <w:highlight w:val="none"/>
              </w:rPr>
            </w:pPr>
          </w:p>
        </w:tc>
        <w:tc>
          <w:tcPr>
            <w:tcW w:w="829" w:type="dxa"/>
            <w:noWrap w:val="0"/>
            <w:vAlign w:val="center"/>
          </w:tcPr>
          <w:p w14:paraId="2931AD03">
            <w:pPr>
              <w:pStyle w:val="12"/>
              <w:jc w:val="center"/>
              <w:rPr>
                <w:color w:val="auto"/>
                <w:sz w:val="21"/>
                <w:szCs w:val="21"/>
                <w:highlight w:val="none"/>
              </w:rPr>
            </w:pPr>
            <w:r>
              <w:rPr>
                <w:color w:val="auto"/>
                <w:sz w:val="21"/>
                <w:szCs w:val="21"/>
                <w:highlight w:val="none"/>
              </w:rPr>
              <w:t>3</w:t>
            </w:r>
          </w:p>
        </w:tc>
        <w:tc>
          <w:tcPr>
            <w:tcW w:w="1630" w:type="dxa"/>
            <w:noWrap w:val="0"/>
            <w:vAlign w:val="center"/>
          </w:tcPr>
          <w:p w14:paraId="74146AA4">
            <w:pPr>
              <w:pStyle w:val="12"/>
              <w:jc w:val="center"/>
              <w:rPr>
                <w:color w:val="auto"/>
                <w:sz w:val="21"/>
                <w:szCs w:val="21"/>
                <w:highlight w:val="none"/>
              </w:rPr>
            </w:pPr>
            <w:r>
              <w:rPr>
                <w:color w:val="auto"/>
                <w:sz w:val="21"/>
                <w:szCs w:val="21"/>
                <w:highlight w:val="none"/>
              </w:rPr>
              <w:t>系统软件运维及优化期</w:t>
            </w:r>
          </w:p>
        </w:tc>
        <w:tc>
          <w:tcPr>
            <w:tcW w:w="5171" w:type="dxa"/>
            <w:noWrap w:val="0"/>
            <w:vAlign w:val="top"/>
          </w:tcPr>
          <w:p w14:paraId="4C994241">
            <w:pPr>
              <w:pStyle w:val="12"/>
              <w:jc w:val="left"/>
              <w:rPr>
                <w:color w:val="auto"/>
                <w:sz w:val="21"/>
                <w:szCs w:val="21"/>
                <w:highlight w:val="none"/>
              </w:rPr>
            </w:pPr>
            <w:r>
              <w:rPr>
                <w:color w:val="auto"/>
                <w:sz w:val="21"/>
                <w:szCs w:val="21"/>
                <w:highlight w:val="none"/>
              </w:rPr>
              <w:t>系统软件运维及优化期（质保期）：系统软件运维及优化期为项目合同验收合格之日起一年。</w:t>
            </w:r>
          </w:p>
        </w:tc>
      </w:tr>
      <w:tr w14:paraId="5CDDE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50EEC66E">
            <w:pPr>
              <w:jc w:val="center"/>
              <w:rPr>
                <w:color w:val="auto"/>
                <w:sz w:val="21"/>
                <w:szCs w:val="21"/>
                <w:highlight w:val="none"/>
              </w:rPr>
            </w:pPr>
          </w:p>
        </w:tc>
        <w:tc>
          <w:tcPr>
            <w:tcW w:w="829" w:type="dxa"/>
            <w:noWrap w:val="0"/>
            <w:vAlign w:val="center"/>
          </w:tcPr>
          <w:p w14:paraId="17AE911B">
            <w:pPr>
              <w:pStyle w:val="12"/>
              <w:jc w:val="center"/>
              <w:rPr>
                <w:color w:val="auto"/>
                <w:sz w:val="21"/>
                <w:szCs w:val="21"/>
                <w:highlight w:val="none"/>
              </w:rPr>
            </w:pPr>
            <w:r>
              <w:rPr>
                <w:color w:val="auto"/>
                <w:sz w:val="21"/>
                <w:szCs w:val="21"/>
                <w:highlight w:val="none"/>
              </w:rPr>
              <w:t>4</w:t>
            </w:r>
          </w:p>
        </w:tc>
        <w:tc>
          <w:tcPr>
            <w:tcW w:w="1630" w:type="dxa"/>
            <w:noWrap w:val="0"/>
            <w:vAlign w:val="center"/>
          </w:tcPr>
          <w:p w14:paraId="1B9EE084">
            <w:pPr>
              <w:pStyle w:val="12"/>
              <w:jc w:val="center"/>
              <w:rPr>
                <w:color w:val="auto"/>
                <w:sz w:val="21"/>
                <w:szCs w:val="21"/>
                <w:highlight w:val="none"/>
              </w:rPr>
            </w:pPr>
            <w:r>
              <w:rPr>
                <w:color w:val="auto"/>
                <w:sz w:val="21"/>
                <w:szCs w:val="21"/>
                <w:highlight w:val="none"/>
              </w:rPr>
              <w:t>售后服务</w:t>
            </w:r>
          </w:p>
        </w:tc>
        <w:tc>
          <w:tcPr>
            <w:tcW w:w="5171" w:type="dxa"/>
            <w:noWrap w:val="0"/>
            <w:vAlign w:val="top"/>
          </w:tcPr>
          <w:p w14:paraId="5F8DBAD0">
            <w:pPr>
              <w:pStyle w:val="12"/>
              <w:jc w:val="left"/>
              <w:rPr>
                <w:color w:val="auto"/>
                <w:sz w:val="21"/>
                <w:szCs w:val="21"/>
                <w:highlight w:val="none"/>
              </w:rPr>
            </w:pPr>
            <w:r>
              <w:rPr>
                <w:color w:val="auto"/>
                <w:sz w:val="21"/>
                <w:szCs w:val="21"/>
                <w:highlight w:val="none"/>
              </w:rPr>
              <w:t>1.在系统软件运维及优化期间，</w:t>
            </w:r>
            <w:r>
              <w:rPr>
                <w:rFonts w:hint="eastAsia"/>
                <w:color w:val="auto"/>
                <w:sz w:val="21"/>
                <w:szCs w:val="21"/>
                <w:highlight w:val="none"/>
                <w:lang w:eastAsia="zh-CN"/>
              </w:rPr>
              <w:t>成交供应商</w:t>
            </w:r>
            <w:r>
              <w:rPr>
                <w:color w:val="auto"/>
                <w:sz w:val="21"/>
                <w:szCs w:val="21"/>
                <w:highlight w:val="none"/>
              </w:rPr>
              <w:t>应为本项目成立专门的维护服务和技术支持小组，解决采购人使用中的问题。</w:t>
            </w:r>
          </w:p>
          <w:p w14:paraId="701B4751">
            <w:pPr>
              <w:pStyle w:val="12"/>
              <w:jc w:val="left"/>
              <w:rPr>
                <w:rFonts w:hint="eastAsia" w:eastAsia="宋体"/>
                <w:color w:val="auto"/>
                <w:sz w:val="21"/>
                <w:szCs w:val="21"/>
                <w:highlight w:val="none"/>
                <w:lang w:eastAsia="zh-CN"/>
              </w:rPr>
            </w:pPr>
            <w:r>
              <w:rPr>
                <w:color w:val="auto"/>
                <w:sz w:val="21"/>
                <w:szCs w:val="21"/>
                <w:highlight w:val="none"/>
              </w:rPr>
              <w:t>2.</w:t>
            </w:r>
            <w:r>
              <w:rPr>
                <w:rFonts w:hint="eastAsia"/>
                <w:color w:val="auto"/>
                <w:sz w:val="21"/>
                <w:szCs w:val="21"/>
                <w:highlight w:val="none"/>
                <w:lang w:eastAsia="zh-CN"/>
              </w:rPr>
              <w:t>成交供应商</w:t>
            </w:r>
            <w:r>
              <w:rPr>
                <w:color w:val="auto"/>
                <w:sz w:val="21"/>
                <w:szCs w:val="21"/>
                <w:highlight w:val="none"/>
              </w:rPr>
              <w:t>须提供常设每周7天×24小时服务专线和长期的免费技术支持。对采购人的服务通知，</w:t>
            </w:r>
            <w:r>
              <w:rPr>
                <w:rFonts w:hint="eastAsia"/>
                <w:color w:val="auto"/>
                <w:sz w:val="21"/>
                <w:szCs w:val="21"/>
                <w:highlight w:val="none"/>
                <w:lang w:eastAsia="zh-CN"/>
              </w:rPr>
              <w:t>成交供应商</w:t>
            </w:r>
            <w:r>
              <w:rPr>
                <w:color w:val="auto"/>
                <w:sz w:val="21"/>
                <w:szCs w:val="21"/>
                <w:highlight w:val="none"/>
              </w:rPr>
              <w:t>必须在接报后30分钟内根据采购人要求提供远程服务或现场服务响应，协助采购人解决问题。</w:t>
            </w:r>
            <w:r>
              <w:rPr>
                <w:rFonts w:hint="eastAsia"/>
                <w:color w:val="auto"/>
                <w:sz w:val="21"/>
                <w:szCs w:val="21"/>
                <w:highlight w:val="none"/>
                <w:lang w:eastAsia="zh-CN"/>
              </w:rPr>
              <w:t>（</w:t>
            </w:r>
            <w:r>
              <w:rPr>
                <w:rFonts w:hint="eastAsia"/>
                <w:color w:val="auto"/>
                <w:sz w:val="21"/>
                <w:szCs w:val="21"/>
                <w:highlight w:val="none"/>
                <w:lang w:val="en-US" w:eastAsia="zh-CN"/>
              </w:rPr>
              <w:t>技术要求中有特别要求的，以特别要求为准</w:t>
            </w:r>
            <w:r>
              <w:rPr>
                <w:rFonts w:hint="eastAsia"/>
                <w:color w:val="auto"/>
                <w:sz w:val="21"/>
                <w:szCs w:val="21"/>
                <w:highlight w:val="none"/>
                <w:lang w:eastAsia="zh-CN"/>
              </w:rPr>
              <w:t>）</w:t>
            </w:r>
          </w:p>
          <w:p w14:paraId="21CC605D">
            <w:pPr>
              <w:pStyle w:val="12"/>
              <w:jc w:val="left"/>
              <w:rPr>
                <w:color w:val="auto"/>
                <w:sz w:val="21"/>
                <w:szCs w:val="21"/>
                <w:highlight w:val="none"/>
              </w:rPr>
            </w:pPr>
            <w:r>
              <w:rPr>
                <w:color w:val="auto"/>
                <w:sz w:val="21"/>
                <w:szCs w:val="21"/>
                <w:highlight w:val="none"/>
              </w:rPr>
              <w:t>3.</w:t>
            </w:r>
            <w:r>
              <w:rPr>
                <w:rFonts w:hint="eastAsia"/>
                <w:color w:val="auto"/>
                <w:sz w:val="21"/>
                <w:szCs w:val="21"/>
                <w:highlight w:val="none"/>
                <w:lang w:eastAsia="zh-CN"/>
              </w:rPr>
              <w:t>供应商</w:t>
            </w:r>
            <w:r>
              <w:rPr>
                <w:color w:val="auto"/>
                <w:sz w:val="21"/>
                <w:szCs w:val="21"/>
                <w:highlight w:val="none"/>
              </w:rPr>
              <w:t>应充分考虑满足项目的维护要求，编写项目计划，提出完整的项目管理、项目实施、项目维护、培训、项目验收方案以及</w:t>
            </w:r>
            <w:r>
              <w:rPr>
                <w:rFonts w:hint="eastAsia"/>
                <w:color w:val="auto"/>
                <w:sz w:val="21"/>
                <w:szCs w:val="21"/>
                <w:highlight w:val="none"/>
                <w:lang w:eastAsia="zh-CN"/>
              </w:rPr>
              <w:t>成交供应商</w:t>
            </w:r>
            <w:r>
              <w:rPr>
                <w:color w:val="auto"/>
                <w:sz w:val="21"/>
                <w:szCs w:val="21"/>
                <w:highlight w:val="none"/>
              </w:rPr>
              <w:t>人员安排及工作安排。</w:t>
            </w:r>
          </w:p>
          <w:p w14:paraId="167377E4">
            <w:pPr>
              <w:pStyle w:val="12"/>
              <w:jc w:val="left"/>
              <w:rPr>
                <w:color w:val="auto"/>
                <w:sz w:val="21"/>
                <w:szCs w:val="21"/>
                <w:highlight w:val="none"/>
              </w:rPr>
            </w:pPr>
            <w:r>
              <w:rPr>
                <w:color w:val="auto"/>
                <w:sz w:val="21"/>
                <w:szCs w:val="21"/>
                <w:highlight w:val="none"/>
              </w:rPr>
              <w:t>4.</w:t>
            </w:r>
            <w:r>
              <w:rPr>
                <w:rFonts w:hint="eastAsia"/>
                <w:color w:val="auto"/>
                <w:sz w:val="21"/>
                <w:szCs w:val="21"/>
                <w:highlight w:val="none"/>
                <w:lang w:eastAsia="zh-CN"/>
              </w:rPr>
              <w:t>成交供应商</w:t>
            </w:r>
            <w:r>
              <w:rPr>
                <w:color w:val="auto"/>
                <w:sz w:val="21"/>
                <w:szCs w:val="21"/>
                <w:highlight w:val="none"/>
              </w:rPr>
              <w:t>在项目实施过程中出现资源、进度、质量协调控制不力的情况，采购人有权要求更换项目负责人，</w:t>
            </w:r>
            <w:r>
              <w:rPr>
                <w:rFonts w:hint="eastAsia"/>
                <w:color w:val="auto"/>
                <w:sz w:val="21"/>
                <w:szCs w:val="21"/>
                <w:highlight w:val="none"/>
                <w:lang w:eastAsia="zh-CN"/>
              </w:rPr>
              <w:t>成交供应商</w:t>
            </w:r>
            <w:r>
              <w:rPr>
                <w:color w:val="auto"/>
                <w:sz w:val="21"/>
                <w:szCs w:val="21"/>
                <w:highlight w:val="none"/>
              </w:rPr>
              <w:t>必须无条件予以配合，并确保不影响项目维护进度和质量。</w:t>
            </w:r>
          </w:p>
          <w:p w14:paraId="0F246657">
            <w:pPr>
              <w:pStyle w:val="12"/>
              <w:jc w:val="left"/>
              <w:rPr>
                <w:color w:val="auto"/>
                <w:sz w:val="21"/>
                <w:szCs w:val="21"/>
                <w:highlight w:val="none"/>
              </w:rPr>
            </w:pPr>
            <w:r>
              <w:rPr>
                <w:color w:val="auto"/>
                <w:sz w:val="21"/>
                <w:szCs w:val="21"/>
                <w:highlight w:val="none"/>
              </w:rPr>
              <w:t>5.采购人有权在项目实施周期内、依据项目建设内容对投标项目进行巡检、故障应急、现场调优等各项工作的监督和管理。双方在中间过程中涉及到的具体工作内容上取得一致的情况下，</w:t>
            </w:r>
            <w:r>
              <w:rPr>
                <w:rFonts w:hint="eastAsia"/>
                <w:color w:val="auto"/>
                <w:sz w:val="21"/>
                <w:szCs w:val="21"/>
                <w:highlight w:val="none"/>
                <w:lang w:eastAsia="zh-CN"/>
              </w:rPr>
              <w:t>成交供应商</w:t>
            </w:r>
            <w:r>
              <w:rPr>
                <w:color w:val="auto"/>
                <w:sz w:val="21"/>
                <w:szCs w:val="21"/>
                <w:highlight w:val="none"/>
              </w:rPr>
              <w:t>必须接受并服从采购人的监督、管理要求，无条件提供中间过程工作成果。</w:t>
            </w:r>
          </w:p>
        </w:tc>
      </w:tr>
      <w:tr w14:paraId="57C96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29307364">
            <w:pPr>
              <w:jc w:val="center"/>
              <w:rPr>
                <w:color w:val="auto"/>
                <w:sz w:val="21"/>
                <w:szCs w:val="21"/>
                <w:highlight w:val="none"/>
              </w:rPr>
            </w:pPr>
          </w:p>
        </w:tc>
        <w:tc>
          <w:tcPr>
            <w:tcW w:w="829" w:type="dxa"/>
            <w:noWrap w:val="0"/>
            <w:vAlign w:val="center"/>
          </w:tcPr>
          <w:p w14:paraId="26D217DE">
            <w:pPr>
              <w:pStyle w:val="12"/>
              <w:jc w:val="center"/>
              <w:rPr>
                <w:color w:val="auto"/>
                <w:sz w:val="21"/>
                <w:szCs w:val="21"/>
                <w:highlight w:val="none"/>
              </w:rPr>
            </w:pPr>
            <w:r>
              <w:rPr>
                <w:color w:val="auto"/>
                <w:sz w:val="21"/>
                <w:szCs w:val="21"/>
                <w:highlight w:val="none"/>
              </w:rPr>
              <w:t>5</w:t>
            </w:r>
          </w:p>
        </w:tc>
        <w:tc>
          <w:tcPr>
            <w:tcW w:w="1630" w:type="dxa"/>
            <w:noWrap w:val="0"/>
            <w:vAlign w:val="center"/>
          </w:tcPr>
          <w:p w14:paraId="59D22750">
            <w:pPr>
              <w:pStyle w:val="12"/>
              <w:jc w:val="center"/>
              <w:rPr>
                <w:color w:val="auto"/>
                <w:sz w:val="21"/>
                <w:szCs w:val="21"/>
                <w:highlight w:val="none"/>
              </w:rPr>
            </w:pPr>
            <w:r>
              <w:rPr>
                <w:color w:val="auto"/>
                <w:sz w:val="21"/>
                <w:szCs w:val="21"/>
                <w:highlight w:val="none"/>
              </w:rPr>
              <w:t>培训要求</w:t>
            </w:r>
          </w:p>
        </w:tc>
        <w:tc>
          <w:tcPr>
            <w:tcW w:w="5171" w:type="dxa"/>
            <w:noWrap w:val="0"/>
            <w:vAlign w:val="top"/>
          </w:tcPr>
          <w:p w14:paraId="187AD849">
            <w:pPr>
              <w:pStyle w:val="12"/>
              <w:jc w:val="left"/>
              <w:rPr>
                <w:color w:val="auto"/>
                <w:sz w:val="21"/>
                <w:szCs w:val="21"/>
                <w:highlight w:val="none"/>
              </w:rPr>
            </w:pPr>
            <w:r>
              <w:rPr>
                <w:color w:val="auto"/>
                <w:sz w:val="21"/>
                <w:szCs w:val="21"/>
                <w:highlight w:val="none"/>
              </w:rPr>
              <w:t>1.</w:t>
            </w:r>
            <w:r>
              <w:rPr>
                <w:rFonts w:hint="eastAsia"/>
                <w:color w:val="auto"/>
                <w:sz w:val="21"/>
                <w:szCs w:val="21"/>
                <w:highlight w:val="none"/>
                <w:lang w:eastAsia="zh-CN"/>
              </w:rPr>
              <w:t>成交供应商</w:t>
            </w:r>
            <w:r>
              <w:rPr>
                <w:color w:val="auto"/>
                <w:sz w:val="21"/>
                <w:szCs w:val="21"/>
                <w:highlight w:val="none"/>
              </w:rPr>
              <w:t xml:space="preserve">须为采购人系统使用人员提供业务培训。 </w:t>
            </w:r>
          </w:p>
          <w:p w14:paraId="55F0E320">
            <w:pPr>
              <w:pStyle w:val="12"/>
              <w:jc w:val="left"/>
              <w:rPr>
                <w:color w:val="auto"/>
                <w:sz w:val="21"/>
                <w:szCs w:val="21"/>
                <w:highlight w:val="none"/>
              </w:rPr>
            </w:pPr>
            <w:r>
              <w:rPr>
                <w:color w:val="auto"/>
                <w:sz w:val="21"/>
                <w:szCs w:val="21"/>
                <w:highlight w:val="none"/>
              </w:rPr>
              <w:t>2.培训内容：包括但不限于系统管理、系统使用、系统维护等内容。</w:t>
            </w:r>
          </w:p>
          <w:p w14:paraId="24A9B703">
            <w:pPr>
              <w:pStyle w:val="12"/>
              <w:jc w:val="left"/>
              <w:rPr>
                <w:color w:val="auto"/>
                <w:sz w:val="21"/>
                <w:szCs w:val="21"/>
                <w:highlight w:val="none"/>
              </w:rPr>
            </w:pPr>
            <w:r>
              <w:rPr>
                <w:color w:val="auto"/>
                <w:sz w:val="21"/>
                <w:szCs w:val="21"/>
                <w:highlight w:val="none"/>
              </w:rPr>
              <w:t>3.供应商须提供培训用文字资料和讲义等相关用品。所有的资料必须是中文书写。</w:t>
            </w:r>
          </w:p>
          <w:p w14:paraId="373C26A0">
            <w:pPr>
              <w:pStyle w:val="12"/>
              <w:jc w:val="left"/>
              <w:rPr>
                <w:color w:val="auto"/>
                <w:sz w:val="21"/>
                <w:szCs w:val="21"/>
                <w:highlight w:val="none"/>
              </w:rPr>
            </w:pPr>
            <w:r>
              <w:rPr>
                <w:color w:val="auto"/>
                <w:sz w:val="21"/>
                <w:szCs w:val="21"/>
                <w:highlight w:val="none"/>
              </w:rPr>
              <w:t>4.所有的培训费用包括差旅、食宿、教材、资料等由</w:t>
            </w:r>
            <w:r>
              <w:rPr>
                <w:rFonts w:hint="eastAsia"/>
                <w:color w:val="auto"/>
                <w:sz w:val="21"/>
                <w:szCs w:val="21"/>
                <w:highlight w:val="none"/>
                <w:lang w:eastAsia="zh-CN"/>
              </w:rPr>
              <w:t>成交供应商</w:t>
            </w:r>
            <w:r>
              <w:rPr>
                <w:color w:val="auto"/>
                <w:sz w:val="21"/>
                <w:szCs w:val="21"/>
                <w:highlight w:val="none"/>
              </w:rPr>
              <w:t>负责，均计入投标报价。</w:t>
            </w:r>
          </w:p>
        </w:tc>
      </w:tr>
      <w:tr w14:paraId="36CCE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789FD932">
            <w:pPr>
              <w:jc w:val="center"/>
              <w:rPr>
                <w:color w:val="auto"/>
                <w:sz w:val="21"/>
                <w:szCs w:val="21"/>
                <w:highlight w:val="none"/>
              </w:rPr>
            </w:pPr>
          </w:p>
        </w:tc>
        <w:tc>
          <w:tcPr>
            <w:tcW w:w="829" w:type="dxa"/>
            <w:noWrap w:val="0"/>
            <w:vAlign w:val="center"/>
          </w:tcPr>
          <w:p w14:paraId="23545572">
            <w:pPr>
              <w:pStyle w:val="12"/>
              <w:jc w:val="center"/>
              <w:rPr>
                <w:color w:val="auto"/>
                <w:sz w:val="21"/>
                <w:szCs w:val="21"/>
                <w:highlight w:val="none"/>
              </w:rPr>
            </w:pPr>
            <w:r>
              <w:rPr>
                <w:color w:val="auto"/>
                <w:sz w:val="21"/>
                <w:szCs w:val="21"/>
                <w:highlight w:val="none"/>
              </w:rPr>
              <w:t>6</w:t>
            </w:r>
          </w:p>
        </w:tc>
        <w:tc>
          <w:tcPr>
            <w:tcW w:w="1630" w:type="dxa"/>
            <w:noWrap w:val="0"/>
            <w:vAlign w:val="center"/>
          </w:tcPr>
          <w:p w14:paraId="0ED680D9">
            <w:pPr>
              <w:pStyle w:val="12"/>
              <w:jc w:val="center"/>
              <w:rPr>
                <w:color w:val="auto"/>
                <w:sz w:val="21"/>
                <w:szCs w:val="21"/>
                <w:highlight w:val="none"/>
              </w:rPr>
            </w:pPr>
            <w:r>
              <w:rPr>
                <w:color w:val="auto"/>
                <w:sz w:val="21"/>
                <w:szCs w:val="21"/>
                <w:highlight w:val="none"/>
              </w:rPr>
              <w:t>著作权归属</w:t>
            </w:r>
          </w:p>
        </w:tc>
        <w:tc>
          <w:tcPr>
            <w:tcW w:w="5171" w:type="dxa"/>
            <w:noWrap w:val="0"/>
            <w:vAlign w:val="top"/>
          </w:tcPr>
          <w:p w14:paraId="2BBE8255">
            <w:pPr>
              <w:pStyle w:val="12"/>
              <w:jc w:val="left"/>
              <w:rPr>
                <w:color w:val="auto"/>
                <w:sz w:val="21"/>
                <w:szCs w:val="21"/>
                <w:highlight w:val="none"/>
              </w:rPr>
            </w:pPr>
            <w:r>
              <w:rPr>
                <w:color w:val="auto"/>
                <w:sz w:val="21"/>
                <w:szCs w:val="21"/>
                <w:highlight w:val="none"/>
              </w:rPr>
              <w:t>1.本项目严格执行《佛山市政务信息化项目管理办法》和《佛山市政务信息化项目验收实施细则》工作要求，项目合同验收通过后，本项目相关的源代码、编译环境参数、数据设计说明等技术材料与其他符合性验收材料一并通过市信息化项目管理系统报政数部门备份。</w:t>
            </w:r>
          </w:p>
          <w:p w14:paraId="52DB28DE">
            <w:pPr>
              <w:pStyle w:val="12"/>
              <w:jc w:val="left"/>
              <w:rPr>
                <w:color w:val="auto"/>
                <w:sz w:val="21"/>
                <w:szCs w:val="21"/>
                <w:highlight w:val="none"/>
              </w:rPr>
            </w:pPr>
            <w:r>
              <w:rPr>
                <w:color w:val="auto"/>
                <w:sz w:val="21"/>
                <w:szCs w:val="21"/>
                <w:highlight w:val="none"/>
              </w:rPr>
              <w:t>2.基于本项目新开发的产品的著作权、知识产权成果归采购人所有，包括但不限于：发表权、署名权、修改权、保护作品完整权、使用权、许可使用权、转让权。</w:t>
            </w:r>
          </w:p>
          <w:p w14:paraId="5B7D87E4">
            <w:pPr>
              <w:pStyle w:val="12"/>
              <w:jc w:val="left"/>
              <w:rPr>
                <w:color w:val="auto"/>
                <w:sz w:val="21"/>
                <w:szCs w:val="21"/>
                <w:highlight w:val="none"/>
              </w:rPr>
            </w:pPr>
            <w:r>
              <w:rPr>
                <w:color w:val="auto"/>
                <w:sz w:val="21"/>
                <w:szCs w:val="21"/>
                <w:highlight w:val="none"/>
              </w:rPr>
              <w:t>3.根据国务院令第339号《计算机软件保护条例》，</w:t>
            </w:r>
            <w:r>
              <w:rPr>
                <w:rFonts w:hint="eastAsia"/>
                <w:color w:val="auto"/>
                <w:sz w:val="21"/>
                <w:szCs w:val="21"/>
                <w:highlight w:val="none"/>
                <w:lang w:eastAsia="zh-CN"/>
              </w:rPr>
              <w:t>成交供应商</w:t>
            </w:r>
            <w:r>
              <w:rPr>
                <w:color w:val="auto"/>
                <w:sz w:val="21"/>
                <w:szCs w:val="21"/>
                <w:highlight w:val="none"/>
              </w:rPr>
              <w:t>受采购人的委托，为本项目独立开发的系统软件（包括计算机程序和文档）在正式交付使用时，采购人即作为唯一著作权拥有其著作权，并依法享有下列权利和权益： (1)发表权，即决定软件是否公这于众的权利； (2)署名权，即表明著作权人的身份，在软件上署名有权利； (3)修改权，即对软件进行增补、删节，或者改变指令、语句顺序的权利； (4)复制权，即将软件制作一份或者多份的权利； (5)发行权，即以出售或者赠与方式向公众提供软件的原件或者复制件的权利； (6)出租权，即有偿许可他人临时使用软件的权利，但是软件不是出租的主要标的的除外； (7)信息网络传播权，即以有线或者无线方式向公众提供软件，使公众可以在其个人选定的时间和地点获得软件的权利； (8)翻译权，即将原软件从一种自然语言文字转换成另一种自然语言方字的权利； (9)应当由软件著作权人享有的其他权利。</w:t>
            </w:r>
          </w:p>
          <w:p w14:paraId="1003CFA6">
            <w:pPr>
              <w:pStyle w:val="12"/>
              <w:jc w:val="left"/>
              <w:rPr>
                <w:color w:val="auto"/>
                <w:sz w:val="21"/>
                <w:szCs w:val="21"/>
                <w:highlight w:val="none"/>
              </w:rPr>
            </w:pPr>
            <w:r>
              <w:rPr>
                <w:color w:val="auto"/>
                <w:sz w:val="21"/>
                <w:szCs w:val="21"/>
                <w:highlight w:val="none"/>
              </w:rPr>
              <w:t>4.软件著作权的保护期为50年。在保护期内，著作权人可以许可他人行使其软件著作权，或授权转让其软件著作权。</w:t>
            </w:r>
          </w:p>
          <w:p w14:paraId="7A253AE8">
            <w:pPr>
              <w:pStyle w:val="12"/>
              <w:jc w:val="left"/>
              <w:rPr>
                <w:color w:val="auto"/>
                <w:sz w:val="21"/>
                <w:szCs w:val="21"/>
                <w:highlight w:val="none"/>
              </w:rPr>
            </w:pPr>
            <w:r>
              <w:rPr>
                <w:color w:val="auto"/>
                <w:sz w:val="21"/>
                <w:szCs w:val="21"/>
                <w:highlight w:val="none"/>
              </w:rPr>
              <w:t>5.</w:t>
            </w:r>
            <w:r>
              <w:rPr>
                <w:rFonts w:hint="eastAsia"/>
                <w:color w:val="auto"/>
                <w:sz w:val="21"/>
                <w:szCs w:val="21"/>
                <w:highlight w:val="none"/>
                <w:lang w:eastAsia="zh-CN"/>
              </w:rPr>
              <w:t>成交供应商</w:t>
            </w:r>
            <w:r>
              <w:rPr>
                <w:color w:val="auto"/>
                <w:sz w:val="21"/>
                <w:szCs w:val="21"/>
                <w:highlight w:val="none"/>
              </w:rPr>
              <w:t>未经采购人同意不得为求营利而对软件进行复制、向公众发行、出租、转让、网络传播、改变软件的电子信息和属性等。</w:t>
            </w:r>
          </w:p>
          <w:p w14:paraId="6FED72B4">
            <w:pPr>
              <w:pStyle w:val="12"/>
              <w:jc w:val="left"/>
              <w:rPr>
                <w:color w:val="auto"/>
                <w:sz w:val="21"/>
                <w:szCs w:val="21"/>
                <w:highlight w:val="none"/>
              </w:rPr>
            </w:pPr>
            <w:r>
              <w:rPr>
                <w:color w:val="auto"/>
                <w:sz w:val="21"/>
                <w:szCs w:val="21"/>
                <w:highlight w:val="none"/>
              </w:rPr>
              <w:t>6.软件系统内所有涉及知识产权的产品设计，</w:t>
            </w:r>
            <w:r>
              <w:rPr>
                <w:rFonts w:hint="eastAsia"/>
                <w:color w:val="auto"/>
                <w:sz w:val="21"/>
                <w:szCs w:val="21"/>
                <w:highlight w:val="none"/>
                <w:lang w:eastAsia="zh-CN"/>
              </w:rPr>
              <w:t>成交供应商</w:t>
            </w:r>
            <w:r>
              <w:rPr>
                <w:color w:val="auto"/>
                <w:sz w:val="21"/>
                <w:szCs w:val="21"/>
                <w:highlight w:val="none"/>
              </w:rPr>
              <w:t>必须确保采购人拥有其合法的、不受限制的无偿使用权，并免受任何侵权索偿或诉讼。</w:t>
            </w:r>
          </w:p>
        </w:tc>
      </w:tr>
      <w:tr w14:paraId="49EEB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6E6B5ADB">
            <w:pPr>
              <w:jc w:val="center"/>
              <w:rPr>
                <w:color w:val="auto"/>
                <w:sz w:val="21"/>
                <w:szCs w:val="21"/>
                <w:highlight w:val="none"/>
              </w:rPr>
            </w:pPr>
          </w:p>
        </w:tc>
        <w:tc>
          <w:tcPr>
            <w:tcW w:w="829" w:type="dxa"/>
            <w:noWrap w:val="0"/>
            <w:vAlign w:val="center"/>
          </w:tcPr>
          <w:p w14:paraId="4BB7AD91">
            <w:pPr>
              <w:pStyle w:val="12"/>
              <w:jc w:val="center"/>
              <w:rPr>
                <w:color w:val="auto"/>
                <w:sz w:val="21"/>
                <w:szCs w:val="21"/>
                <w:highlight w:val="none"/>
              </w:rPr>
            </w:pPr>
            <w:r>
              <w:rPr>
                <w:color w:val="auto"/>
                <w:sz w:val="21"/>
                <w:szCs w:val="21"/>
                <w:highlight w:val="none"/>
              </w:rPr>
              <w:t>7</w:t>
            </w:r>
          </w:p>
        </w:tc>
        <w:tc>
          <w:tcPr>
            <w:tcW w:w="1630" w:type="dxa"/>
            <w:noWrap w:val="0"/>
            <w:vAlign w:val="center"/>
          </w:tcPr>
          <w:p w14:paraId="41BE2D0C">
            <w:pPr>
              <w:pStyle w:val="12"/>
              <w:jc w:val="center"/>
              <w:rPr>
                <w:color w:val="auto"/>
                <w:sz w:val="21"/>
                <w:szCs w:val="21"/>
                <w:highlight w:val="none"/>
              </w:rPr>
            </w:pPr>
            <w:r>
              <w:rPr>
                <w:color w:val="auto"/>
                <w:sz w:val="21"/>
                <w:szCs w:val="21"/>
                <w:highlight w:val="none"/>
              </w:rPr>
              <w:t>保密要求</w:t>
            </w:r>
          </w:p>
        </w:tc>
        <w:tc>
          <w:tcPr>
            <w:tcW w:w="5171" w:type="dxa"/>
            <w:noWrap w:val="0"/>
            <w:vAlign w:val="top"/>
          </w:tcPr>
          <w:p w14:paraId="63571612">
            <w:pPr>
              <w:pStyle w:val="12"/>
              <w:jc w:val="left"/>
              <w:rPr>
                <w:color w:val="auto"/>
                <w:sz w:val="21"/>
                <w:szCs w:val="21"/>
                <w:highlight w:val="none"/>
              </w:rPr>
            </w:pPr>
            <w:r>
              <w:rPr>
                <w:color w:val="auto"/>
                <w:sz w:val="21"/>
                <w:szCs w:val="21"/>
                <w:highlight w:val="none"/>
              </w:rPr>
              <w:t>1.</w:t>
            </w:r>
            <w:r>
              <w:rPr>
                <w:rFonts w:hint="eastAsia"/>
                <w:color w:val="auto"/>
                <w:sz w:val="21"/>
                <w:szCs w:val="21"/>
                <w:highlight w:val="none"/>
                <w:lang w:eastAsia="zh-CN"/>
              </w:rPr>
              <w:t>成交供应商</w:t>
            </w:r>
            <w:r>
              <w:rPr>
                <w:color w:val="auto"/>
                <w:sz w:val="21"/>
                <w:szCs w:val="21"/>
                <w:highlight w:val="none"/>
              </w:rPr>
              <w:t>在项目实施过程中，对采购人所提供的所有相关资料、数据，未经采购人书面同意不得向任何第三人泄露，且保密责任不因合同的终止或解除失效。如采购人提出要求，</w:t>
            </w:r>
            <w:r>
              <w:rPr>
                <w:rFonts w:hint="eastAsia"/>
                <w:color w:val="auto"/>
                <w:sz w:val="21"/>
                <w:szCs w:val="21"/>
                <w:highlight w:val="none"/>
                <w:lang w:eastAsia="zh-CN"/>
              </w:rPr>
              <w:t>成交供应商</w:t>
            </w:r>
            <w:r>
              <w:rPr>
                <w:color w:val="auto"/>
                <w:sz w:val="21"/>
                <w:szCs w:val="21"/>
                <w:highlight w:val="none"/>
              </w:rPr>
              <w:t xml:space="preserve">须无条件与采购人签定保密协议。 </w:t>
            </w:r>
          </w:p>
          <w:p w14:paraId="03535D3C">
            <w:pPr>
              <w:pStyle w:val="12"/>
              <w:jc w:val="left"/>
              <w:rPr>
                <w:color w:val="auto"/>
                <w:sz w:val="21"/>
                <w:szCs w:val="21"/>
                <w:highlight w:val="none"/>
              </w:rPr>
            </w:pPr>
            <w:r>
              <w:rPr>
                <w:color w:val="auto"/>
                <w:sz w:val="21"/>
                <w:szCs w:val="21"/>
                <w:highlight w:val="none"/>
              </w:rPr>
              <w:t>2.</w:t>
            </w:r>
            <w:r>
              <w:rPr>
                <w:rFonts w:hint="eastAsia"/>
                <w:color w:val="auto"/>
                <w:sz w:val="21"/>
                <w:szCs w:val="21"/>
                <w:highlight w:val="none"/>
                <w:lang w:eastAsia="zh-CN"/>
              </w:rPr>
              <w:t>成交供应商</w:t>
            </w:r>
            <w:r>
              <w:rPr>
                <w:color w:val="auto"/>
                <w:sz w:val="21"/>
                <w:szCs w:val="21"/>
                <w:highlight w:val="none"/>
              </w:rPr>
              <w:t>必须严格遵守国家、省、市档案保安制度及国家其它相关保密法规，必须采取措施对本项目加工过程中的档案实体和数据的保密，并保证安全。</w:t>
            </w:r>
            <w:r>
              <w:rPr>
                <w:rFonts w:hint="eastAsia"/>
                <w:color w:val="auto"/>
                <w:sz w:val="21"/>
                <w:szCs w:val="21"/>
                <w:highlight w:val="none"/>
                <w:lang w:eastAsia="zh-CN"/>
              </w:rPr>
              <w:t>成交供应商</w:t>
            </w:r>
            <w:r>
              <w:rPr>
                <w:color w:val="auto"/>
                <w:sz w:val="21"/>
                <w:szCs w:val="21"/>
                <w:highlight w:val="none"/>
              </w:rPr>
              <w:t>不得截留和向第三方泄露所涉及的档案、资料的范围、内容及最终形成的各类数据，确保档案信息的安全保密，如有违反，依法追究责任。由于</w:t>
            </w:r>
            <w:r>
              <w:rPr>
                <w:rFonts w:hint="eastAsia"/>
                <w:color w:val="auto"/>
                <w:sz w:val="21"/>
                <w:szCs w:val="21"/>
                <w:highlight w:val="none"/>
                <w:lang w:eastAsia="zh-CN"/>
              </w:rPr>
              <w:t>成交供应商</w:t>
            </w:r>
            <w:r>
              <w:rPr>
                <w:color w:val="auto"/>
                <w:sz w:val="21"/>
                <w:szCs w:val="21"/>
                <w:highlight w:val="none"/>
              </w:rPr>
              <w:t>过错导致的资料泄密，</w:t>
            </w:r>
            <w:r>
              <w:rPr>
                <w:rFonts w:hint="eastAsia"/>
                <w:color w:val="auto"/>
                <w:sz w:val="21"/>
                <w:szCs w:val="21"/>
                <w:highlight w:val="none"/>
                <w:lang w:eastAsia="zh-CN"/>
              </w:rPr>
              <w:t>成交供应商</w:t>
            </w:r>
            <w:r>
              <w:rPr>
                <w:color w:val="auto"/>
                <w:sz w:val="21"/>
                <w:szCs w:val="21"/>
                <w:highlight w:val="none"/>
              </w:rPr>
              <w:t>必须承担一切责任。</w:t>
            </w:r>
          </w:p>
          <w:p w14:paraId="71ADB8CE">
            <w:pPr>
              <w:pStyle w:val="12"/>
              <w:jc w:val="left"/>
              <w:rPr>
                <w:color w:val="auto"/>
                <w:sz w:val="21"/>
                <w:szCs w:val="21"/>
                <w:highlight w:val="none"/>
              </w:rPr>
            </w:pPr>
            <w:r>
              <w:rPr>
                <w:color w:val="auto"/>
                <w:sz w:val="21"/>
                <w:szCs w:val="21"/>
                <w:highlight w:val="none"/>
              </w:rPr>
              <w:t>3.未尽事宜详见“第五章 合同文本”中《保密协议书》。</w:t>
            </w:r>
          </w:p>
        </w:tc>
      </w:tr>
      <w:tr w14:paraId="25F49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674" w:type="dxa"/>
            <w:noWrap w:val="0"/>
            <w:vAlign w:val="center"/>
          </w:tcPr>
          <w:p w14:paraId="6AEE3D6F">
            <w:pPr>
              <w:jc w:val="center"/>
              <w:rPr>
                <w:color w:val="auto"/>
                <w:sz w:val="21"/>
                <w:szCs w:val="21"/>
                <w:highlight w:val="none"/>
              </w:rPr>
            </w:pPr>
          </w:p>
        </w:tc>
        <w:tc>
          <w:tcPr>
            <w:tcW w:w="829" w:type="dxa"/>
            <w:noWrap w:val="0"/>
            <w:vAlign w:val="center"/>
          </w:tcPr>
          <w:p w14:paraId="1430D16B">
            <w:pPr>
              <w:pStyle w:val="12"/>
              <w:jc w:val="center"/>
              <w:rPr>
                <w:color w:val="auto"/>
                <w:sz w:val="21"/>
                <w:szCs w:val="21"/>
                <w:highlight w:val="none"/>
              </w:rPr>
            </w:pPr>
            <w:r>
              <w:rPr>
                <w:color w:val="auto"/>
                <w:sz w:val="21"/>
                <w:szCs w:val="21"/>
                <w:highlight w:val="none"/>
              </w:rPr>
              <w:t>8</w:t>
            </w:r>
          </w:p>
        </w:tc>
        <w:tc>
          <w:tcPr>
            <w:tcW w:w="1630" w:type="dxa"/>
            <w:noWrap w:val="0"/>
            <w:vAlign w:val="center"/>
          </w:tcPr>
          <w:p w14:paraId="18C8044D">
            <w:pPr>
              <w:pStyle w:val="12"/>
              <w:jc w:val="center"/>
              <w:rPr>
                <w:color w:val="auto"/>
                <w:sz w:val="21"/>
                <w:szCs w:val="21"/>
                <w:highlight w:val="none"/>
              </w:rPr>
            </w:pPr>
            <w:r>
              <w:rPr>
                <w:color w:val="auto"/>
                <w:sz w:val="21"/>
                <w:szCs w:val="21"/>
                <w:highlight w:val="none"/>
              </w:rPr>
              <w:t>其他要求</w:t>
            </w:r>
          </w:p>
        </w:tc>
        <w:tc>
          <w:tcPr>
            <w:tcW w:w="5171" w:type="dxa"/>
            <w:noWrap w:val="0"/>
            <w:vAlign w:val="top"/>
          </w:tcPr>
          <w:p w14:paraId="48545EA9">
            <w:pPr>
              <w:pStyle w:val="12"/>
              <w:jc w:val="left"/>
              <w:rPr>
                <w:color w:val="auto"/>
                <w:sz w:val="21"/>
                <w:szCs w:val="21"/>
                <w:highlight w:val="none"/>
              </w:rPr>
            </w:pPr>
            <w:r>
              <w:rPr>
                <w:color w:val="auto"/>
                <w:sz w:val="21"/>
                <w:szCs w:val="21"/>
                <w:highlight w:val="none"/>
              </w:rPr>
              <w:t>1.本项目未经采购人同意不允许分包，无论何种情形均不允许转包。</w:t>
            </w:r>
          </w:p>
          <w:p w14:paraId="34A1615E">
            <w:pPr>
              <w:pStyle w:val="12"/>
              <w:jc w:val="left"/>
              <w:rPr>
                <w:color w:val="auto"/>
                <w:sz w:val="21"/>
                <w:szCs w:val="21"/>
                <w:highlight w:val="none"/>
              </w:rPr>
            </w:pPr>
            <w:r>
              <w:rPr>
                <w:color w:val="auto"/>
                <w:sz w:val="21"/>
                <w:szCs w:val="21"/>
                <w:highlight w:val="none"/>
              </w:rPr>
              <w:t>2.其他未尽事宜详见“第五章 合同文本”。</w:t>
            </w:r>
          </w:p>
        </w:tc>
      </w:tr>
      <w:tr w14:paraId="08D25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noWrap w:val="0"/>
            <w:vAlign w:val="center"/>
          </w:tcPr>
          <w:p w14:paraId="70E5B0AB">
            <w:pPr>
              <w:pStyle w:val="12"/>
              <w:jc w:val="center"/>
              <w:rPr>
                <w:color w:val="auto"/>
                <w:sz w:val="21"/>
                <w:szCs w:val="21"/>
                <w:highlight w:val="none"/>
              </w:rPr>
            </w:pPr>
            <w:r>
              <w:rPr>
                <w:color w:val="auto"/>
                <w:sz w:val="21"/>
                <w:szCs w:val="21"/>
                <w:highlight w:val="none"/>
              </w:rPr>
              <w:t>说明</w:t>
            </w:r>
          </w:p>
        </w:tc>
        <w:tc>
          <w:tcPr>
            <w:tcW w:w="7633" w:type="dxa"/>
            <w:gridSpan w:val="4"/>
            <w:noWrap w:val="0"/>
            <w:vAlign w:val="top"/>
          </w:tcPr>
          <w:p w14:paraId="51BD84C7">
            <w:pPr>
              <w:pStyle w:val="12"/>
              <w:jc w:val="left"/>
              <w:rPr>
                <w:color w:val="auto"/>
                <w:sz w:val="21"/>
                <w:szCs w:val="21"/>
                <w:highlight w:val="none"/>
              </w:rPr>
            </w:pPr>
            <w:r>
              <w:rPr>
                <w:color w:val="auto"/>
                <w:sz w:val="21"/>
                <w:szCs w:val="21"/>
                <w:highlight w:val="none"/>
              </w:rPr>
              <w:t xml:space="preserve"> 打“★”号条款为实质性条款，若有任何一条负偏离或不满足则导致投标（响应）无效。 </w:t>
            </w:r>
            <w:r>
              <w:rPr>
                <w:color w:val="auto"/>
                <w:sz w:val="21"/>
                <w:szCs w:val="21"/>
                <w:highlight w:val="none"/>
              </w:rPr>
              <w:br w:type="textWrapping"/>
            </w:r>
            <w:r>
              <w:rPr>
                <w:color w:val="auto"/>
                <w:sz w:val="21"/>
                <w:szCs w:val="21"/>
                <w:highlight w:val="none"/>
              </w:rPr>
              <w:t>打“▲”号条款为重要参数（如有），若有部分“▲”条款未响应或不满足，将根据评审要求影响其得分，但不作为无效投标（响应）条款。</w:t>
            </w:r>
          </w:p>
        </w:tc>
      </w:tr>
    </w:tbl>
    <w:p w14:paraId="57099F0A">
      <w:pPr>
        <w:pStyle w:val="12"/>
        <w:rPr>
          <w:color w:val="auto"/>
          <w:sz w:val="21"/>
          <w:szCs w:val="21"/>
          <w:highlight w:val="none"/>
        </w:rPr>
      </w:pPr>
      <w:r>
        <w:rPr>
          <w:b/>
          <w:color w:val="auto"/>
          <w:sz w:val="21"/>
          <w:szCs w:val="21"/>
          <w:highlight w:val="none"/>
        </w:rPr>
        <w:t>2.技术标准与要求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0"/>
        <w:gridCol w:w="860"/>
        <w:gridCol w:w="860"/>
        <w:gridCol w:w="860"/>
        <w:gridCol w:w="697"/>
        <w:gridCol w:w="1235"/>
        <w:gridCol w:w="1333"/>
        <w:gridCol w:w="828"/>
        <w:gridCol w:w="790"/>
      </w:tblGrid>
      <w:tr w14:paraId="3472B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noWrap w:val="0"/>
            <w:vAlign w:val="center"/>
          </w:tcPr>
          <w:p w14:paraId="7C99B80C">
            <w:pPr>
              <w:pStyle w:val="12"/>
              <w:jc w:val="center"/>
              <w:rPr>
                <w:color w:val="auto"/>
                <w:sz w:val="21"/>
                <w:szCs w:val="21"/>
                <w:highlight w:val="none"/>
              </w:rPr>
            </w:pPr>
            <w:r>
              <w:rPr>
                <w:color w:val="auto"/>
                <w:sz w:val="21"/>
                <w:szCs w:val="21"/>
                <w:highlight w:val="none"/>
              </w:rPr>
              <w:t>序号</w:t>
            </w:r>
          </w:p>
        </w:tc>
        <w:tc>
          <w:tcPr>
            <w:tcW w:w="860" w:type="dxa"/>
            <w:noWrap w:val="0"/>
            <w:vAlign w:val="center"/>
          </w:tcPr>
          <w:p w14:paraId="29824B54">
            <w:pPr>
              <w:pStyle w:val="12"/>
              <w:jc w:val="center"/>
              <w:rPr>
                <w:color w:val="auto"/>
                <w:sz w:val="21"/>
                <w:szCs w:val="21"/>
                <w:highlight w:val="none"/>
              </w:rPr>
            </w:pPr>
            <w:r>
              <w:rPr>
                <w:color w:val="auto"/>
                <w:sz w:val="21"/>
                <w:szCs w:val="21"/>
                <w:highlight w:val="none"/>
              </w:rPr>
              <w:t>品目名称</w:t>
            </w:r>
          </w:p>
        </w:tc>
        <w:tc>
          <w:tcPr>
            <w:tcW w:w="860" w:type="dxa"/>
            <w:noWrap w:val="0"/>
            <w:vAlign w:val="center"/>
          </w:tcPr>
          <w:p w14:paraId="370E195A">
            <w:pPr>
              <w:pStyle w:val="12"/>
              <w:jc w:val="center"/>
              <w:rPr>
                <w:color w:val="auto"/>
                <w:sz w:val="21"/>
                <w:szCs w:val="21"/>
                <w:highlight w:val="none"/>
              </w:rPr>
            </w:pPr>
            <w:r>
              <w:rPr>
                <w:color w:val="auto"/>
                <w:sz w:val="21"/>
                <w:szCs w:val="21"/>
                <w:highlight w:val="none"/>
              </w:rPr>
              <w:t>标的名称</w:t>
            </w:r>
          </w:p>
        </w:tc>
        <w:tc>
          <w:tcPr>
            <w:tcW w:w="860" w:type="dxa"/>
            <w:noWrap w:val="0"/>
            <w:vAlign w:val="center"/>
          </w:tcPr>
          <w:p w14:paraId="3C41EFE1">
            <w:pPr>
              <w:pStyle w:val="12"/>
              <w:jc w:val="center"/>
              <w:rPr>
                <w:color w:val="auto"/>
                <w:sz w:val="21"/>
                <w:szCs w:val="21"/>
                <w:highlight w:val="none"/>
              </w:rPr>
            </w:pPr>
            <w:r>
              <w:rPr>
                <w:color w:val="auto"/>
                <w:sz w:val="21"/>
                <w:szCs w:val="21"/>
                <w:highlight w:val="none"/>
              </w:rPr>
              <w:t>单位</w:t>
            </w:r>
          </w:p>
        </w:tc>
        <w:tc>
          <w:tcPr>
            <w:tcW w:w="697" w:type="dxa"/>
            <w:noWrap w:val="0"/>
            <w:vAlign w:val="center"/>
          </w:tcPr>
          <w:p w14:paraId="4827718B">
            <w:pPr>
              <w:pStyle w:val="12"/>
              <w:jc w:val="center"/>
              <w:rPr>
                <w:color w:val="auto"/>
                <w:sz w:val="21"/>
                <w:szCs w:val="21"/>
                <w:highlight w:val="none"/>
              </w:rPr>
            </w:pPr>
            <w:r>
              <w:rPr>
                <w:color w:val="auto"/>
                <w:sz w:val="21"/>
                <w:szCs w:val="21"/>
                <w:highlight w:val="none"/>
              </w:rPr>
              <w:t>数量</w:t>
            </w:r>
          </w:p>
        </w:tc>
        <w:tc>
          <w:tcPr>
            <w:tcW w:w="1235" w:type="dxa"/>
            <w:noWrap w:val="0"/>
            <w:vAlign w:val="center"/>
          </w:tcPr>
          <w:p w14:paraId="53502C4C">
            <w:pPr>
              <w:pStyle w:val="12"/>
              <w:jc w:val="center"/>
              <w:rPr>
                <w:color w:val="auto"/>
                <w:sz w:val="21"/>
                <w:szCs w:val="21"/>
                <w:highlight w:val="none"/>
              </w:rPr>
            </w:pPr>
            <w:r>
              <w:rPr>
                <w:color w:val="auto"/>
                <w:sz w:val="21"/>
                <w:szCs w:val="21"/>
                <w:highlight w:val="none"/>
              </w:rPr>
              <w:t>分项预算单价（元）</w:t>
            </w:r>
          </w:p>
        </w:tc>
        <w:tc>
          <w:tcPr>
            <w:tcW w:w="1333" w:type="dxa"/>
            <w:noWrap w:val="0"/>
            <w:vAlign w:val="center"/>
          </w:tcPr>
          <w:p w14:paraId="5011111C">
            <w:pPr>
              <w:pStyle w:val="12"/>
              <w:jc w:val="center"/>
              <w:rPr>
                <w:color w:val="auto"/>
                <w:sz w:val="21"/>
                <w:szCs w:val="21"/>
                <w:highlight w:val="none"/>
              </w:rPr>
            </w:pPr>
            <w:r>
              <w:rPr>
                <w:color w:val="auto"/>
                <w:sz w:val="21"/>
                <w:szCs w:val="21"/>
                <w:highlight w:val="none"/>
              </w:rPr>
              <w:t>分项预算总价（元）</w:t>
            </w:r>
          </w:p>
        </w:tc>
        <w:tc>
          <w:tcPr>
            <w:tcW w:w="828" w:type="dxa"/>
            <w:noWrap w:val="0"/>
            <w:vAlign w:val="center"/>
          </w:tcPr>
          <w:p w14:paraId="5ED67CDE">
            <w:pPr>
              <w:pStyle w:val="12"/>
              <w:jc w:val="center"/>
              <w:rPr>
                <w:color w:val="auto"/>
                <w:sz w:val="21"/>
                <w:szCs w:val="21"/>
                <w:highlight w:val="none"/>
              </w:rPr>
            </w:pPr>
            <w:r>
              <w:rPr>
                <w:color w:val="auto"/>
                <w:sz w:val="21"/>
                <w:szCs w:val="21"/>
                <w:highlight w:val="none"/>
              </w:rPr>
              <w:t>所属行业</w:t>
            </w:r>
          </w:p>
        </w:tc>
        <w:tc>
          <w:tcPr>
            <w:tcW w:w="790" w:type="dxa"/>
            <w:noWrap w:val="0"/>
            <w:vAlign w:val="center"/>
          </w:tcPr>
          <w:p w14:paraId="0FF3AB5B">
            <w:pPr>
              <w:pStyle w:val="12"/>
              <w:jc w:val="center"/>
              <w:rPr>
                <w:color w:val="auto"/>
                <w:sz w:val="21"/>
                <w:szCs w:val="21"/>
                <w:highlight w:val="none"/>
              </w:rPr>
            </w:pPr>
            <w:r>
              <w:rPr>
                <w:color w:val="auto"/>
                <w:sz w:val="21"/>
                <w:szCs w:val="21"/>
                <w:highlight w:val="none"/>
              </w:rPr>
              <w:t>技术要求</w:t>
            </w:r>
          </w:p>
        </w:tc>
      </w:tr>
      <w:tr w14:paraId="2D113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noWrap w:val="0"/>
            <w:vAlign w:val="center"/>
          </w:tcPr>
          <w:p w14:paraId="38DE9DC5">
            <w:pPr>
              <w:pStyle w:val="12"/>
              <w:jc w:val="center"/>
              <w:rPr>
                <w:color w:val="auto"/>
                <w:sz w:val="21"/>
                <w:szCs w:val="21"/>
                <w:highlight w:val="none"/>
              </w:rPr>
            </w:pPr>
            <w:r>
              <w:rPr>
                <w:color w:val="auto"/>
                <w:sz w:val="21"/>
                <w:szCs w:val="21"/>
                <w:highlight w:val="none"/>
              </w:rPr>
              <w:t>1</w:t>
            </w:r>
          </w:p>
        </w:tc>
        <w:tc>
          <w:tcPr>
            <w:tcW w:w="860" w:type="dxa"/>
            <w:noWrap w:val="0"/>
            <w:vAlign w:val="center"/>
          </w:tcPr>
          <w:p w14:paraId="6949D759">
            <w:pPr>
              <w:pStyle w:val="12"/>
              <w:jc w:val="center"/>
              <w:rPr>
                <w:color w:val="auto"/>
                <w:sz w:val="21"/>
                <w:szCs w:val="21"/>
                <w:highlight w:val="none"/>
              </w:rPr>
            </w:pPr>
            <w:r>
              <w:rPr>
                <w:color w:val="auto"/>
                <w:sz w:val="21"/>
                <w:szCs w:val="21"/>
                <w:highlight w:val="none"/>
              </w:rPr>
              <w:t>其他服务</w:t>
            </w:r>
          </w:p>
        </w:tc>
        <w:tc>
          <w:tcPr>
            <w:tcW w:w="860" w:type="dxa"/>
            <w:noWrap w:val="0"/>
            <w:vAlign w:val="center"/>
          </w:tcPr>
          <w:p w14:paraId="3C71039C">
            <w:pPr>
              <w:pStyle w:val="12"/>
              <w:jc w:val="center"/>
              <w:rPr>
                <w:rFonts w:hint="eastAsia" w:eastAsia="宋体"/>
                <w:color w:val="auto"/>
                <w:sz w:val="21"/>
                <w:szCs w:val="21"/>
                <w:highlight w:val="none"/>
                <w:lang w:eastAsia="zh-CN"/>
              </w:rPr>
            </w:pPr>
            <w:r>
              <w:rPr>
                <w:rFonts w:hint="eastAsia"/>
                <w:color w:val="auto"/>
                <w:sz w:val="21"/>
                <w:szCs w:val="21"/>
                <w:highlight w:val="none"/>
                <w:lang w:eastAsia="zh-CN"/>
              </w:rPr>
              <w:t>功能型无人车道路测试与商业应用服务平台建设</w:t>
            </w:r>
          </w:p>
        </w:tc>
        <w:tc>
          <w:tcPr>
            <w:tcW w:w="860" w:type="dxa"/>
            <w:noWrap w:val="0"/>
            <w:vAlign w:val="center"/>
          </w:tcPr>
          <w:p w14:paraId="39A4F492">
            <w:pPr>
              <w:pStyle w:val="12"/>
              <w:jc w:val="center"/>
              <w:rPr>
                <w:color w:val="auto"/>
                <w:sz w:val="21"/>
                <w:szCs w:val="21"/>
                <w:highlight w:val="none"/>
              </w:rPr>
            </w:pPr>
            <w:r>
              <w:rPr>
                <w:color w:val="auto"/>
                <w:sz w:val="21"/>
                <w:szCs w:val="21"/>
                <w:highlight w:val="none"/>
              </w:rPr>
              <w:t>项</w:t>
            </w:r>
          </w:p>
        </w:tc>
        <w:tc>
          <w:tcPr>
            <w:tcW w:w="697" w:type="dxa"/>
            <w:noWrap w:val="0"/>
            <w:vAlign w:val="center"/>
          </w:tcPr>
          <w:p w14:paraId="759DC1B1">
            <w:pPr>
              <w:pStyle w:val="12"/>
              <w:jc w:val="center"/>
              <w:rPr>
                <w:color w:val="auto"/>
                <w:sz w:val="21"/>
                <w:szCs w:val="21"/>
                <w:highlight w:val="none"/>
              </w:rPr>
            </w:pPr>
            <w:r>
              <w:rPr>
                <w:color w:val="auto"/>
                <w:sz w:val="21"/>
                <w:szCs w:val="21"/>
                <w:highlight w:val="none"/>
              </w:rPr>
              <w:t>1.00</w:t>
            </w:r>
          </w:p>
        </w:tc>
        <w:tc>
          <w:tcPr>
            <w:tcW w:w="1235" w:type="dxa"/>
            <w:noWrap w:val="0"/>
            <w:vAlign w:val="center"/>
          </w:tcPr>
          <w:p w14:paraId="63C08773">
            <w:pPr>
              <w:pStyle w:val="12"/>
              <w:jc w:val="center"/>
              <w:rPr>
                <w:rFonts w:hint="eastAsia" w:eastAsia="宋体"/>
                <w:color w:val="auto"/>
                <w:sz w:val="21"/>
                <w:szCs w:val="21"/>
                <w:highlight w:val="none"/>
                <w:lang w:eastAsia="zh-CN"/>
              </w:rPr>
            </w:pPr>
            <w:r>
              <w:rPr>
                <w:rFonts w:hint="eastAsia"/>
                <w:color w:val="auto"/>
                <w:sz w:val="21"/>
                <w:szCs w:val="21"/>
                <w:highlight w:val="none"/>
                <w:lang w:eastAsia="zh-CN"/>
              </w:rPr>
              <w:t>1,460,000.00</w:t>
            </w:r>
          </w:p>
        </w:tc>
        <w:tc>
          <w:tcPr>
            <w:tcW w:w="1333" w:type="dxa"/>
            <w:noWrap w:val="0"/>
            <w:vAlign w:val="center"/>
          </w:tcPr>
          <w:p w14:paraId="78F12966">
            <w:pPr>
              <w:pStyle w:val="12"/>
              <w:jc w:val="center"/>
              <w:rPr>
                <w:rFonts w:hint="eastAsia" w:eastAsia="宋体"/>
                <w:color w:val="auto"/>
                <w:sz w:val="21"/>
                <w:szCs w:val="21"/>
                <w:highlight w:val="none"/>
                <w:lang w:eastAsia="zh-CN"/>
              </w:rPr>
            </w:pPr>
            <w:r>
              <w:rPr>
                <w:rFonts w:hint="eastAsia"/>
                <w:color w:val="auto"/>
                <w:sz w:val="21"/>
                <w:szCs w:val="21"/>
                <w:highlight w:val="none"/>
                <w:lang w:eastAsia="zh-CN"/>
              </w:rPr>
              <w:t>1,460,000.00</w:t>
            </w:r>
          </w:p>
        </w:tc>
        <w:tc>
          <w:tcPr>
            <w:tcW w:w="828" w:type="dxa"/>
            <w:noWrap w:val="0"/>
            <w:vAlign w:val="center"/>
          </w:tcPr>
          <w:p w14:paraId="445F48CB">
            <w:pPr>
              <w:pStyle w:val="12"/>
              <w:jc w:val="center"/>
              <w:rPr>
                <w:color w:val="auto"/>
                <w:sz w:val="21"/>
                <w:szCs w:val="21"/>
                <w:highlight w:val="none"/>
              </w:rPr>
            </w:pPr>
            <w:r>
              <w:rPr>
                <w:color w:val="auto"/>
                <w:sz w:val="21"/>
                <w:szCs w:val="21"/>
                <w:highlight w:val="none"/>
              </w:rPr>
              <w:t>软件和信息技术服务业</w:t>
            </w:r>
          </w:p>
        </w:tc>
        <w:tc>
          <w:tcPr>
            <w:tcW w:w="790" w:type="dxa"/>
            <w:noWrap w:val="0"/>
            <w:vAlign w:val="center"/>
          </w:tcPr>
          <w:p w14:paraId="10524D29">
            <w:pPr>
              <w:pStyle w:val="12"/>
              <w:jc w:val="center"/>
              <w:rPr>
                <w:color w:val="auto"/>
                <w:sz w:val="21"/>
                <w:szCs w:val="21"/>
                <w:highlight w:val="none"/>
              </w:rPr>
            </w:pPr>
            <w:r>
              <w:rPr>
                <w:color w:val="auto"/>
                <w:sz w:val="21"/>
                <w:szCs w:val="21"/>
                <w:highlight w:val="none"/>
              </w:rPr>
              <w:t>详见附表一</w:t>
            </w:r>
          </w:p>
        </w:tc>
      </w:tr>
    </w:tbl>
    <w:p w14:paraId="09FE44E5">
      <w:pPr>
        <w:pStyle w:val="12"/>
        <w:rPr>
          <w:rFonts w:hint="eastAsia" w:eastAsia="宋体"/>
          <w:color w:val="auto"/>
          <w:sz w:val="21"/>
          <w:szCs w:val="21"/>
          <w:highlight w:val="none"/>
          <w:lang w:eastAsia="zh-CN"/>
        </w:rPr>
      </w:pPr>
      <w:r>
        <w:rPr>
          <w:b/>
          <w:color w:val="auto"/>
          <w:sz w:val="21"/>
          <w:szCs w:val="21"/>
          <w:highlight w:val="none"/>
        </w:rPr>
        <w:t>附表一：</w:t>
      </w:r>
      <w:r>
        <w:rPr>
          <w:rFonts w:hint="eastAsia"/>
          <w:b/>
          <w:color w:val="auto"/>
          <w:sz w:val="21"/>
          <w:szCs w:val="21"/>
          <w:highlight w:val="none"/>
          <w:lang w:eastAsia="zh-CN"/>
        </w:rPr>
        <w:t>功能型无人车道路测试与商业应用服务平台建设</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8"/>
        <w:gridCol w:w="801"/>
        <w:gridCol w:w="7033"/>
      </w:tblGrid>
      <w:tr w14:paraId="7F062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center"/>
          </w:tcPr>
          <w:p w14:paraId="1D95AF5C">
            <w:pPr>
              <w:pStyle w:val="12"/>
              <w:jc w:val="center"/>
              <w:rPr>
                <w:color w:val="auto"/>
                <w:highlight w:val="none"/>
              </w:rPr>
            </w:pPr>
            <w:r>
              <w:rPr>
                <w:color w:val="auto"/>
                <w:highlight w:val="none"/>
              </w:rPr>
              <w:t>参数性质</w:t>
            </w:r>
          </w:p>
        </w:tc>
        <w:tc>
          <w:tcPr>
            <w:tcW w:w="801" w:type="dxa"/>
            <w:noWrap w:val="0"/>
            <w:vAlign w:val="center"/>
          </w:tcPr>
          <w:p w14:paraId="76D29ADE">
            <w:pPr>
              <w:pStyle w:val="12"/>
              <w:jc w:val="center"/>
              <w:rPr>
                <w:color w:val="auto"/>
                <w:highlight w:val="none"/>
              </w:rPr>
            </w:pPr>
            <w:r>
              <w:rPr>
                <w:color w:val="auto"/>
                <w:highlight w:val="none"/>
              </w:rPr>
              <w:t>序号</w:t>
            </w:r>
          </w:p>
        </w:tc>
        <w:tc>
          <w:tcPr>
            <w:tcW w:w="7033" w:type="dxa"/>
            <w:noWrap w:val="0"/>
            <w:vAlign w:val="center"/>
          </w:tcPr>
          <w:p w14:paraId="557C0717">
            <w:pPr>
              <w:pStyle w:val="12"/>
              <w:jc w:val="center"/>
              <w:rPr>
                <w:color w:val="auto"/>
                <w:highlight w:val="none"/>
              </w:rPr>
            </w:pPr>
            <w:r>
              <w:rPr>
                <w:color w:val="auto"/>
                <w:highlight w:val="none"/>
              </w:rPr>
              <w:t>具体技术(参数)要求</w:t>
            </w:r>
          </w:p>
        </w:tc>
      </w:tr>
      <w:tr w14:paraId="5B3A4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top"/>
          </w:tcPr>
          <w:p w14:paraId="7B020C28">
            <w:pPr>
              <w:rPr>
                <w:color w:val="auto"/>
                <w:highlight w:val="none"/>
              </w:rPr>
            </w:pPr>
          </w:p>
        </w:tc>
        <w:tc>
          <w:tcPr>
            <w:tcW w:w="801" w:type="dxa"/>
            <w:noWrap w:val="0"/>
            <w:vAlign w:val="center"/>
          </w:tcPr>
          <w:p w14:paraId="2DA420A7">
            <w:pPr>
              <w:pStyle w:val="12"/>
              <w:jc w:val="center"/>
              <w:rPr>
                <w:color w:val="auto"/>
                <w:highlight w:val="none"/>
              </w:rPr>
            </w:pPr>
            <w:r>
              <w:rPr>
                <w:color w:val="auto"/>
                <w:highlight w:val="none"/>
              </w:rPr>
              <w:t>1</w:t>
            </w:r>
          </w:p>
        </w:tc>
        <w:tc>
          <w:tcPr>
            <w:tcW w:w="7033" w:type="dxa"/>
            <w:noWrap w:val="0"/>
            <w:vAlign w:val="center"/>
          </w:tcPr>
          <w:p w14:paraId="1F3F22B6">
            <w:pPr>
              <w:pStyle w:val="12"/>
              <w:jc w:val="left"/>
              <w:rPr>
                <w:color w:val="auto"/>
                <w:highlight w:val="none"/>
              </w:rPr>
            </w:pPr>
            <w:r>
              <w:rPr>
                <w:b/>
                <w:color w:val="auto"/>
                <w:sz w:val="21"/>
                <w:highlight w:val="none"/>
              </w:rPr>
              <w:t>项目内容</w:t>
            </w:r>
          </w:p>
          <w:p w14:paraId="55344F8F">
            <w:pPr>
              <w:pStyle w:val="12"/>
              <w:ind w:firstLine="420"/>
              <w:jc w:val="left"/>
              <w:rPr>
                <w:rFonts w:hint="eastAsia" w:eastAsia="宋体" w:cs="Times New Roman"/>
                <w:color w:val="auto"/>
                <w:sz w:val="21"/>
                <w:highlight w:val="none"/>
              </w:rPr>
            </w:pPr>
            <w:r>
              <w:rPr>
                <w:rFonts w:hint="eastAsia" w:eastAsia="宋体" w:cs="Times New Roman"/>
                <w:color w:val="auto"/>
                <w:sz w:val="21"/>
                <w:highlight w:val="none"/>
                <w:lang w:val="en-US" w:eastAsia="zh-CN"/>
              </w:rPr>
              <w:t>本</w:t>
            </w:r>
            <w:r>
              <w:rPr>
                <w:rFonts w:hint="eastAsia" w:eastAsia="宋体" w:cs="Times New Roman"/>
                <w:color w:val="auto"/>
                <w:sz w:val="21"/>
                <w:highlight w:val="none"/>
              </w:rPr>
              <w:t>项目总体建设内容为完成佛山市功能型无人车道路测试与商业应用服务平台</w:t>
            </w:r>
            <w:r>
              <w:rPr>
                <w:rFonts w:hint="eastAsia" w:eastAsia="宋体" w:cs="Times New Roman"/>
                <w:color w:val="auto"/>
                <w:sz w:val="21"/>
                <w:highlight w:val="none"/>
                <w:lang w:val="en-US" w:eastAsia="zh-CN"/>
              </w:rPr>
              <w:t>开发工作</w:t>
            </w:r>
            <w:r>
              <w:rPr>
                <w:rFonts w:hint="eastAsia" w:eastAsia="宋体" w:cs="Times New Roman"/>
                <w:color w:val="auto"/>
                <w:sz w:val="21"/>
                <w:highlight w:val="none"/>
              </w:rPr>
              <w:t>，并在项目终验后提供1年免费运维服务。</w:t>
            </w:r>
          </w:p>
          <w:p w14:paraId="5A3F54D6">
            <w:pPr>
              <w:pStyle w:val="12"/>
              <w:ind w:firstLine="420"/>
              <w:jc w:val="left"/>
              <w:rPr>
                <w:color w:val="auto"/>
                <w:highlight w:val="none"/>
              </w:rPr>
            </w:pPr>
            <w:r>
              <w:rPr>
                <w:rFonts w:hint="eastAsia"/>
                <w:color w:val="auto"/>
                <w:highlight w:val="none"/>
                <w:lang w:val="en-US" w:eastAsia="zh-CN"/>
              </w:rPr>
              <w:t>软件开发及系统业务运营。软件开发主要内容为车辆动态一张图、基础业务数据管理、道路测试主体信息档案管理、商业应用主体信息档案管理、业务办理、行业监管、安全监测、视频监控和个人工作台等模块。系统业务运营主要提供数据处理运营服务，包括等数据归集与整合治理、数据管理体系建设、数据统计分析与可视化展示等内容。</w:t>
            </w:r>
          </w:p>
        </w:tc>
      </w:tr>
      <w:tr w14:paraId="682D8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top"/>
          </w:tcPr>
          <w:p w14:paraId="5F30570F">
            <w:pPr>
              <w:rPr>
                <w:color w:val="auto"/>
                <w:highlight w:val="none"/>
              </w:rPr>
            </w:pPr>
          </w:p>
        </w:tc>
        <w:tc>
          <w:tcPr>
            <w:tcW w:w="801" w:type="dxa"/>
            <w:noWrap w:val="0"/>
            <w:vAlign w:val="center"/>
          </w:tcPr>
          <w:p w14:paraId="168064E4">
            <w:pPr>
              <w:pStyle w:val="12"/>
              <w:jc w:val="center"/>
              <w:rPr>
                <w:color w:val="auto"/>
                <w:highlight w:val="none"/>
              </w:rPr>
            </w:pPr>
            <w:r>
              <w:rPr>
                <w:color w:val="auto"/>
                <w:highlight w:val="none"/>
              </w:rPr>
              <w:t>2</w:t>
            </w:r>
          </w:p>
        </w:tc>
        <w:tc>
          <w:tcPr>
            <w:tcW w:w="7033" w:type="dxa"/>
            <w:noWrap w:val="0"/>
            <w:vAlign w:val="center"/>
          </w:tcPr>
          <w:p w14:paraId="3CD182AB">
            <w:pPr>
              <w:pStyle w:val="12"/>
              <w:jc w:val="left"/>
              <w:rPr>
                <w:color w:val="auto"/>
                <w:highlight w:val="none"/>
              </w:rPr>
            </w:pPr>
            <w:r>
              <w:rPr>
                <w:b/>
                <w:color w:val="auto"/>
                <w:sz w:val="21"/>
                <w:highlight w:val="none"/>
              </w:rPr>
              <w:t>项目依据</w:t>
            </w:r>
          </w:p>
          <w:p w14:paraId="5086892A">
            <w:pPr>
              <w:pStyle w:val="12"/>
              <w:ind w:firstLine="420"/>
              <w:jc w:val="left"/>
              <w:rPr>
                <w:color w:val="auto"/>
                <w:highlight w:val="none"/>
              </w:rPr>
            </w:pPr>
            <w:r>
              <w:rPr>
                <w:color w:val="auto"/>
                <w:sz w:val="21"/>
                <w:highlight w:val="none"/>
              </w:rPr>
              <w:t>包含但不限于以下内容：</w:t>
            </w:r>
          </w:p>
          <w:p w14:paraId="154E26E2">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1.《新能源汽车产业发展规划（2021-2035年）》（国办发〔2020〕39号）</w:t>
            </w:r>
          </w:p>
          <w:p w14:paraId="4F75B321">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2.《自动驾驶汽车运输安全服务指南（试行）》（交办运（2023) 66号）</w:t>
            </w:r>
          </w:p>
          <w:p w14:paraId="7DEB81E5">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3.《智能网联汽车道路测试与商业应用管理规范（试行）》（工信部联通装〔2021〕97号）</w:t>
            </w:r>
          </w:p>
          <w:p w14:paraId="38EEF0B1">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4.《关于开展智能网联汽车“车路云一体化”应用试点的通知》（工信部联通装〔2023〕268号）</w:t>
            </w:r>
          </w:p>
          <w:p w14:paraId="7938AD85">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5.《广东省 “十四五” 数字经济发展规划》</w:t>
            </w:r>
          </w:p>
          <w:p w14:paraId="304EB280">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6.《广东省智能网联汽车道路测试与商业应用管理办法（试行）》</w:t>
            </w:r>
          </w:p>
          <w:p w14:paraId="4650035E">
            <w:pPr>
              <w:pStyle w:val="12"/>
              <w:jc w:val="left"/>
              <w:rPr>
                <w:rFonts w:hint="eastAsia" w:eastAsia="宋体" w:cs="Times New Roman"/>
                <w:color w:val="auto"/>
                <w:sz w:val="21"/>
                <w:highlight w:val="none"/>
                <w:lang w:val="en-US" w:eastAsia="zh-CN"/>
              </w:rPr>
            </w:pPr>
            <w:r>
              <w:rPr>
                <w:rFonts w:hint="eastAsia" w:eastAsia="宋体" w:cs="Times New Roman"/>
                <w:color w:val="auto"/>
                <w:sz w:val="21"/>
                <w:highlight w:val="none"/>
                <w:lang w:val="en-US" w:eastAsia="zh-CN"/>
              </w:rPr>
              <w:t>7.《佛山市功能型无人车道路测试与商业应用管理实施细则（试行）》</w:t>
            </w:r>
          </w:p>
          <w:p w14:paraId="60FC153F">
            <w:pPr>
              <w:pStyle w:val="12"/>
              <w:jc w:val="left"/>
              <w:rPr>
                <w:rFonts w:hint="eastAsia" w:ascii="Times New Roman" w:hAnsi="Times New Roman" w:cs="Times New Roman"/>
                <w:color w:val="auto"/>
                <w:sz w:val="28"/>
                <w:szCs w:val="28"/>
                <w:highlight w:val="none"/>
                <w:lang w:val="en-US" w:eastAsia="zh-CN"/>
              </w:rPr>
            </w:pPr>
            <w:r>
              <w:rPr>
                <w:rFonts w:hint="eastAsia" w:eastAsia="宋体" w:cs="Times New Roman"/>
                <w:color w:val="auto"/>
                <w:sz w:val="21"/>
                <w:highlight w:val="none"/>
                <w:lang w:val="en-US" w:eastAsia="zh-CN"/>
              </w:rPr>
              <w:t>8.《佛山市智能网联汽车道路测试与商业应用管理实施细则（试行）》</w:t>
            </w:r>
          </w:p>
        </w:tc>
      </w:tr>
      <w:tr w14:paraId="183AC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top"/>
          </w:tcPr>
          <w:p w14:paraId="7CA7CB61">
            <w:pPr>
              <w:rPr>
                <w:color w:val="auto"/>
                <w:highlight w:val="none"/>
              </w:rPr>
            </w:pPr>
          </w:p>
        </w:tc>
        <w:tc>
          <w:tcPr>
            <w:tcW w:w="801" w:type="dxa"/>
            <w:noWrap w:val="0"/>
            <w:vAlign w:val="center"/>
          </w:tcPr>
          <w:p w14:paraId="7283E5A3">
            <w:pPr>
              <w:pStyle w:val="12"/>
              <w:jc w:val="center"/>
              <w:rPr>
                <w:rFonts w:hint="eastAsia" w:eastAsia="宋体"/>
                <w:color w:val="auto"/>
                <w:highlight w:val="none"/>
                <w:lang w:eastAsia="zh-CN"/>
              </w:rPr>
            </w:pPr>
            <w:r>
              <w:rPr>
                <w:rFonts w:hint="eastAsia"/>
                <w:color w:val="auto"/>
                <w:highlight w:val="none"/>
                <w:lang w:val="en-US" w:eastAsia="zh-CN"/>
              </w:rPr>
              <w:t>3</w:t>
            </w:r>
          </w:p>
        </w:tc>
        <w:tc>
          <w:tcPr>
            <w:tcW w:w="7033" w:type="dxa"/>
            <w:noWrap w:val="0"/>
            <w:vAlign w:val="center"/>
          </w:tcPr>
          <w:p w14:paraId="3495B3D8">
            <w:pPr>
              <w:pStyle w:val="12"/>
              <w:jc w:val="left"/>
              <w:rPr>
                <w:color w:val="auto"/>
                <w:highlight w:val="none"/>
              </w:rPr>
            </w:pPr>
            <w:r>
              <w:rPr>
                <w:b/>
                <w:color w:val="auto"/>
                <w:sz w:val="21"/>
                <w:highlight w:val="none"/>
              </w:rPr>
              <w:t>项目目标</w:t>
            </w:r>
          </w:p>
          <w:p w14:paraId="37F12F2E">
            <w:pPr>
              <w:pStyle w:val="12"/>
              <w:ind w:firstLine="420"/>
              <w:jc w:val="left"/>
              <w:rPr>
                <w:rFonts w:hint="eastAsia"/>
                <w:color w:val="auto"/>
                <w:highlight w:val="none"/>
              </w:rPr>
            </w:pPr>
            <w:r>
              <w:rPr>
                <w:rFonts w:hint="eastAsia"/>
                <w:color w:val="auto"/>
                <w:highlight w:val="none"/>
              </w:rPr>
              <w:t>在监管层面，依托全流程实时监管体系，精准采集无人车行驶轨迹、速度、运行状态等数据，为管理部门提供全面支撑，确保无人车严格遵循《佛山市功能型无人车道路测试与商业应用管理实施细则（试行）》规范运行。同步融合动态监管机制，通过实时监控、电子围栏与自动预警功能，快速识别速度异常、</w:t>
            </w:r>
            <w:r>
              <w:rPr>
                <w:rFonts w:hint="eastAsia"/>
                <w:color w:val="auto"/>
                <w:highlight w:val="none"/>
                <w:lang w:val="en-US" w:eastAsia="zh-CN"/>
              </w:rPr>
              <w:t>线路偏移</w:t>
            </w:r>
            <w:r>
              <w:rPr>
                <w:rFonts w:hint="eastAsia"/>
                <w:color w:val="auto"/>
                <w:highlight w:val="none"/>
              </w:rPr>
              <w:t>等</w:t>
            </w:r>
            <w:r>
              <w:rPr>
                <w:rFonts w:hint="eastAsia"/>
                <w:color w:val="auto"/>
                <w:highlight w:val="none"/>
                <w:lang w:val="en-US" w:eastAsia="zh-CN"/>
              </w:rPr>
              <w:t>异常</w:t>
            </w:r>
            <w:r>
              <w:rPr>
                <w:rFonts w:hint="eastAsia"/>
                <w:color w:val="auto"/>
                <w:highlight w:val="none"/>
              </w:rPr>
              <w:t>行为，联动</w:t>
            </w:r>
            <w:r>
              <w:rPr>
                <w:rFonts w:hint="eastAsia"/>
                <w:color w:val="auto"/>
                <w:highlight w:val="none"/>
                <w:lang w:val="en-US" w:eastAsia="zh-CN"/>
              </w:rPr>
              <w:t>系统</w:t>
            </w:r>
            <w:r>
              <w:rPr>
                <w:rFonts w:hint="eastAsia"/>
                <w:color w:val="auto"/>
                <w:highlight w:val="none"/>
              </w:rPr>
              <w:t>处置流程，形成“数据采集 - 合规校验 - 异常响应 - 闭环处置”的高效监管链条，维护道路交通安全与运输秩序。​</w:t>
            </w:r>
          </w:p>
          <w:p w14:paraId="4427D6D3">
            <w:pPr>
              <w:pStyle w:val="12"/>
              <w:ind w:firstLine="420"/>
              <w:jc w:val="left"/>
              <w:rPr>
                <w:rFonts w:hint="eastAsia"/>
                <w:color w:val="auto"/>
                <w:highlight w:val="none"/>
                <w:lang w:eastAsia="zh-CN"/>
              </w:rPr>
            </w:pPr>
            <w:r>
              <w:rPr>
                <w:rFonts w:hint="eastAsia"/>
                <w:color w:val="auto"/>
                <w:highlight w:val="none"/>
                <w:lang w:eastAsia="zh-CN"/>
              </w:rPr>
              <w:t>在产业赋能层面，以资源整合与信息交互为核心，优化主体上路审批流程，支持测试申请、线路审批、</w:t>
            </w:r>
            <w:r>
              <w:rPr>
                <w:rFonts w:hint="eastAsia"/>
                <w:color w:val="auto"/>
                <w:highlight w:val="none"/>
                <w:lang w:val="en-US" w:eastAsia="zh-CN"/>
              </w:rPr>
              <w:t>许可</w:t>
            </w:r>
            <w:r>
              <w:rPr>
                <w:rFonts w:hint="eastAsia"/>
                <w:color w:val="auto"/>
                <w:highlight w:val="none"/>
                <w:lang w:eastAsia="zh-CN"/>
              </w:rPr>
              <w:t>续期等业务在线办理，通过跨部门协同实现高效审批，加速商业化落地。</w:t>
            </w:r>
          </w:p>
          <w:p w14:paraId="557C6B7C">
            <w:pPr>
              <w:pStyle w:val="12"/>
              <w:ind w:firstLine="420"/>
              <w:jc w:val="left"/>
              <w:rPr>
                <w:color w:val="auto"/>
                <w:highlight w:val="none"/>
              </w:rPr>
            </w:pPr>
            <w:r>
              <w:rPr>
                <w:rFonts w:hint="eastAsia"/>
                <w:color w:val="auto"/>
                <w:highlight w:val="none"/>
                <w:lang w:eastAsia="zh-CN"/>
              </w:rPr>
              <w:t>最终，借助平台全方位的监管与优化能力，充分释放功能型无人车的应用潜力，切实提升城市整体服务品质。</w:t>
            </w:r>
          </w:p>
        </w:tc>
      </w:tr>
      <w:tr w14:paraId="74619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top"/>
          </w:tcPr>
          <w:p w14:paraId="014D3496">
            <w:pPr>
              <w:rPr>
                <w:color w:val="auto"/>
                <w:highlight w:val="none"/>
              </w:rPr>
            </w:pPr>
          </w:p>
        </w:tc>
        <w:tc>
          <w:tcPr>
            <w:tcW w:w="801" w:type="dxa"/>
            <w:noWrap w:val="0"/>
            <w:vAlign w:val="center"/>
          </w:tcPr>
          <w:p w14:paraId="7E1185F7">
            <w:pPr>
              <w:pStyle w:val="12"/>
              <w:jc w:val="center"/>
              <w:rPr>
                <w:rFonts w:hint="eastAsia" w:eastAsia="宋体"/>
                <w:color w:val="auto"/>
                <w:highlight w:val="none"/>
                <w:lang w:eastAsia="zh-CN"/>
              </w:rPr>
            </w:pPr>
            <w:r>
              <w:rPr>
                <w:rFonts w:hint="eastAsia"/>
                <w:color w:val="auto"/>
                <w:highlight w:val="none"/>
                <w:lang w:val="en-US" w:eastAsia="zh-CN"/>
              </w:rPr>
              <w:t>4</w:t>
            </w:r>
          </w:p>
        </w:tc>
        <w:tc>
          <w:tcPr>
            <w:tcW w:w="7033" w:type="dxa"/>
            <w:noWrap w:val="0"/>
            <w:vAlign w:val="center"/>
          </w:tcPr>
          <w:p w14:paraId="2B67C762">
            <w:pPr>
              <w:pStyle w:val="12"/>
              <w:jc w:val="left"/>
              <w:rPr>
                <w:color w:val="auto"/>
                <w:highlight w:val="none"/>
              </w:rPr>
            </w:pPr>
            <w:r>
              <w:rPr>
                <w:b/>
                <w:color w:val="auto"/>
                <w:sz w:val="21"/>
                <w:highlight w:val="none"/>
              </w:rPr>
              <w:t>项目需求</w:t>
            </w:r>
          </w:p>
          <w:p w14:paraId="1796D582">
            <w:pPr>
              <w:pStyle w:val="12"/>
              <w:jc w:val="left"/>
              <w:rPr>
                <w:color w:val="auto"/>
                <w:highlight w:val="none"/>
              </w:rPr>
            </w:pPr>
            <w:r>
              <w:rPr>
                <w:color w:val="auto"/>
                <w:sz w:val="21"/>
                <w:highlight w:val="none"/>
              </w:rPr>
              <w:t>1.业务需求</w:t>
            </w:r>
          </w:p>
          <w:p w14:paraId="0E69C140">
            <w:pPr>
              <w:pStyle w:val="12"/>
              <w:ind w:firstLine="420"/>
              <w:jc w:val="left"/>
              <w:rPr>
                <w:rFonts w:hint="default"/>
                <w:color w:val="auto"/>
                <w:highlight w:val="none"/>
              </w:rPr>
            </w:pPr>
            <w:r>
              <w:rPr>
                <w:rFonts w:hint="eastAsia"/>
                <w:color w:val="auto"/>
                <w:highlight w:val="none"/>
                <w:lang w:val="en-US" w:eastAsia="zh-CN"/>
              </w:rPr>
              <w:t>本平台</w:t>
            </w:r>
            <w:r>
              <w:rPr>
                <w:color w:val="auto"/>
                <w:highlight w:val="none"/>
              </w:rPr>
              <w:t>为</w:t>
            </w:r>
            <w:r>
              <w:rPr>
                <w:rFonts w:hint="eastAsia"/>
                <w:color w:val="auto"/>
                <w:highlight w:val="none"/>
                <w:lang w:val="en-US" w:eastAsia="zh-CN"/>
              </w:rPr>
              <w:t>功能型无人车</w:t>
            </w:r>
            <w:r>
              <w:rPr>
                <w:color w:val="auto"/>
                <w:highlight w:val="none"/>
              </w:rPr>
              <w:t>提供全</w:t>
            </w:r>
            <w:r>
              <w:rPr>
                <w:rFonts w:hint="eastAsia"/>
                <w:color w:val="auto"/>
                <w:highlight w:val="none"/>
                <w:lang w:val="en-US" w:eastAsia="zh-CN"/>
              </w:rPr>
              <w:t>方位的监管和服务能力</w:t>
            </w:r>
            <w:r>
              <w:rPr>
                <w:color w:val="auto"/>
                <w:highlight w:val="none"/>
              </w:rPr>
              <w:t>，</w:t>
            </w:r>
            <w:r>
              <w:rPr>
                <w:rFonts w:hint="eastAsia"/>
                <w:color w:val="auto"/>
                <w:highlight w:val="none"/>
                <w:lang w:val="en-US" w:eastAsia="zh-CN"/>
              </w:rPr>
              <w:t>功能模块包括车辆</w:t>
            </w:r>
            <w:r>
              <w:rPr>
                <w:rFonts w:hint="eastAsia"/>
                <w:color w:val="auto"/>
                <w:highlight w:val="none"/>
                <w:lang w:eastAsia="zh-CN"/>
              </w:rPr>
              <w:t>动态一张图、</w:t>
            </w:r>
            <w:r>
              <w:rPr>
                <w:rFonts w:hint="eastAsia"/>
                <w:color w:val="auto"/>
                <w:highlight w:val="none"/>
                <w:lang w:val="en-US" w:eastAsia="zh-CN"/>
              </w:rPr>
              <w:t>基础业务数据管理、道路测试主体信息档案管理、商业应用主体信息档案管理、业务办理、行业监管、安全监测、视频监控和个人工作台等，涉及的业务主体包括运营主体、功能型无人车辆、安全员、停车场、运营路线、运营区域等</w:t>
            </w:r>
            <w:r>
              <w:rPr>
                <w:color w:val="auto"/>
                <w:highlight w:val="none"/>
              </w:rPr>
              <w:t>。</w:t>
            </w:r>
          </w:p>
          <w:p w14:paraId="70F8722F">
            <w:pPr>
              <w:pStyle w:val="12"/>
              <w:ind w:firstLine="420"/>
              <w:jc w:val="left"/>
              <w:rPr>
                <w:color w:val="auto"/>
                <w:highlight w:val="none"/>
              </w:rPr>
            </w:pPr>
            <w:r>
              <w:rPr>
                <w:color w:val="auto"/>
                <w:highlight w:val="none"/>
              </w:rPr>
              <w:t>系统所涉及的用户角色包括系统管理员</w:t>
            </w:r>
            <w:r>
              <w:rPr>
                <w:rFonts w:hint="eastAsia"/>
                <w:color w:val="auto"/>
                <w:highlight w:val="none"/>
                <w:lang w:eastAsia="zh-CN"/>
              </w:rPr>
              <w:t>、市</w:t>
            </w:r>
            <w:r>
              <w:rPr>
                <w:rFonts w:hint="eastAsia"/>
                <w:color w:val="auto"/>
                <w:highlight w:val="none"/>
                <w:lang w:val="en-US" w:eastAsia="zh-CN"/>
              </w:rPr>
              <w:t>/</w:t>
            </w:r>
            <w:r>
              <w:rPr>
                <w:rFonts w:hint="eastAsia"/>
                <w:color w:val="auto"/>
                <w:highlight w:val="none"/>
                <w:lang w:eastAsia="zh-CN"/>
              </w:rPr>
              <w:t>区级交通运输主管部门、市区公安部门、市区工信部门、其他行业主管部门及运营主体公司</w:t>
            </w:r>
            <w:r>
              <w:rPr>
                <w:rFonts w:hint="eastAsia"/>
                <w:color w:val="auto"/>
                <w:highlight w:val="none"/>
                <w:lang w:val="en-US" w:eastAsia="zh-CN"/>
              </w:rPr>
              <w:t>。</w:t>
            </w:r>
            <w:r>
              <w:rPr>
                <w:color w:val="auto"/>
                <w:highlight w:val="none"/>
              </w:rPr>
              <w:t>其中系统管理员</w:t>
            </w:r>
            <w:r>
              <w:rPr>
                <w:rFonts w:hint="eastAsia"/>
                <w:color w:val="auto"/>
                <w:highlight w:val="none"/>
                <w:lang w:val="en-US" w:eastAsia="zh-CN"/>
              </w:rPr>
              <w:t>3</w:t>
            </w:r>
            <w:r>
              <w:rPr>
                <w:color w:val="auto"/>
                <w:highlight w:val="none"/>
              </w:rPr>
              <w:t>名，</w:t>
            </w:r>
            <w:r>
              <w:rPr>
                <w:rFonts w:hint="eastAsia"/>
                <w:color w:val="auto"/>
                <w:highlight w:val="none"/>
                <w:lang w:val="en-US" w:eastAsia="zh-CN"/>
              </w:rPr>
              <w:t>市区两级政府机关用户、运营主体公司运营人员等约200</w:t>
            </w:r>
            <w:r>
              <w:rPr>
                <w:color w:val="auto"/>
                <w:highlight w:val="none"/>
              </w:rPr>
              <w:t>名。系统提供</w:t>
            </w:r>
            <w:r>
              <w:rPr>
                <w:rFonts w:hint="eastAsia"/>
                <w:color w:val="auto"/>
                <w:highlight w:val="none"/>
                <w:lang w:val="en-US" w:eastAsia="zh-CN"/>
              </w:rPr>
              <w:t>功能型无人车的相关主体信息管理、业务事项流程审批、车辆位置状态信息动态监管、运营统计分析、实时监测等功能</w:t>
            </w:r>
            <w:r>
              <w:rPr>
                <w:color w:val="auto"/>
                <w:highlight w:val="none"/>
              </w:rPr>
              <w:t>。</w:t>
            </w:r>
          </w:p>
          <w:p w14:paraId="31285EAC">
            <w:pPr>
              <w:pStyle w:val="12"/>
              <w:jc w:val="left"/>
              <w:rPr>
                <w:color w:val="auto"/>
                <w:highlight w:val="none"/>
              </w:rPr>
            </w:pPr>
            <w:r>
              <w:rPr>
                <w:rFonts w:hint="eastAsia"/>
                <w:color w:val="auto"/>
                <w:sz w:val="21"/>
                <w:highlight w:val="none"/>
                <w:lang w:val="en-US" w:eastAsia="zh-CN"/>
              </w:rPr>
              <w:t>2.</w:t>
            </w:r>
            <w:r>
              <w:rPr>
                <w:rFonts w:hint="eastAsia"/>
                <w:color w:val="auto"/>
                <w:sz w:val="21"/>
                <w:highlight w:val="none"/>
              </w:rPr>
              <w:t>基础设施需求</w:t>
            </w:r>
          </w:p>
          <w:p w14:paraId="311791DA">
            <w:pPr>
              <w:pStyle w:val="12"/>
              <w:ind w:firstLine="420"/>
              <w:jc w:val="left"/>
              <w:rPr>
                <w:rFonts w:hint="default" w:eastAsia="宋体"/>
                <w:color w:val="auto"/>
                <w:highlight w:val="none"/>
                <w:lang w:val="en-US" w:eastAsia="zh-CN"/>
              </w:rPr>
            </w:pPr>
            <w:r>
              <w:rPr>
                <w:color w:val="auto"/>
                <w:highlight w:val="none"/>
              </w:rPr>
              <w:t>本项目的运行支撑环境在</w:t>
            </w:r>
            <w:r>
              <w:rPr>
                <w:rFonts w:hint="eastAsia"/>
                <w:color w:val="auto"/>
                <w:highlight w:val="none"/>
                <w:lang w:val="en-US" w:eastAsia="zh-CN"/>
              </w:rPr>
              <w:t>政务</w:t>
            </w:r>
            <w:r>
              <w:rPr>
                <w:color w:val="auto"/>
                <w:highlight w:val="none"/>
              </w:rPr>
              <w:t>信创云平台部署，</w:t>
            </w:r>
            <w:r>
              <w:rPr>
                <w:rFonts w:hint="eastAsia"/>
                <w:color w:val="auto"/>
                <w:highlight w:val="none"/>
                <w:lang w:val="en-US" w:eastAsia="zh-CN"/>
              </w:rPr>
              <w:t>供应商在开发时需配套政务</w:t>
            </w:r>
            <w:r>
              <w:rPr>
                <w:color w:val="auto"/>
                <w:highlight w:val="none"/>
              </w:rPr>
              <w:t>信创云</w:t>
            </w:r>
            <w:r>
              <w:rPr>
                <w:rFonts w:hint="eastAsia"/>
                <w:color w:val="auto"/>
                <w:highlight w:val="none"/>
                <w:lang w:val="en-US" w:eastAsia="zh-CN"/>
              </w:rPr>
              <w:t>环境进行开发。</w:t>
            </w:r>
          </w:p>
          <w:p w14:paraId="6733C429">
            <w:pPr>
              <w:pStyle w:val="12"/>
              <w:jc w:val="left"/>
              <w:rPr>
                <w:color w:val="auto"/>
                <w:highlight w:val="none"/>
              </w:rPr>
            </w:pPr>
            <w:r>
              <w:rPr>
                <w:rFonts w:hint="eastAsia"/>
                <w:color w:val="auto"/>
                <w:sz w:val="21"/>
                <w:highlight w:val="none"/>
                <w:lang w:val="en-US" w:eastAsia="zh-CN"/>
              </w:rPr>
              <w:t>3.</w:t>
            </w:r>
            <w:r>
              <w:rPr>
                <w:rFonts w:hint="eastAsia"/>
                <w:color w:val="auto"/>
                <w:sz w:val="21"/>
                <w:highlight w:val="none"/>
              </w:rPr>
              <w:t>公共服务需求</w:t>
            </w:r>
          </w:p>
          <w:p w14:paraId="1F7CD4D0">
            <w:pPr>
              <w:pStyle w:val="12"/>
              <w:ind w:firstLine="420"/>
              <w:jc w:val="left"/>
              <w:rPr>
                <w:color w:val="auto"/>
                <w:highlight w:val="none"/>
              </w:rPr>
            </w:pPr>
            <w:r>
              <w:rPr>
                <w:rFonts w:hint="eastAsia"/>
                <w:color w:val="auto"/>
                <w:highlight w:val="none"/>
              </w:rPr>
              <w:t>为实现向群众、</w:t>
            </w:r>
            <w:r>
              <w:rPr>
                <w:rFonts w:hint="eastAsia"/>
                <w:color w:val="auto"/>
                <w:highlight w:val="none"/>
                <w:lang w:eastAsia="zh-CN"/>
              </w:rPr>
              <w:t>主体</w:t>
            </w:r>
            <w:r>
              <w:rPr>
                <w:rFonts w:hint="eastAsia"/>
                <w:color w:val="auto"/>
                <w:highlight w:val="none"/>
              </w:rPr>
              <w:t>提供一体化政务服务的目标，佛山市功能型无人车道路测试和商业应用服务平台通过公共政务服务平台支撑各类场景化政务服务，提升用户服务体验</w:t>
            </w:r>
            <w:r>
              <w:rPr>
                <w:color w:val="auto"/>
                <w:highlight w:val="none"/>
              </w:rPr>
              <w:t>。</w:t>
            </w:r>
          </w:p>
          <w:p w14:paraId="4A38902D">
            <w:pPr>
              <w:pStyle w:val="12"/>
              <w:ind w:firstLine="420"/>
              <w:jc w:val="left"/>
              <w:rPr>
                <w:color w:val="auto"/>
                <w:highlight w:val="none"/>
              </w:rPr>
            </w:pPr>
            <w:r>
              <w:rPr>
                <w:rFonts w:hint="eastAsia"/>
                <w:color w:val="auto"/>
                <w:highlight w:val="none"/>
              </w:rPr>
              <w:t>本项目</w:t>
            </w:r>
            <w:r>
              <w:rPr>
                <w:rFonts w:hint="eastAsia"/>
                <w:color w:val="auto"/>
                <w:highlight w:val="none"/>
                <w:lang w:val="en-US" w:eastAsia="zh-CN"/>
              </w:rPr>
              <w:t>开发过程中</w:t>
            </w:r>
            <w:r>
              <w:rPr>
                <w:rFonts w:hint="eastAsia"/>
                <w:color w:val="auto"/>
                <w:highlight w:val="none"/>
              </w:rPr>
              <w:t>需要充分利用数字政府公共支撑能力，包括：</w:t>
            </w:r>
          </w:p>
          <w:p w14:paraId="102B1109">
            <w:pPr>
              <w:pStyle w:val="12"/>
              <w:ind w:firstLine="420"/>
              <w:jc w:val="left"/>
              <w:rPr>
                <w:color w:val="auto"/>
                <w:highlight w:val="none"/>
              </w:rPr>
            </w:pPr>
            <w:r>
              <w:rPr>
                <w:rFonts w:hint="eastAsia"/>
                <w:color w:val="auto"/>
                <w:highlight w:val="none"/>
                <w:lang w:val="en-US" w:eastAsia="zh-CN"/>
              </w:rPr>
              <w:t>1）</w:t>
            </w:r>
            <w:r>
              <w:rPr>
                <w:color w:val="auto"/>
                <w:highlight w:val="none"/>
              </w:rPr>
              <w:t>统一身份认证</w:t>
            </w:r>
          </w:p>
          <w:p w14:paraId="51545180">
            <w:pPr>
              <w:pStyle w:val="12"/>
              <w:ind w:firstLine="420"/>
              <w:jc w:val="left"/>
              <w:rPr>
                <w:rFonts w:hint="eastAsia"/>
                <w:color w:val="auto"/>
                <w:highlight w:val="none"/>
              </w:rPr>
            </w:pPr>
            <w:r>
              <w:rPr>
                <w:rFonts w:hint="eastAsia"/>
                <w:color w:val="auto"/>
                <w:highlight w:val="none"/>
              </w:rPr>
              <w:t>与广东省统一身份认证平台对接，使用广东省统一身份认证平台账号登录，用户信息同步到广东省统一身份认证平台，向用户提供统一认证和统一鉴权服务</w:t>
            </w:r>
            <w:r>
              <w:rPr>
                <w:rFonts w:hint="eastAsia"/>
                <w:color w:val="auto"/>
                <w:highlight w:val="none"/>
                <w:lang w:eastAsia="zh-CN"/>
              </w:rPr>
              <w:t>、</w:t>
            </w:r>
            <w:r>
              <w:rPr>
                <w:rFonts w:hint="eastAsia"/>
                <w:color w:val="auto"/>
                <w:highlight w:val="none"/>
              </w:rPr>
              <w:t>单点登录和单点退出。通过OAuth2.0接入的方式对接统一身份认证平台，经API网关对接统一身份认证中心，通过OAuth2.0协议进行访问。</w:t>
            </w:r>
          </w:p>
          <w:p w14:paraId="3848BE30">
            <w:pPr>
              <w:pStyle w:val="12"/>
              <w:ind w:firstLine="420"/>
              <w:jc w:val="left"/>
              <w:rPr>
                <w:rFonts w:hint="eastAsia"/>
                <w:color w:val="auto"/>
                <w:highlight w:val="none"/>
                <w:lang w:val="en-US" w:eastAsia="zh-CN"/>
              </w:rPr>
            </w:pPr>
            <w:r>
              <w:rPr>
                <w:rFonts w:hint="eastAsia"/>
                <w:color w:val="auto"/>
                <w:highlight w:val="none"/>
                <w:lang w:val="en-US" w:eastAsia="zh-CN"/>
              </w:rPr>
              <w:t>2）电子证照</w:t>
            </w:r>
          </w:p>
          <w:p w14:paraId="523BFB48">
            <w:pPr>
              <w:pStyle w:val="12"/>
              <w:ind w:firstLine="420"/>
              <w:jc w:val="left"/>
              <w:rPr>
                <w:color w:val="auto"/>
                <w:highlight w:val="none"/>
              </w:rPr>
            </w:pPr>
            <w:r>
              <w:rPr>
                <w:rFonts w:hint="eastAsia"/>
                <w:color w:val="auto"/>
                <w:highlight w:val="none"/>
              </w:rPr>
              <w:t>与广东省</w:t>
            </w:r>
            <w:r>
              <w:rPr>
                <w:rFonts w:hint="eastAsia"/>
                <w:color w:val="auto"/>
                <w:highlight w:val="none"/>
                <w:lang w:val="en-US" w:eastAsia="zh-CN"/>
              </w:rPr>
              <w:t>电子证照平台对接，获取个人身份证、个人驾驶证、企业营业执照等电子证照信息</w:t>
            </w:r>
            <w:r>
              <w:rPr>
                <w:rFonts w:hint="eastAsia"/>
                <w:color w:val="auto"/>
                <w:highlight w:val="none"/>
                <w:lang w:eastAsia="zh-CN"/>
              </w:rPr>
              <w:t>。</w:t>
            </w:r>
          </w:p>
          <w:p w14:paraId="12CA599C">
            <w:pPr>
              <w:pStyle w:val="12"/>
              <w:jc w:val="left"/>
              <w:rPr>
                <w:rFonts w:hint="eastAsia" w:eastAsia="宋体"/>
                <w:color w:val="auto"/>
                <w:highlight w:val="none"/>
                <w:lang w:eastAsia="zh-CN"/>
              </w:rPr>
            </w:pPr>
            <w:r>
              <w:rPr>
                <w:color w:val="auto"/>
                <w:sz w:val="21"/>
                <w:highlight w:val="none"/>
              </w:rPr>
              <w:t>4</w:t>
            </w:r>
            <w:r>
              <w:rPr>
                <w:rFonts w:hint="eastAsia"/>
                <w:color w:val="auto"/>
                <w:sz w:val="21"/>
                <w:highlight w:val="none"/>
                <w:lang w:val="en-US" w:eastAsia="zh-CN"/>
              </w:rPr>
              <w:t>.</w:t>
            </w:r>
            <w:r>
              <w:rPr>
                <w:rFonts w:hint="eastAsia"/>
                <w:color w:val="auto"/>
                <w:sz w:val="21"/>
                <w:highlight w:val="none"/>
              </w:rPr>
              <w:t>功能性需求</w:t>
            </w:r>
            <w:r>
              <w:rPr>
                <w:rFonts w:hint="eastAsia"/>
                <w:color w:val="auto"/>
                <w:sz w:val="21"/>
                <w:highlight w:val="none"/>
                <w:lang w:eastAsia="zh-CN"/>
              </w:rPr>
              <w:t>（</w:t>
            </w:r>
            <w:r>
              <w:rPr>
                <w:rFonts w:hint="eastAsia"/>
                <w:color w:val="auto"/>
                <w:sz w:val="21"/>
                <w:highlight w:val="none"/>
                <w:lang w:val="en-US" w:eastAsia="zh-CN"/>
              </w:rPr>
              <w:t>包含但不限于</w:t>
            </w:r>
            <w:r>
              <w:rPr>
                <w:rFonts w:hint="eastAsia"/>
                <w:color w:val="auto"/>
                <w:sz w:val="21"/>
                <w:highlight w:val="none"/>
                <w:lang w:eastAsia="zh-CN"/>
              </w:rPr>
              <w:t>）</w:t>
            </w:r>
          </w:p>
          <w:p w14:paraId="7B7E3002">
            <w:pPr>
              <w:pStyle w:val="12"/>
              <w:ind w:firstLine="420"/>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1）</w:t>
            </w:r>
            <w:r>
              <w:rPr>
                <w:rFonts w:hint="eastAsia" w:ascii="黑体" w:hAnsi="黑体" w:cs="黑体"/>
                <w:color w:val="auto"/>
                <w:highlight w:val="none"/>
                <w:lang w:val="en-US" w:eastAsia="zh-CN"/>
              </w:rPr>
              <w:t>车辆动态一张图</w:t>
            </w:r>
            <w:r>
              <w:rPr>
                <w:rFonts w:hint="eastAsia" w:eastAsia="宋体" w:cs="Times New Roman"/>
                <w:color w:val="auto"/>
                <w:highlight w:val="none"/>
                <w:lang w:val="en-US" w:eastAsia="zh-CN"/>
              </w:rPr>
              <w:t>；2）基础业务数据管理；3）道路测试主体信息档案管理；4）商业应用主体信息档案管理；5）业务办理；6）行业监管；7）个人工作台；8）安全监测；9）视频监控模块；10）统一对接模块；11）系统管理模块；12）数据安全备份模块。</w:t>
            </w:r>
          </w:p>
          <w:p w14:paraId="1F907DBD">
            <w:pPr>
              <w:pStyle w:val="12"/>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5.非功能性需求</w:t>
            </w:r>
          </w:p>
          <w:p w14:paraId="322BA26E">
            <w:pPr>
              <w:pStyle w:val="12"/>
              <w:ind w:firstLine="400" w:firstLineChars="200"/>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1）可靠性需求</w:t>
            </w:r>
          </w:p>
          <w:p w14:paraId="6F4E2CBA">
            <w:pPr>
              <w:pStyle w:val="12"/>
              <w:ind w:firstLine="420"/>
              <w:jc w:val="left"/>
              <w:rPr>
                <w:rFonts w:hint="default" w:eastAsia="宋体" w:cs="Times New Roman"/>
                <w:color w:val="auto"/>
                <w:highlight w:val="none"/>
              </w:rPr>
            </w:pPr>
            <w:r>
              <w:rPr>
                <w:color w:val="auto"/>
                <w:highlight w:val="none"/>
              </w:rPr>
              <w:t>系统支持7*24小时不间断运行，在连续一年的运行中应用软件故障导致停机的次数不超过5次，单次系统修复时间不超过5小时。系统不出现大的程序错误，不能有数据错误。系统在用户出现错误操作时能进行提示，并自动停止该操作。系统拥有完善的数据备件、恢复机制和安全保障机制。</w:t>
            </w:r>
          </w:p>
          <w:p w14:paraId="4B17EFCE">
            <w:pPr>
              <w:pStyle w:val="12"/>
              <w:ind w:firstLine="420"/>
              <w:jc w:val="left"/>
              <w:rPr>
                <w:rFonts w:hint="default" w:eastAsia="宋体" w:cs="Times New Roman"/>
                <w:color w:val="auto"/>
                <w:highlight w:val="none"/>
              </w:rPr>
            </w:pPr>
            <w:r>
              <w:rPr>
                <w:rFonts w:hint="eastAsia" w:eastAsia="宋体" w:cs="Times New Roman"/>
                <w:color w:val="auto"/>
                <w:highlight w:val="none"/>
                <w:lang w:val="en-US" w:eastAsia="zh-CN"/>
              </w:rPr>
              <w:t>①系统无故障时间：具备高稳定性和高可靠性，能够提供7*24小时的连续运行能力，具有较强的系统安全性和灾难恢复能力，系统有效工作时间≥99.9%；</w:t>
            </w:r>
          </w:p>
          <w:p w14:paraId="6AE6518B">
            <w:pPr>
              <w:pStyle w:val="12"/>
              <w:ind w:firstLine="420"/>
              <w:jc w:val="left"/>
              <w:rPr>
                <w:rFonts w:hint="default" w:eastAsia="宋体" w:cs="Times New Roman"/>
                <w:color w:val="auto"/>
                <w:highlight w:val="none"/>
              </w:rPr>
            </w:pPr>
            <w:r>
              <w:rPr>
                <w:rFonts w:hint="eastAsia" w:eastAsia="宋体" w:cs="Times New Roman"/>
                <w:color w:val="auto"/>
                <w:highlight w:val="none"/>
                <w:lang w:val="en-US" w:eastAsia="zh-CN"/>
              </w:rPr>
              <w:t>②</w:t>
            </w:r>
            <w:r>
              <w:rPr>
                <w:rFonts w:hint="eastAsia" w:eastAsia="宋体" w:cs="Times New Roman"/>
                <w:color w:val="auto"/>
                <w:highlight w:val="none"/>
              </w:rPr>
              <w:t>系统故障平均修复时间：不超过5小时；</w:t>
            </w:r>
          </w:p>
          <w:p w14:paraId="2EA72CC8">
            <w:pPr>
              <w:pStyle w:val="12"/>
              <w:ind w:firstLine="420"/>
              <w:jc w:val="left"/>
              <w:rPr>
                <w:rFonts w:hint="eastAsia" w:eastAsia="宋体" w:cs="Times New Roman"/>
                <w:color w:val="auto"/>
                <w:highlight w:val="none"/>
              </w:rPr>
            </w:pPr>
            <w:r>
              <w:rPr>
                <w:rFonts w:hint="eastAsia" w:eastAsia="宋体" w:cs="Times New Roman"/>
                <w:color w:val="auto"/>
                <w:highlight w:val="none"/>
                <w:lang w:val="en-US" w:eastAsia="zh-CN"/>
              </w:rPr>
              <w:t>③</w:t>
            </w:r>
            <w:r>
              <w:rPr>
                <w:rFonts w:hint="eastAsia" w:eastAsia="宋体" w:cs="Times New Roman"/>
                <w:color w:val="auto"/>
                <w:highlight w:val="none"/>
              </w:rPr>
              <w:t>其他可靠性要求：无故退出系统；发生系统不可控制的故障提示；因系统故障导致操作系统或机器无法正常操作。</w:t>
            </w:r>
          </w:p>
          <w:p w14:paraId="45A7A5BB">
            <w:pPr>
              <w:pStyle w:val="12"/>
              <w:ind w:firstLine="400" w:firstLineChars="200"/>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2）易用性需求</w:t>
            </w:r>
          </w:p>
          <w:p w14:paraId="193C934D">
            <w:pPr>
              <w:pStyle w:val="12"/>
              <w:ind w:firstLine="400" w:firstLineChars="200"/>
              <w:jc w:val="left"/>
              <w:rPr>
                <w:color w:val="auto"/>
                <w:highlight w:val="none"/>
              </w:rPr>
            </w:pPr>
            <w:r>
              <w:rPr>
                <w:color w:val="auto"/>
                <w:highlight w:val="none"/>
              </w:rPr>
              <w:t>由于系统使用对象的多样性，包括政府部门领导、管理人员、业务人员等，信息系统的设计能够适应不同层次用户的要求，具有良好的易用性，以最大程度地减少系统培训和系统支持的成本。系统界面整洁、友好，能以适当的方式引导用户的操作，快速完成用户指定的任务。系统具有较高的适配性，能满足笔记本电脑、台式电脑等不同终端的应用。</w:t>
            </w:r>
          </w:p>
          <w:p w14:paraId="5CBDD267">
            <w:pPr>
              <w:pStyle w:val="12"/>
              <w:ind w:firstLine="400" w:firstLineChars="200"/>
              <w:jc w:val="left"/>
              <w:rPr>
                <w:rFonts w:hint="eastAsia"/>
                <w:color w:val="auto"/>
                <w:highlight w:val="none"/>
                <w:lang w:val="en-US" w:eastAsia="zh-CN"/>
              </w:rPr>
            </w:pPr>
            <w:r>
              <w:rPr>
                <w:rFonts w:hint="eastAsia"/>
                <w:color w:val="auto"/>
                <w:highlight w:val="none"/>
                <w:lang w:val="en-US" w:eastAsia="zh-CN"/>
              </w:rPr>
              <w:t>3）响应速度需求</w:t>
            </w:r>
          </w:p>
          <w:p w14:paraId="5182BC0B">
            <w:pPr>
              <w:pStyle w:val="12"/>
              <w:ind w:firstLine="400" w:firstLineChars="200"/>
              <w:jc w:val="left"/>
              <w:rPr>
                <w:rFonts w:eastAsia="宋体" w:cs="Times New Roman"/>
                <w:color w:val="auto"/>
                <w:highlight w:val="none"/>
              </w:rPr>
            </w:pPr>
            <w:r>
              <w:rPr>
                <w:rFonts w:eastAsia="宋体" w:cs="Times New Roman"/>
                <w:color w:val="auto"/>
                <w:highlight w:val="none"/>
              </w:rPr>
              <w:t>系统支持</w:t>
            </w:r>
            <w:r>
              <w:rPr>
                <w:rFonts w:hint="eastAsia" w:eastAsia="宋体" w:cs="Times New Roman"/>
                <w:color w:val="auto"/>
                <w:highlight w:val="none"/>
                <w:lang w:val="en-US" w:eastAsia="zh-CN"/>
              </w:rPr>
              <w:t>设备同步频率为0.1 hz</w:t>
            </w:r>
            <w:r>
              <w:rPr>
                <w:rFonts w:eastAsia="宋体" w:cs="Times New Roman"/>
                <w:color w:val="auto"/>
                <w:highlight w:val="none"/>
              </w:rPr>
              <w:t>。</w:t>
            </w:r>
          </w:p>
          <w:p w14:paraId="671EE9F6">
            <w:pPr>
              <w:pStyle w:val="12"/>
              <w:ind w:firstLine="400" w:firstLineChars="200"/>
              <w:jc w:val="left"/>
              <w:rPr>
                <w:rFonts w:hint="default" w:eastAsia="宋体" w:cs="Times New Roman"/>
                <w:color w:val="auto"/>
                <w:highlight w:val="none"/>
              </w:rPr>
            </w:pPr>
            <w:r>
              <w:rPr>
                <w:rFonts w:hint="default" w:eastAsia="宋体" w:cs="Times New Roman"/>
                <w:color w:val="auto"/>
                <w:highlight w:val="none"/>
              </w:rPr>
              <w:t>客户端响应时间最大不超过5秒。一般性数据保存、修改、删除等操作的响应反馈速度最大不超过5秒。</w:t>
            </w:r>
          </w:p>
          <w:p w14:paraId="7E4C0B3A">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①</w:t>
            </w:r>
            <w:r>
              <w:rPr>
                <w:rFonts w:eastAsia="宋体" w:cs="Times New Roman"/>
                <w:color w:val="auto"/>
                <w:highlight w:val="none"/>
              </w:rPr>
              <w:t>系统吞吐量：</w:t>
            </w:r>
          </w:p>
          <w:p w14:paraId="13508CC0">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A</w:t>
            </w:r>
            <w:r>
              <w:rPr>
                <w:rFonts w:hint="default" w:eastAsia="宋体" w:cs="Times New Roman"/>
                <w:color w:val="auto"/>
                <w:highlight w:val="none"/>
              </w:rPr>
              <w:t>）总注册用户数：≤</w:t>
            </w:r>
            <w:r>
              <w:rPr>
                <w:rFonts w:hint="default" w:eastAsia="宋体" w:cs="Times New Roman"/>
                <w:color w:val="auto"/>
                <w:highlight w:val="none"/>
                <w:lang w:val="en-US" w:eastAsia="zh-CN"/>
              </w:rPr>
              <w:t>2</w:t>
            </w:r>
            <w:r>
              <w:rPr>
                <w:rFonts w:hint="default" w:eastAsia="宋体" w:cs="Times New Roman"/>
                <w:color w:val="auto"/>
                <w:highlight w:val="none"/>
              </w:rPr>
              <w:t>00；</w:t>
            </w:r>
          </w:p>
          <w:p w14:paraId="7F7D2A20">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B</w:t>
            </w:r>
            <w:r>
              <w:rPr>
                <w:rFonts w:hint="default" w:eastAsia="宋体" w:cs="Times New Roman"/>
                <w:color w:val="auto"/>
                <w:highlight w:val="none"/>
              </w:rPr>
              <w:t>）在线用户数：默认取系统总注册人数的</w:t>
            </w:r>
            <w:r>
              <w:rPr>
                <w:rFonts w:hint="default" w:eastAsia="宋体" w:cs="Times New Roman"/>
                <w:color w:val="auto"/>
                <w:highlight w:val="none"/>
                <w:lang w:val="en-US" w:eastAsia="zh-CN"/>
              </w:rPr>
              <w:t>20</w:t>
            </w:r>
            <w:r>
              <w:rPr>
                <w:rFonts w:hint="default" w:eastAsia="宋体" w:cs="Times New Roman"/>
                <w:color w:val="auto"/>
                <w:highlight w:val="none"/>
              </w:rPr>
              <w:t>%-</w:t>
            </w:r>
            <w:r>
              <w:rPr>
                <w:rFonts w:hint="default" w:eastAsia="宋体" w:cs="Times New Roman"/>
                <w:color w:val="auto"/>
                <w:highlight w:val="none"/>
                <w:lang w:val="en-US" w:eastAsia="zh-CN"/>
              </w:rPr>
              <w:t>3</w:t>
            </w:r>
            <w:r>
              <w:rPr>
                <w:rFonts w:hint="default" w:eastAsia="宋体" w:cs="Times New Roman"/>
                <w:color w:val="auto"/>
                <w:highlight w:val="none"/>
              </w:rPr>
              <w:t>0%（</w:t>
            </w:r>
            <w:r>
              <w:rPr>
                <w:rFonts w:hint="default" w:eastAsia="宋体" w:cs="Times New Roman"/>
                <w:color w:val="auto"/>
                <w:highlight w:val="none"/>
                <w:lang w:val="en-US" w:eastAsia="zh-CN"/>
              </w:rPr>
              <w:t>40</w:t>
            </w:r>
            <w:r>
              <w:rPr>
                <w:rFonts w:hint="default" w:eastAsia="宋体" w:cs="Times New Roman"/>
                <w:color w:val="auto"/>
                <w:highlight w:val="none"/>
              </w:rPr>
              <w:t>-</w:t>
            </w:r>
            <w:r>
              <w:rPr>
                <w:rFonts w:hint="default" w:eastAsia="宋体" w:cs="Times New Roman"/>
                <w:color w:val="auto"/>
                <w:highlight w:val="none"/>
                <w:lang w:val="en-US" w:eastAsia="zh-CN"/>
              </w:rPr>
              <w:t>60</w:t>
            </w:r>
            <w:r>
              <w:rPr>
                <w:rFonts w:hint="default" w:eastAsia="宋体" w:cs="Times New Roman"/>
                <w:color w:val="auto"/>
                <w:highlight w:val="none"/>
              </w:rPr>
              <w:t>）；</w:t>
            </w:r>
          </w:p>
          <w:p w14:paraId="78749A1B">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C</w:t>
            </w:r>
            <w:r>
              <w:rPr>
                <w:rFonts w:hint="default" w:eastAsia="宋体" w:cs="Times New Roman"/>
                <w:color w:val="auto"/>
                <w:highlight w:val="none"/>
              </w:rPr>
              <w:t>）并发用户数：默认取在线用户数的</w:t>
            </w:r>
            <w:r>
              <w:rPr>
                <w:rFonts w:hint="default" w:eastAsia="宋体" w:cs="Times New Roman"/>
                <w:color w:val="auto"/>
                <w:highlight w:val="none"/>
                <w:lang w:val="en-US" w:eastAsia="zh-CN"/>
              </w:rPr>
              <w:t>10</w:t>
            </w:r>
            <w:r>
              <w:rPr>
                <w:rFonts w:hint="default" w:eastAsia="宋体" w:cs="Times New Roman"/>
                <w:color w:val="auto"/>
                <w:highlight w:val="none"/>
              </w:rPr>
              <w:t>%-2</w:t>
            </w:r>
            <w:r>
              <w:rPr>
                <w:rFonts w:hint="default" w:eastAsia="宋体" w:cs="Times New Roman"/>
                <w:color w:val="auto"/>
                <w:highlight w:val="none"/>
                <w:lang w:val="en-US" w:eastAsia="zh-CN"/>
              </w:rPr>
              <w:t>0</w:t>
            </w:r>
            <w:r>
              <w:rPr>
                <w:rFonts w:hint="default" w:eastAsia="宋体" w:cs="Times New Roman"/>
                <w:color w:val="auto"/>
                <w:highlight w:val="none"/>
              </w:rPr>
              <w:t>%（</w:t>
            </w:r>
            <w:r>
              <w:rPr>
                <w:rFonts w:hint="default" w:eastAsia="宋体" w:cs="Times New Roman"/>
                <w:color w:val="auto"/>
                <w:highlight w:val="none"/>
                <w:lang w:val="en-US" w:eastAsia="zh-CN"/>
              </w:rPr>
              <w:t>20</w:t>
            </w:r>
            <w:r>
              <w:rPr>
                <w:rFonts w:hint="default" w:eastAsia="宋体" w:cs="Times New Roman"/>
                <w:color w:val="auto"/>
                <w:highlight w:val="none"/>
              </w:rPr>
              <w:t>-</w:t>
            </w:r>
            <w:r>
              <w:rPr>
                <w:rFonts w:hint="default" w:eastAsia="宋体" w:cs="Times New Roman"/>
                <w:color w:val="auto"/>
                <w:highlight w:val="none"/>
                <w:lang w:val="en-US" w:eastAsia="zh-CN"/>
              </w:rPr>
              <w:t>40</w:t>
            </w:r>
            <w:r>
              <w:rPr>
                <w:rFonts w:hint="default" w:eastAsia="宋体" w:cs="Times New Roman"/>
                <w:color w:val="auto"/>
                <w:highlight w:val="none"/>
              </w:rPr>
              <w:t>）；</w:t>
            </w:r>
          </w:p>
          <w:p w14:paraId="24DBB5E9">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②</w:t>
            </w:r>
            <w:r>
              <w:rPr>
                <w:rFonts w:eastAsia="宋体" w:cs="Times New Roman"/>
                <w:color w:val="auto"/>
                <w:highlight w:val="none"/>
              </w:rPr>
              <w:t>系统响应指标：</w:t>
            </w:r>
          </w:p>
          <w:p w14:paraId="77FD6D57">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A</w:t>
            </w:r>
            <w:r>
              <w:rPr>
                <w:rFonts w:eastAsia="宋体" w:cs="Times New Roman"/>
                <w:color w:val="auto"/>
                <w:highlight w:val="none"/>
              </w:rPr>
              <w:t>）用户响应时间：简单事务处理(包含各类信息录入、修改、查询业务、主要页面平均响应时间等)≤5s；</w:t>
            </w:r>
          </w:p>
          <w:p w14:paraId="10CC6640">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B</w:t>
            </w:r>
            <w:r>
              <w:rPr>
                <w:rFonts w:eastAsia="宋体" w:cs="Times New Roman"/>
                <w:color w:val="auto"/>
                <w:highlight w:val="none"/>
              </w:rPr>
              <w:t>）系统信息录入、修改型简单事务：平均响应时间≤5s；</w:t>
            </w:r>
          </w:p>
          <w:p w14:paraId="6BB03782">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C</w:t>
            </w:r>
            <w:r>
              <w:rPr>
                <w:rFonts w:eastAsia="宋体" w:cs="Times New Roman"/>
                <w:color w:val="auto"/>
                <w:highlight w:val="none"/>
              </w:rPr>
              <w:t>）复杂事务处理≤30s；</w:t>
            </w:r>
          </w:p>
          <w:p w14:paraId="70699E10">
            <w:pPr>
              <w:pStyle w:val="12"/>
              <w:ind w:firstLine="400" w:firstLineChars="200"/>
              <w:jc w:val="left"/>
              <w:rPr>
                <w:rFonts w:hint="default" w:eastAsia="宋体" w:cs="Times New Roman"/>
                <w:color w:val="auto"/>
                <w:highlight w:val="none"/>
              </w:rPr>
            </w:pPr>
            <w:r>
              <w:rPr>
                <w:rFonts w:hint="eastAsia" w:eastAsia="宋体" w:cs="Times New Roman"/>
                <w:color w:val="auto"/>
                <w:highlight w:val="none"/>
                <w:lang w:val="en-US" w:eastAsia="zh-CN"/>
              </w:rPr>
              <w:t>D</w:t>
            </w:r>
            <w:r>
              <w:rPr>
                <w:rFonts w:eastAsia="宋体" w:cs="Times New Roman"/>
                <w:color w:val="auto"/>
                <w:highlight w:val="none"/>
              </w:rPr>
              <w:t>）复杂数据处理和分析≤10分钟；</w:t>
            </w:r>
          </w:p>
          <w:p w14:paraId="45F1DC52">
            <w:pPr>
              <w:pStyle w:val="12"/>
              <w:ind w:firstLine="400" w:firstLineChars="200"/>
              <w:jc w:val="left"/>
              <w:rPr>
                <w:rFonts w:eastAsia="宋体" w:cs="Times New Roman"/>
                <w:color w:val="auto"/>
                <w:highlight w:val="none"/>
              </w:rPr>
            </w:pPr>
            <w:r>
              <w:rPr>
                <w:rFonts w:hint="eastAsia" w:eastAsia="宋体" w:cs="Times New Roman"/>
                <w:color w:val="auto"/>
                <w:highlight w:val="none"/>
                <w:lang w:val="en-US" w:eastAsia="zh-CN"/>
              </w:rPr>
              <w:t>E</w:t>
            </w:r>
            <w:r>
              <w:rPr>
                <w:rFonts w:eastAsia="宋体" w:cs="Times New Roman"/>
                <w:color w:val="auto"/>
                <w:highlight w:val="none"/>
              </w:rPr>
              <w:t>）各类固定统计报表形成时间：≤5s。</w:t>
            </w:r>
          </w:p>
          <w:p w14:paraId="3F322F1D">
            <w:pPr>
              <w:pStyle w:val="12"/>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6.安全需求</w:t>
            </w:r>
          </w:p>
          <w:p w14:paraId="362162DA">
            <w:pPr>
              <w:pStyle w:val="12"/>
              <w:ind w:firstLine="400" w:firstLineChars="200"/>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本系统要求通过信息系统安全等级保护二级认证。</w:t>
            </w:r>
          </w:p>
          <w:p w14:paraId="7E9B0D46">
            <w:pPr>
              <w:pStyle w:val="12"/>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7.标准编制需求</w:t>
            </w:r>
          </w:p>
          <w:p w14:paraId="313833AA">
            <w:pPr>
              <w:pStyle w:val="12"/>
              <w:ind w:firstLine="400" w:firstLineChars="200"/>
              <w:jc w:val="left"/>
              <w:rPr>
                <w:rFonts w:hint="default" w:eastAsia="宋体" w:cs="Times New Roman"/>
                <w:color w:val="auto"/>
                <w:highlight w:val="none"/>
                <w:lang w:val="en-US" w:eastAsia="zh-CN"/>
              </w:rPr>
            </w:pPr>
            <w:r>
              <w:rPr>
                <w:rFonts w:hint="eastAsia" w:eastAsia="宋体" w:cs="Times New Roman"/>
                <w:color w:val="auto"/>
                <w:highlight w:val="none"/>
                <w:lang w:val="en-US" w:eastAsia="zh-CN"/>
              </w:rPr>
              <w:t>1）技术路线</w:t>
            </w:r>
          </w:p>
          <w:p w14:paraId="79410304">
            <w:pPr>
              <w:pStyle w:val="12"/>
              <w:ind w:firstLine="400" w:firstLineChars="200"/>
              <w:jc w:val="left"/>
              <w:rPr>
                <w:rFonts w:hint="default" w:eastAsia="宋体" w:cs="Times New Roman"/>
                <w:color w:val="auto"/>
                <w:highlight w:val="none"/>
                <w:lang w:val="en-US" w:eastAsia="zh-CN"/>
              </w:rPr>
            </w:pPr>
            <w:r>
              <w:rPr>
                <w:rFonts w:hint="eastAsia" w:eastAsia="宋体" w:cs="Times New Roman"/>
                <w:color w:val="auto"/>
                <w:highlight w:val="none"/>
                <w:lang w:val="en-US" w:eastAsia="zh-CN"/>
              </w:rPr>
              <w:t>采用自主可控的技术路线，包含CPU架构、操作系统、云原生底层软件、开发语言、数据库、中间件等。</w:t>
            </w:r>
          </w:p>
          <w:p w14:paraId="16078399">
            <w:pPr>
              <w:pStyle w:val="12"/>
              <w:ind w:firstLine="400" w:firstLineChars="200"/>
              <w:jc w:val="left"/>
              <w:rPr>
                <w:rFonts w:hint="default" w:eastAsia="宋体" w:cs="Times New Roman"/>
                <w:color w:val="auto"/>
                <w:highlight w:val="none"/>
                <w:lang w:val="en-US" w:eastAsia="zh-CN"/>
              </w:rPr>
            </w:pPr>
            <w:r>
              <w:rPr>
                <w:rFonts w:hint="eastAsia" w:eastAsia="宋体" w:cs="Times New Roman"/>
                <w:color w:val="auto"/>
                <w:highlight w:val="none"/>
                <w:lang w:val="en-US" w:eastAsia="zh-CN"/>
              </w:rPr>
              <w:t>2）主要接口规范</w:t>
            </w:r>
          </w:p>
          <w:p w14:paraId="1D2044EE">
            <w:pPr>
              <w:pStyle w:val="12"/>
              <w:ind w:firstLine="400" w:firstLineChars="200"/>
              <w:jc w:val="left"/>
              <w:rPr>
                <w:rFonts w:hint="default" w:eastAsia="宋体" w:cs="Times New Roman"/>
                <w:color w:val="auto"/>
                <w:highlight w:val="none"/>
                <w:lang w:val="en-US" w:eastAsia="zh-CN"/>
              </w:rPr>
            </w:pPr>
            <w:r>
              <w:rPr>
                <w:rFonts w:hint="eastAsia" w:eastAsia="宋体" w:cs="Times New Roman"/>
                <w:color w:val="auto"/>
                <w:highlight w:val="none"/>
                <w:lang w:val="en-US" w:eastAsia="zh-CN"/>
              </w:rPr>
              <w:t>依据《广东省人民政府办公厅关于印发广东省数字政府改革建设2022年工作要点的通知》《佛山市政务服务数据管理局关于加快推进政务信息系统国产化工作的函》以及《“数字佛山”建设总体规划——佛山市智慧城市和数字政府建设（2021—2025）》要求，编制《佛山市功能型无人车道路测试与商业应用服务平台技术规范》。</w:t>
            </w:r>
          </w:p>
        </w:tc>
      </w:tr>
      <w:tr w14:paraId="7115A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top"/>
          </w:tcPr>
          <w:p w14:paraId="3F7527F4">
            <w:pPr>
              <w:rPr>
                <w:color w:val="auto"/>
                <w:highlight w:val="none"/>
              </w:rPr>
            </w:pPr>
          </w:p>
        </w:tc>
        <w:tc>
          <w:tcPr>
            <w:tcW w:w="801" w:type="dxa"/>
            <w:noWrap w:val="0"/>
            <w:vAlign w:val="center"/>
          </w:tcPr>
          <w:p w14:paraId="503368D4">
            <w:pPr>
              <w:pStyle w:val="12"/>
              <w:jc w:val="center"/>
              <w:rPr>
                <w:rFonts w:hint="default"/>
                <w:color w:val="auto"/>
                <w:highlight w:val="none"/>
                <w:lang w:val="en-US" w:eastAsia="zh-CN"/>
              </w:rPr>
            </w:pPr>
            <w:r>
              <w:rPr>
                <w:rFonts w:hint="eastAsia"/>
                <w:color w:val="auto"/>
                <w:highlight w:val="none"/>
                <w:lang w:val="en-US" w:eastAsia="zh-CN"/>
              </w:rPr>
              <w:t>5</w:t>
            </w:r>
          </w:p>
        </w:tc>
        <w:tc>
          <w:tcPr>
            <w:tcW w:w="7033" w:type="dxa"/>
            <w:noWrap w:val="0"/>
            <w:vAlign w:val="center"/>
          </w:tcPr>
          <w:p w14:paraId="11443003">
            <w:pPr>
              <w:pStyle w:val="12"/>
              <w:spacing w:before="105" w:after="105"/>
              <w:ind w:firstLine="422"/>
              <w:jc w:val="both"/>
              <w:rPr>
                <w:b/>
                <w:color w:val="auto"/>
                <w:sz w:val="21"/>
                <w:highlight w:val="none"/>
              </w:rPr>
            </w:pPr>
            <w:r>
              <w:rPr>
                <w:b/>
                <w:color w:val="auto"/>
                <w:sz w:val="21"/>
                <w:highlight w:val="none"/>
              </w:rPr>
              <w:t>服务内容</w:t>
            </w:r>
          </w:p>
          <w:p w14:paraId="7D69C69A">
            <w:pPr>
              <w:pStyle w:val="12"/>
              <w:spacing w:before="0" w:after="0"/>
              <w:ind w:firstLine="400" w:firstLineChars="200"/>
              <w:jc w:val="left"/>
              <w:rPr>
                <w:rFonts w:eastAsia="宋体" w:cs="Times New Roman"/>
                <w:color w:val="auto"/>
                <w:highlight w:val="none"/>
                <w:lang w:eastAsia="zh-CN"/>
              </w:rPr>
            </w:pPr>
            <w:r>
              <w:rPr>
                <w:rFonts w:hint="eastAsia" w:eastAsia="宋体" w:cs="Times New Roman"/>
                <w:b w:val="0"/>
                <w:color w:val="auto"/>
                <w:sz w:val="20"/>
                <w:highlight w:val="none"/>
                <w:lang w:eastAsia="zh-CN"/>
              </w:rPr>
              <w:t>项目总体建设内容为完成佛山市功能型无人车道路测试与商业应用服务平台开发工作，并在项目终验后提供1年免费运维服务。</w:t>
            </w:r>
          </w:p>
          <w:p w14:paraId="6A2D2280">
            <w:pPr>
              <w:pStyle w:val="12"/>
              <w:jc w:val="left"/>
              <w:rPr>
                <w:rFonts w:ascii="Calibri" w:hAnsi="Calibri" w:eastAsia="宋体" w:cs="Times New Roman"/>
                <w:b/>
                <w:bCs w:val="0"/>
                <w:color w:val="auto"/>
                <w:kern w:val="0"/>
                <w:sz w:val="21"/>
                <w:szCs w:val="20"/>
                <w:highlight w:val="none"/>
                <w:lang w:eastAsia="zh-CN" w:bidi="ar-SA"/>
              </w:rPr>
            </w:pPr>
            <w:bookmarkStart w:id="0" w:name="_Toc31549"/>
            <w:bookmarkStart w:id="1" w:name="_Toc24965"/>
            <w:bookmarkStart w:id="2" w:name="_Toc4255"/>
            <w:bookmarkStart w:id="3" w:name="_Toc2268"/>
            <w:bookmarkStart w:id="4" w:name="_Toc11626"/>
            <w:bookmarkStart w:id="5" w:name="_Toc15142"/>
            <w:bookmarkStart w:id="6" w:name="_Toc17914"/>
            <w:bookmarkStart w:id="7" w:name="_Toc19621"/>
            <w:bookmarkStart w:id="8" w:name="_Toc13830"/>
            <w:r>
              <w:rPr>
                <w:rFonts w:hint="eastAsia" w:ascii="Calibri" w:hAnsi="Calibri" w:eastAsia="宋体" w:cs="Times New Roman"/>
                <w:b/>
                <w:bCs w:val="0"/>
                <w:color w:val="auto"/>
                <w:kern w:val="0"/>
                <w:sz w:val="21"/>
                <w:szCs w:val="20"/>
                <w:highlight w:val="none"/>
                <w:lang w:val="en-US" w:eastAsia="zh-CN" w:bidi="ar-SA"/>
              </w:rPr>
              <w:t>1</w:t>
            </w:r>
            <w:r>
              <w:rPr>
                <w:rFonts w:hint="eastAsia" w:ascii="Calibri" w:hAnsi="Calibri" w:eastAsia="宋体" w:cs="Times New Roman"/>
                <w:b/>
                <w:bCs w:val="0"/>
                <w:color w:val="auto"/>
                <w:kern w:val="0"/>
                <w:sz w:val="21"/>
                <w:szCs w:val="20"/>
                <w:highlight w:val="none"/>
                <w:lang w:eastAsia="zh-CN" w:bidi="ar-SA"/>
              </w:rPr>
              <w:t xml:space="preserve">.1 </w:t>
            </w:r>
            <w:r>
              <w:rPr>
                <w:rFonts w:hint="eastAsia" w:ascii="Calibri" w:hAnsi="Calibri" w:eastAsia="宋体" w:cs="Times New Roman"/>
                <w:b/>
                <w:bCs w:val="0"/>
                <w:color w:val="auto"/>
                <w:kern w:val="0"/>
                <w:sz w:val="21"/>
                <w:szCs w:val="20"/>
                <w:highlight w:val="none"/>
                <w:lang w:val="en-US" w:eastAsia="zh-CN" w:bidi="ar-SA"/>
              </w:rPr>
              <w:t>基础设施</w:t>
            </w:r>
            <w:r>
              <w:rPr>
                <w:rFonts w:hint="eastAsia" w:ascii="Calibri" w:hAnsi="Calibri" w:eastAsia="宋体" w:cs="Times New Roman"/>
                <w:b/>
                <w:bCs w:val="0"/>
                <w:color w:val="auto"/>
                <w:kern w:val="0"/>
                <w:sz w:val="21"/>
                <w:szCs w:val="20"/>
                <w:highlight w:val="none"/>
                <w:lang w:eastAsia="zh-CN" w:bidi="ar-SA"/>
              </w:rPr>
              <w:t>服务</w:t>
            </w:r>
            <w:bookmarkEnd w:id="0"/>
            <w:bookmarkEnd w:id="1"/>
            <w:bookmarkEnd w:id="2"/>
            <w:bookmarkEnd w:id="3"/>
            <w:bookmarkEnd w:id="4"/>
            <w:bookmarkEnd w:id="5"/>
            <w:bookmarkEnd w:id="6"/>
            <w:bookmarkEnd w:id="7"/>
            <w:bookmarkEnd w:id="8"/>
          </w:p>
          <w:p w14:paraId="05525828">
            <w:pPr>
              <w:pStyle w:val="12"/>
              <w:ind w:firstLine="400" w:firstLineChars="200"/>
              <w:jc w:val="left"/>
              <w:rPr>
                <w:rFonts w:hint="eastAsia" w:cs="Times New Roman"/>
                <w:b/>
                <w:color w:val="auto"/>
                <w:sz w:val="21"/>
                <w:highlight w:val="none"/>
                <w:lang w:val="en-US" w:eastAsia="zh-CN"/>
              </w:rPr>
            </w:pPr>
            <w:r>
              <w:rPr>
                <w:rFonts w:hint="eastAsia" w:eastAsia="宋体" w:cs="Times New Roman"/>
                <w:b w:val="0"/>
                <w:color w:val="auto"/>
                <w:sz w:val="20"/>
                <w:highlight w:val="none"/>
                <w:lang w:val="en-US" w:eastAsia="zh-CN"/>
              </w:rPr>
              <w:t>项目所需信创资源和服务器过程化软件均由政务云资源提供，涉及的相关费用不包括在系统建设费用之中。</w:t>
            </w:r>
          </w:p>
          <w:p w14:paraId="65A97886">
            <w:pPr>
              <w:pStyle w:val="12"/>
              <w:jc w:val="left"/>
              <w:rPr>
                <w:rFonts w:hint="eastAsia" w:cs="Times New Roman"/>
                <w:b/>
                <w:color w:val="auto"/>
                <w:sz w:val="21"/>
                <w:highlight w:val="none"/>
                <w:lang w:val="en-US" w:eastAsia="zh-CN"/>
              </w:rPr>
            </w:pPr>
            <w:r>
              <w:rPr>
                <w:rFonts w:hint="eastAsia" w:cs="Times New Roman"/>
                <w:b/>
                <w:color w:val="auto"/>
                <w:sz w:val="21"/>
                <w:highlight w:val="none"/>
                <w:lang w:val="en-US" w:eastAsia="zh-CN"/>
              </w:rPr>
              <w:t>1.2软件开发服务</w:t>
            </w:r>
          </w:p>
          <w:p w14:paraId="505169B2">
            <w:pPr>
              <w:pStyle w:val="12"/>
              <w:jc w:val="left"/>
              <w:rPr>
                <w:rFonts w:hint="eastAsia" w:eastAsia="宋体" w:cs="Times New Roman"/>
                <w:b/>
                <w:color w:val="auto"/>
                <w:sz w:val="21"/>
                <w:highlight w:val="none"/>
                <w:lang w:val="en-US" w:eastAsia="zh-CN"/>
              </w:rPr>
            </w:pPr>
            <w:r>
              <w:rPr>
                <w:rFonts w:hint="eastAsia" w:eastAsia="宋体" w:cs="Times New Roman"/>
                <w:b/>
                <w:color w:val="auto"/>
                <w:sz w:val="21"/>
                <w:highlight w:val="none"/>
                <w:lang w:val="en-US" w:eastAsia="zh-CN"/>
              </w:rPr>
              <w:t>具体技术要求：</w:t>
            </w:r>
          </w:p>
          <w:tbl>
            <w:tblPr>
              <w:tblStyle w:val="9"/>
              <w:tblW w:w="6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39"/>
              <w:gridCol w:w="840"/>
              <w:gridCol w:w="1148"/>
              <w:gridCol w:w="3993"/>
            </w:tblGrid>
            <w:tr w14:paraId="4C8D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5831718">
                  <w:pPr>
                    <w:keepNext w:val="0"/>
                    <w:keepLines w:val="0"/>
                    <w:widowControl/>
                    <w:suppressLineNumbers w:val="0"/>
                    <w:wordWrap/>
                    <w:spacing w:line="24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编号</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D5B78B">
                  <w:pPr>
                    <w:keepNext w:val="0"/>
                    <w:keepLines w:val="0"/>
                    <w:widowControl/>
                    <w:suppressLineNumbers w:val="0"/>
                    <w:wordWrap/>
                    <w:spacing w:line="24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模块</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3547C87">
                  <w:pPr>
                    <w:keepNext w:val="0"/>
                    <w:keepLines w:val="0"/>
                    <w:widowControl/>
                    <w:suppressLineNumbers w:val="0"/>
                    <w:wordWrap/>
                    <w:spacing w:line="24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功能点名称</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485EFDC">
                  <w:pPr>
                    <w:keepNext w:val="0"/>
                    <w:keepLines w:val="0"/>
                    <w:widowControl/>
                    <w:suppressLineNumbers w:val="0"/>
                    <w:wordWrap/>
                    <w:spacing w:line="240" w:lineRule="auto"/>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具体技术要求</w:t>
                  </w:r>
                </w:p>
              </w:tc>
            </w:tr>
            <w:tr w14:paraId="403E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D1078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75B48">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车辆动态一张图</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7375897">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基础底图接入</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4B823D5">
                  <w:pPr>
                    <w:keepNext w:val="0"/>
                    <w:keepLines w:val="0"/>
                    <w:widowControl/>
                    <w:suppressLineNumbers w:val="0"/>
                    <w:wordWrap/>
                    <w:spacing w:line="240" w:lineRule="auto"/>
                    <w:ind w:firstLine="400" w:firstLineChars="200"/>
                    <w:jc w:val="left"/>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基础地图接入是系统的核心支撑模块，负责接入、缓存、渲染并可视化第三方互联网地图的底图数据（包括矢量、影像等图层），并支持运行时动态切换底图类型。该功能是车辆动态一张图模块的基石，监管人员可在其底图上叠加车辆分布聚合图、道路区域等业务图层，借助地理空间参考直观理解车辆分布与真实城市场景的关联，实现车辆实时定位与交互式浏览。</w:t>
                  </w:r>
                </w:p>
              </w:tc>
            </w:tr>
            <w:tr w14:paraId="0968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F56CF2">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ADCA4">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BFA49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行政区划展示</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7354CD7">
                  <w:pPr>
                    <w:keepNext w:val="0"/>
                    <w:keepLines w:val="0"/>
                    <w:widowControl/>
                    <w:suppressLineNumbers w:val="0"/>
                    <w:wordWrap/>
                    <w:spacing w:line="240" w:lineRule="auto"/>
                    <w:ind w:firstLine="400" w:firstLineChars="200"/>
                    <w:jc w:val="left"/>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行政区划展示功能在基础地图底图上叠加市、区级等边界，通过内置本地矢量数据进行坐标转换、几何绘制与样式渲染，生成可供业务层直接使用的行政区划图层。监管人员可据此直观辨识各行政区无人车分布密度，结合实时位置点快速定位目标车辆所在区域与具体方位，显著提升空间态势感知与指挥调度效率。</w:t>
                  </w:r>
                </w:p>
              </w:tc>
            </w:tr>
            <w:tr w14:paraId="1D6A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89470EB">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74868">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6AFC6D1">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车辆聚合分布图</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F96729E">
                  <w:pPr>
                    <w:bidi w:val="0"/>
                    <w:ind w:firstLine="420" w:firstLineChars="200"/>
                    <w:rPr>
                      <w:rFonts w:hint="eastAsia"/>
                      <w:color w:val="auto"/>
                      <w:highlight w:val="none"/>
                    </w:rPr>
                  </w:pPr>
                  <w:r>
                    <w:rPr>
                      <w:rFonts w:hint="eastAsia"/>
                      <w:color w:val="auto"/>
                      <w:highlight w:val="none"/>
                    </w:rPr>
                    <w:t>车辆分布聚合图功能对第三方平台上报的车辆实时信息进行抽取、清洗、过滤与融合，生成含精确地理坐标的车辆分布数据集，并按空间距离或像素尺度对相近车辆进行动态聚类与聚合，实时生成地图聚合图，以可视化呈现无人车的聚集趋势、热点区域及分布密度。</w:t>
                  </w:r>
                </w:p>
                <w:p w14:paraId="4C0E6A4D">
                  <w:pPr>
                    <w:keepNext w:val="0"/>
                    <w:keepLines w:val="0"/>
                    <w:widowControl/>
                    <w:suppressLineNumbers w:val="0"/>
                    <w:wordWrap/>
                    <w:spacing w:line="240" w:lineRule="auto"/>
                    <w:ind w:firstLine="420" w:firstLineChars="200"/>
                    <w:jc w:val="left"/>
                    <w:textAlignment w:val="center"/>
                    <w:rPr>
                      <w:rFonts w:hint="eastAsia" w:ascii="Calibri" w:hAnsi="Calibri" w:eastAsia="宋体" w:cs="Times New Roman"/>
                      <w:color w:val="auto"/>
                      <w:kern w:val="0"/>
                      <w:sz w:val="20"/>
                      <w:szCs w:val="20"/>
                      <w:highlight w:val="none"/>
                      <w:lang w:val="en-US" w:eastAsia="zh-CN"/>
                    </w:rPr>
                  </w:pPr>
                  <w:r>
                    <w:rPr>
                      <w:rFonts w:hint="eastAsia"/>
                      <w:color w:val="auto"/>
                      <w:highlight w:val="none"/>
                    </w:rPr>
                    <w:t>监管人员可借此直观掌握各运营企业的车辆分布，结合道路区域与行政区划判断运营线路合理性；同时支持数据下钻，从聚合视图逐层查看单车实时状态与属性，快速识别异常车辆，支撑运营安全监管与应急处置。</w:t>
                  </w:r>
                </w:p>
              </w:tc>
            </w:tr>
            <w:tr w14:paraId="54E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5C3921A">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8B8FD">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4E690A">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道路区域分布展示</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BE6A39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1）道路分布展示：</w:t>
                  </w:r>
                </w:p>
                <w:p w14:paraId="13E17A85">
                  <w:pPr>
                    <w:bidi w:val="0"/>
                    <w:ind w:firstLine="420" w:firstLineChars="200"/>
                    <w:rPr>
                      <w:rFonts w:hint="eastAsia"/>
                      <w:color w:val="auto"/>
                      <w:highlight w:val="none"/>
                      <w:lang w:val="en-US" w:eastAsia="zh-CN"/>
                    </w:rPr>
                  </w:pPr>
                  <w:r>
                    <w:rPr>
                      <w:rFonts w:hint="eastAsia"/>
                      <w:color w:val="auto"/>
                      <w:highlight w:val="none"/>
                      <w:lang w:val="en-US" w:eastAsia="zh-CN"/>
                    </w:rPr>
                    <w:t>道路分布展示用于直观呈现各类相关道路空间分布情况,通过地图可视化的方式，整合并展示测试路段、商用路段及转场路段的位置、范围等关键信息。</w:t>
                  </w:r>
                </w:p>
                <w:p w14:paraId="7D469A0F">
                  <w:pPr>
                    <w:bidi w:val="0"/>
                    <w:rPr>
                      <w:rFonts w:hint="eastAsia" w:eastAsia="宋体" w:cs="Times New Roman"/>
                      <w:color w:val="auto"/>
                      <w:highlight w:val="none"/>
                      <w:lang w:val="en-US" w:eastAsia="zh-CN"/>
                    </w:rPr>
                  </w:pPr>
                  <w:r>
                    <w:rPr>
                      <w:rFonts w:hint="eastAsia" w:eastAsia="宋体" w:cs="Times New Roman"/>
                      <w:color w:val="auto"/>
                      <w:highlight w:val="none"/>
                      <w:lang w:val="en-US" w:eastAsia="zh-CN"/>
                    </w:rPr>
                    <w:t>2）区域分布展示：</w:t>
                  </w:r>
                </w:p>
                <w:p w14:paraId="2D9F22ED">
                  <w:pPr>
                    <w:bidi w:val="0"/>
                    <w:ind w:firstLine="420" w:firstLineChars="200"/>
                    <w:rPr>
                      <w:rFonts w:hint="default"/>
                      <w:color w:val="auto"/>
                      <w:highlight w:val="none"/>
                      <w:lang w:val="en-US" w:eastAsia="zh-CN"/>
                    </w:rPr>
                  </w:pPr>
                  <w:r>
                    <w:rPr>
                      <w:rFonts w:hint="default" w:eastAsia="宋体" w:cs="Times New Roman"/>
                      <w:color w:val="auto"/>
                      <w:highlight w:val="none"/>
                      <w:lang w:val="en-US" w:eastAsia="zh-CN"/>
                    </w:rPr>
                    <w:t>区域分布展示用于直观呈现各类相关区域空间分布情况,通过地图可视化的方式，整合并展示测试区域、商用区域及转场区域的位置、范围等关键信息。</w:t>
                  </w:r>
                </w:p>
              </w:tc>
            </w:tr>
            <w:tr w14:paraId="155B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A2A237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B05C9">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3346B3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停车场与重点设施分布展示</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954758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1）停车场分布展示</w:t>
                  </w:r>
                </w:p>
                <w:p w14:paraId="0CA8E34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停车场分布通过地图可视化展示无人车专属停车场的位置与覆盖范围，为布局合理性评估提供直观参考。监管人员可观察停车场分布密度与运营线路、重点设施、人口密集区的匹配程度，发现停车紧张或资源浪费问题，及时提出调整建议，优化布局，保障运营顺畅高效。</w:t>
                  </w:r>
                </w:p>
                <w:p w14:paraId="178AF158">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2）重要设施点分布展示</w:t>
                  </w:r>
                </w:p>
                <w:p w14:paraId="24220E2E">
                  <w:pPr>
                    <w:bidi w:val="0"/>
                    <w:ind w:firstLine="400" w:firstLineChars="200"/>
                    <w:rPr>
                      <w:rFonts w:hint="default"/>
                      <w:color w:val="auto"/>
                      <w:highlight w:val="none"/>
                      <w:lang w:val="en-US" w:eastAsia="zh-CN"/>
                    </w:rPr>
                  </w:pPr>
                  <w:r>
                    <w:rPr>
                      <w:rFonts w:hint="eastAsia" w:eastAsia="宋体" w:cs="Times New Roman"/>
                      <w:color w:val="auto"/>
                      <w:kern w:val="0"/>
                      <w:sz w:val="20"/>
                      <w:szCs w:val="20"/>
                      <w:highlight w:val="none"/>
                      <w:lang w:val="en-US" w:eastAsia="zh-CN"/>
                    </w:rPr>
                    <w:t>重点设施分布通过地图标注精准展示加油站、学校等设施的位置、类别及周边环境，为运营主体规划行驶线路、有效避让设施提供直观参考，保障设施运行秩序与无人车通行安全。点击设施标识可查看详细信息；监管人员结合道路与区域分布，快速找出不合理线路，及时提出规划意见，确保重点设施正常运行。</w:t>
                  </w:r>
                </w:p>
              </w:tc>
            </w:tr>
            <w:tr w14:paraId="1688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AA35379">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51D07">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FADABD8">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禁行路段分布展示</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E8EA5CD">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禁行路段分布展示功能会根据人工录入的道路进行信息，包括禁行范围、禁行时段、禁行原因等关键信息，自动分析并标准化后，生成禁行路段记录数据集。系统自动根据该数据集，在地图上直观向用户呈现禁行路段。</w:t>
                  </w:r>
                </w:p>
                <w:p w14:paraId="0EC1532C">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监管人员也可以配合车辆分布聚合图，及时发现即将进入或已经进入禁行路段的无人车，并对相关主体做出相应预警，减少违规违法事件的发生，保障无人车运营安全。</w:t>
                  </w:r>
                </w:p>
              </w:tc>
            </w:tr>
            <w:tr w14:paraId="2A9A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8A1D4A2">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2AC3A">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8ADD02">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车辆分段行程明细展示</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951ECBA">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车辆分段行程明细展示功能对无人车企业每日推送的实时及历史记录进行抽取、清洗与标准化处理，根据车辆运行状态对轨迹进行分段标记，生成结构化数据集。系统据此在地图底图上以差异化颜色和文字标注，动态渲染各状态段的行驶轨迹。</w:t>
                  </w:r>
                </w:p>
                <w:p w14:paraId="0404D98A">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监管人员可按日期或时间范围检索目标车辆的全部分段轨迹，远程掌握实际行驶路线与状态变化，确保运营路线符合规定。</w:t>
                  </w:r>
                </w:p>
              </w:tc>
            </w:tr>
            <w:tr w14:paraId="6800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EED9DA1">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8</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3C18A">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基础信息管理</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2FA900C">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运营路线管理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F2562D6">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运行路线管理模块包含测试路段、商业应用路段、转场路段、重要设施点等四类对象的管理。</w:t>
                  </w:r>
                </w:p>
                <w:p w14:paraId="63EB49A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1）道路测试路段管理</w:t>
                  </w:r>
                </w:p>
                <w:p w14:paraId="2D31C95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测试路段管理模块支持路段基础信息与图形信息的整合维护。系统结构化存储序号、测试简述、起点（区/镇街/路段）、终点、测试起止日期等字段，并关联空间地理数据（道路坐标点集合及走向轨迹），以图形化呈现路段分布。用户可通过测试路段台账页面查看、筛选全量路段，管理员可直接删除无效或过期路段，系统自动同步更新。</w:t>
                  </w:r>
                </w:p>
                <w:p w14:paraId="08AA89C8">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2）商业应用路段管理</w:t>
                  </w:r>
                </w:p>
                <w:p w14:paraId="3E50E7A3">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商业应用路段管理模块管理商业路段的基础属性与空间信息，提供便捷的维护与查询。系统存储编号、路段名称等核心字段，并关联空间地理信息，通过地图可视化展示路段布局。用户可通过商业应用路段台账页面浏览所有路段，管理员可删除因规划调整等原因失效的路段，系统自动同步更新。</w:t>
                  </w:r>
                </w:p>
                <w:p w14:paraId="3DFB14D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3）转场路段管理</w:t>
                  </w:r>
                </w:p>
                <w:p w14:paraId="55767B23">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转场路段管理模块管理转场路段的参数与路径信息，提供高效的操作入口。系统存储路段ID、路段描述等关键内容，为转场调度与路径优化提供数据支持。用户可通过转场路段管理页面查看并多条件筛选路段，管理员可删除因交通管制、道路施工等暂时无法使用的路段，保障数据实时准确。</w:t>
                  </w:r>
                </w:p>
                <w:p w14:paraId="1C87B6D8">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4）重要设施点管理</w:t>
                  </w:r>
                </w:p>
                <w:p w14:paraId="2C4EAF0D">
                  <w:pPr>
                    <w:keepNext w:val="0"/>
                    <w:keepLines w:val="0"/>
                    <w:widowControl/>
                    <w:suppressLineNumbers w:val="0"/>
                    <w:wordWrap/>
                    <w:spacing w:line="240" w:lineRule="auto"/>
                    <w:ind w:firstLine="400" w:firstLineChars="200"/>
                    <w:jc w:val="left"/>
                    <w:textAlignment w:val="center"/>
                    <w:rPr>
                      <w:rFonts w:hint="default"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重要设施点管理模块监管设施点的基础属性与关联信息，提供便捷的维护与查询。系统存储设施编号、名称、类型、具体地址、建成时间、负责人及联系方式等关键信息，并关联功能范围及运行状态，通过信息集成化展示设施点综合情况，为无人车道路测试及商业应用路段、区域的设计提供全面数据支持。</w:t>
                  </w:r>
                </w:p>
              </w:tc>
            </w:tr>
            <w:tr w14:paraId="6E70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BD6DB33">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6045B">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891FDA3">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运营区域管理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F7FD60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1）道路测试区域</w:t>
                  </w:r>
                </w:p>
                <w:p w14:paraId="30C0DEDF">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道路测试区域运营管理模块支持测试区域运营参数与测试适配信息的整合维护。系统结构化存储区域所属辖区、街道、测试描述等关键信息，为测试任务分配、设备调配及安全管理提供数据支持。用户可通过运营台账页面查看全量区域清单，按测试类型、允许车辆类型等条件筛选；对于因设备老化或道路条件不达标而停止运营的区域，管理员可执行注销操作，系统自动同步更新状态。</w:t>
                  </w:r>
                </w:p>
                <w:p w14:paraId="3D4F281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2）商业应用区域</w:t>
                  </w:r>
                </w:p>
                <w:p w14:paraId="3A09EFC2">
                  <w:pPr>
                    <w:keepNext w:val="0"/>
                    <w:keepLines w:val="0"/>
                    <w:widowControl/>
                    <w:suppressLineNumbers w:val="0"/>
                    <w:wordWrap/>
                    <w:spacing w:line="240" w:lineRule="auto"/>
                    <w:ind w:firstLine="400" w:firstLineChars="200"/>
                    <w:jc w:val="left"/>
                    <w:textAlignment w:val="center"/>
                    <w:rPr>
                      <w:rFonts w:hint="default"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商业应用区域运营管理模块以台账为核心，提供增删查改功能。系统结构化存储区域编码、区域名称、商业用途等关键信息。用户可通过台账页面查看所有区域清单，支持多条件筛选；新增区域时，主体可录入相关信息，系统自动更新台账；需调整时，可修改区域名称、用途等内容，系统实时同步；已停止应用的区域，管理员可删除并同步更新台账，确保数据时效性与准确性。</w:t>
                  </w:r>
                </w:p>
              </w:tc>
            </w:tr>
            <w:tr w14:paraId="12AD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4294C9D">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7CA7E">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DB3D9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停车场管理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D09B23F">
                  <w:pPr>
                    <w:keepNext w:val="0"/>
                    <w:keepLines w:val="0"/>
                    <w:widowControl/>
                    <w:suppressLineNumbers w:val="0"/>
                    <w:wordWrap/>
                    <w:spacing w:line="240" w:lineRule="auto"/>
                    <w:jc w:val="left"/>
                    <w:textAlignment w:val="center"/>
                    <w:rPr>
                      <w:rFonts w:hint="eastAsia"/>
                      <w:color w:val="auto"/>
                      <w:highlight w:val="none"/>
                      <w:lang w:val="en-US" w:eastAsia="zh-CN"/>
                    </w:rPr>
                  </w:pPr>
                  <w:r>
                    <w:rPr>
                      <w:rFonts w:hint="eastAsia" w:eastAsia="宋体" w:cs="Times New Roman"/>
                      <w:color w:val="auto"/>
                      <w:kern w:val="0"/>
                      <w:sz w:val="20"/>
                      <w:szCs w:val="20"/>
                      <w:highlight w:val="none"/>
                      <w:lang w:val="en-US" w:eastAsia="zh-CN"/>
                    </w:rPr>
                    <w:t>1）</w:t>
                  </w:r>
                  <w:r>
                    <w:rPr>
                      <w:rFonts w:hint="eastAsia"/>
                      <w:color w:val="auto"/>
                      <w:highlight w:val="none"/>
                      <w:lang w:val="en-US" w:eastAsia="zh-CN"/>
                    </w:rPr>
                    <w:t>台账管理</w:t>
                  </w:r>
                </w:p>
                <w:p w14:paraId="522533BB">
                  <w:pPr>
                    <w:pStyle w:val="2"/>
                    <w:ind w:left="0" w:leftChars="0" w:firstLine="400" w:firstLineChars="200"/>
                    <w:rPr>
                      <w:rFonts w:hint="default" w:ascii="Calibri" w:hAnsi="Calibri" w:eastAsia="宋体" w:cs="Times New Roman"/>
                      <w:color w:val="auto"/>
                      <w:kern w:val="0"/>
                      <w:sz w:val="20"/>
                      <w:szCs w:val="20"/>
                      <w:highlight w:val="none"/>
                      <w:lang w:val="en-US" w:eastAsia="zh-CN" w:bidi="ar-SA"/>
                    </w:rPr>
                  </w:pPr>
                  <w:r>
                    <w:rPr>
                      <w:rFonts w:hint="default" w:ascii="Calibri" w:hAnsi="Calibri" w:eastAsia="宋体" w:cs="Times New Roman"/>
                      <w:color w:val="auto"/>
                      <w:kern w:val="0"/>
                      <w:sz w:val="20"/>
                      <w:szCs w:val="20"/>
                      <w:highlight w:val="none"/>
                      <w:lang w:val="en-US" w:eastAsia="zh-CN" w:bidi="ar-SA"/>
                    </w:rPr>
                    <w:t>用户可通过停车场台账页面，集中查看道路测试主体和商业应用主体上报的停车场清单，支持按需求筛选精准查询停车场。</w:t>
                  </w:r>
                </w:p>
                <w:p w14:paraId="52983743">
                  <w:pPr>
                    <w:pStyle w:val="2"/>
                    <w:ind w:left="0" w:leftChars="0" w:firstLine="0" w:firstLineChars="0"/>
                    <w:rPr>
                      <w:rFonts w:hint="eastAsia" w:eastAsia="宋体" w:cs="Times New Roman"/>
                      <w:color w:val="auto"/>
                      <w:kern w:val="0"/>
                      <w:sz w:val="20"/>
                      <w:szCs w:val="20"/>
                      <w:highlight w:val="none"/>
                      <w:lang w:val="en-US" w:eastAsia="zh-CN" w:bidi="ar-SA"/>
                    </w:rPr>
                  </w:pPr>
                  <w:r>
                    <w:rPr>
                      <w:rFonts w:hint="eastAsia" w:eastAsia="宋体" w:cs="Times New Roman"/>
                      <w:color w:val="auto"/>
                      <w:kern w:val="0"/>
                      <w:sz w:val="20"/>
                      <w:szCs w:val="20"/>
                      <w:highlight w:val="none"/>
                      <w:lang w:val="en-US" w:eastAsia="zh-CN" w:bidi="ar-SA"/>
                    </w:rPr>
                    <w:t>2）信息管理</w:t>
                  </w:r>
                </w:p>
                <w:p w14:paraId="2CDDA2B8">
                  <w:pPr>
                    <w:pStyle w:val="2"/>
                    <w:ind w:left="0" w:leftChars="0" w:firstLine="400" w:firstLineChars="200"/>
                    <w:rPr>
                      <w:rFonts w:hint="default" w:eastAsia="宋体" w:cs="Times New Roman"/>
                      <w:color w:val="auto"/>
                      <w:kern w:val="0"/>
                      <w:sz w:val="20"/>
                      <w:szCs w:val="20"/>
                      <w:highlight w:val="none"/>
                      <w:lang w:val="en-US" w:eastAsia="zh-CN" w:bidi="ar-SA"/>
                    </w:rPr>
                  </w:pPr>
                  <w:r>
                    <w:rPr>
                      <w:rFonts w:hint="default" w:eastAsia="宋体" w:cs="Times New Roman"/>
                      <w:color w:val="auto"/>
                      <w:kern w:val="0"/>
                      <w:sz w:val="20"/>
                      <w:szCs w:val="20"/>
                      <w:highlight w:val="none"/>
                      <w:lang w:val="en-US" w:eastAsia="zh-CN" w:bidi="ar-SA"/>
                    </w:rPr>
                    <w:t>系统对停车场的信息进行结构化存储，包含编号、停车场名称、地址、负责人、联系方式、车位数等关键信息，保障停车场数据的准确性与完整性；与此同时，系统还支持对停车场的空间位置信息进行管理，借助地图可视化手段清晰展示停车场的位置分布。</w:t>
                  </w:r>
                </w:p>
              </w:tc>
            </w:tr>
            <w:tr w14:paraId="4D5B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C80E033">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B36A6">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EAB4B0A">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测试项目管理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AE23BE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1）台账管理</w:t>
                  </w:r>
                </w:p>
                <w:p w14:paraId="2FBA3EBE">
                  <w:pPr>
                    <w:keepNext w:val="0"/>
                    <w:keepLines w:val="0"/>
                    <w:widowControl/>
                    <w:suppressLineNumbers w:val="0"/>
                    <w:wordWrap/>
                    <w:spacing w:line="240" w:lineRule="auto"/>
                    <w:ind w:firstLine="400" w:firstLineChars="200"/>
                    <w:jc w:val="left"/>
                    <w:textAlignment w:val="center"/>
                    <w:rPr>
                      <w:rFonts w:hint="default"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用户可通过测试项目台账页面，查看系统已登记的功能型无人车自动驾驶功能测试项目清单，支持测试项目、测试场景名称筛选精准查询测试项。</w:t>
                  </w:r>
                </w:p>
                <w:p w14:paraId="652FD7D3">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2）信息管理</w:t>
                  </w:r>
                </w:p>
                <w:p w14:paraId="05984DD4">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系统对测试项目的信息进行结构化存储，主要包括测试项目名称、测试场景名称两类信息，通过信息管理页面可以及时对系统的测试项目进行更新，以同步最新的管理测试要求</w:t>
                  </w:r>
                  <w:r>
                    <w:rPr>
                      <w:rFonts w:hint="default" w:eastAsia="宋体" w:cs="Times New Roman"/>
                      <w:color w:val="auto"/>
                      <w:kern w:val="0"/>
                      <w:sz w:val="20"/>
                      <w:szCs w:val="20"/>
                      <w:highlight w:val="none"/>
                      <w:lang w:val="en-US" w:eastAsia="zh-CN"/>
                    </w:rPr>
                    <w:t>。</w:t>
                  </w:r>
                </w:p>
              </w:tc>
            </w:tr>
            <w:tr w14:paraId="2D57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2C8C101">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80EBE">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908FB6C">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专家库管理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C3BBAA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1）台账管理</w:t>
                  </w:r>
                </w:p>
                <w:p w14:paraId="525A25E2">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专家库台账管理模块以台账为核心，实现专家信息的精准化管理。系统结构化存储专家编号、姓名、所属领域、职称、工作单位、联系方式、专业特长等核心信息。用户可通过台账页面查看全量专家清单，按领域、职称、单位等条件筛选；新增专家时直接录入，系统自动更新台账；信息变动时可修改，系统实时同步。</w:t>
                  </w:r>
                </w:p>
                <w:p w14:paraId="79EAF28F">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2）信息管理</w:t>
                  </w:r>
                </w:p>
                <w:p w14:paraId="0E2DE4E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专家库信息管理模块以专家信息管理为核心，支持增、删、查操作。系统存储专家编号、姓名、领域、职称、工作单位、联系方式等详细信息。用户可通过信息管理页面全方位查阅专家信息，按领域、学历等多维度组合筛选；新增专家时逐项录入，系统自动更新列表；删除专家时系统进行二次确认，随后清除信息并同步更新状态，保障信息管理安全性。</w:t>
                  </w:r>
                </w:p>
                <w:p w14:paraId="289EEE47">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3）数据导出</w:t>
                  </w:r>
                </w:p>
                <w:p w14:paraId="50A65807">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数据导出功能支持将筛选或查询到的专家数据以指定格式导出，满足数据备份需求。用户在信息管理页面完成查询筛选后，点击“导出”按钮，可按全量筛选结果导出。导出内容涵盖专家编号、姓名、所属领域、职称、工作单位、联系方式、学历背景等结构化信息。系统生成导出文件并提示用户下载。</w:t>
                  </w:r>
                </w:p>
              </w:tc>
            </w:tr>
            <w:tr w14:paraId="23E2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376A258">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29DA9">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B5E1885">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监管人员库</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839001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1）台账管理</w:t>
                  </w:r>
                </w:p>
                <w:p w14:paraId="77F146A6">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库的台账管理模块以结构化台账为核心，实现市区各部门监管人员信息的精准规范管理。用户可查看全量人员清单，按所属部门、姓名等筛选；新增人员时直接录入并自动更新台账；信息变动时实时同步修改，为监管调度提供数据支撑。</w:t>
                  </w:r>
                </w:p>
                <w:p w14:paraId="3EE66830">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2）信息管理</w:t>
                  </w:r>
                </w:p>
                <w:p w14:paraId="58F3768D">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库的信息管理模块聚焦人员信息全生命周期管控，覆盖增删查操作。系统存储基础及业务信息，保障完整性。用户可全方位查阅人员详情，支持多维度筛选；新增人员逐项录入并自动入库；删除离职或调离人员前进行二次确认，避免误删，同步清除信息并更新状态，确保信息有效性与安全性。</w:t>
                  </w:r>
                </w:p>
                <w:p w14:paraId="3DFB9DE6">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3）数据导出</w:t>
                  </w:r>
                </w:p>
                <w:p w14:paraId="47FC191A">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数据导出功能支持信息提取与备份。用户完成查询筛选后点击“导出”按钮，系统按筛选结果全量导出，生成文件并提示下载，满足数据存档、跨部门共享等需求。</w:t>
                  </w:r>
                </w:p>
              </w:tc>
            </w:tr>
            <w:tr w14:paraId="1AC1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4B231C8">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197FF">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1115066">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车型管理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ECE54F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1）台账管理</w:t>
                  </w:r>
                </w:p>
                <w:p w14:paraId="1C2DCADA">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车辆管理的台账管理模块以结构化台账为核心，规范管理各主体车型共性数据。用户可查看车型清单，按所属主体、车型名称等条件筛选；新增道路测试或商业应用主体时，系统自动归集车型底版数据并更新台账。</w:t>
                  </w:r>
                </w:p>
                <w:p w14:paraId="5D971BD0">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2）信息归集</w:t>
                  </w:r>
                </w:p>
                <w:p w14:paraId="5BA5C7FC">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新增道路测试或商业应用主体时，系统自动归集该主体车型共性的结构化信息及附件材料，作为车型底版数据更新，且归集数据不可修改，确保共性数据的有效性与安全性。</w:t>
                  </w:r>
                </w:p>
                <w:p w14:paraId="381665D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3）数据关联</w:t>
                  </w:r>
                </w:p>
                <w:p w14:paraId="491F859C">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申报主体进行新增三同车辆业务申报时，仅需在界面勾选车型，申请通过后系统自动绑定该车型的共性结构化信息与附件材料，避免重复填报，减少工作量并增强数据准确性。</w:t>
                  </w:r>
                </w:p>
              </w:tc>
            </w:tr>
            <w:tr w14:paraId="33D0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D4D8DF3">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2715C">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2892DD4">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快速路管理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6FA8BBC">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快速路管理功能维护全市快速路信息。用户可通过地图交互工具创建、编辑或删除快速路几何数据并填写属性信息；系统对数据进行清洗校验，存储编号、名称、等级、最高/最低限速、长度、走向等关键信息。</w:t>
                  </w:r>
                </w:p>
                <w:p w14:paraId="46C5DE6F">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监管人员可快速筛选查询指定快速路信息，并以地图可视化方式呈现。</w:t>
                  </w:r>
                </w:p>
              </w:tc>
            </w:tr>
            <w:tr w14:paraId="3F4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BEFFC4A">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659A1">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58BF264">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主干路管理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C3E21F5">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主干路管理功能维护指定区域范围内的主干路信息。用户可透过该功能，利用地图交互工具，创建、编辑、删除主干路信息，系统自动根据信息自动生成包含主干路编号、主干路名称、起点、终点、走向（几何数据）、长度、所属行政区等关键信息的主干路数据集。</w:t>
                  </w:r>
                </w:p>
                <w:p w14:paraId="3A278FBE">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监管人员可通过该功能，按不同条件查询主干路信息，以地图可视化的方式查看主干路的分布、走向、长度等信息。同时也可以透过该功能实现对主干路几何信息（如走向、形状等）的编辑或删除。</w:t>
                  </w:r>
                </w:p>
              </w:tc>
            </w:tr>
            <w:tr w14:paraId="68E7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E20A71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EA3F7">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5AD8642">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次干路管理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3069385">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次干路管理功能用于刻画城市中等级道路布局。用户可通过地图交互绘制创建、编辑、删除次干路；系统自动生成包含编号、名称、功能属性、所属镇街、长度、走向等关键信息的数据集。</w:t>
                  </w:r>
                </w:p>
                <w:p w14:paraId="75588868">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监管人员可按名称、镇街等维度检索次干路信息，以地图可视化方式查看其分布，并可对走向进行细微调整，保障数据真实性。</w:t>
                  </w:r>
                </w:p>
              </w:tc>
            </w:tr>
            <w:tr w14:paraId="1F74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D60BBF2">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18</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3904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道路测试主体</w:t>
                  </w:r>
                  <w:r>
                    <w:rPr>
                      <w:rFonts w:hint="eastAsia" w:ascii="Calibri" w:hAnsi="Calibri" w:eastAsia="宋体" w:cs="Times New Roman"/>
                      <w:color w:val="auto"/>
                      <w:kern w:val="0"/>
                      <w:sz w:val="20"/>
                      <w:szCs w:val="20"/>
                      <w:highlight w:val="none"/>
                      <w:lang w:val="en-US" w:eastAsia="zh-CN"/>
                    </w:rPr>
                    <w:br w:type="textWrapping"/>
                  </w:r>
                  <w:r>
                    <w:rPr>
                      <w:rFonts w:hint="eastAsia" w:ascii="Calibri" w:hAnsi="Calibri" w:eastAsia="宋体" w:cs="Times New Roman"/>
                      <w:color w:val="auto"/>
                      <w:kern w:val="0"/>
                      <w:sz w:val="20"/>
                      <w:szCs w:val="20"/>
                      <w:highlight w:val="none"/>
                      <w:lang w:val="en-US" w:eastAsia="zh-CN"/>
                    </w:rPr>
                    <w:t>信息档案管理</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8D6D570">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道路测试主体管理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BF4FC8A">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道路测试主体管理模块负责整合管理主体的基础信息、材料（基本信息材料、业务登记材料）、测试项目及补充、测试车辆、安全员、停车场、测试区域/路段、转场路段等信息，并提供便捷的维护与查阅入口。系统结构化存储主体编号、名称、统一社会信用代码、地址、主体状态等核心字段，并通过子表、附件列表展示全业务流程信息，为审核与管理提供全面数据支持。</w:t>
                  </w:r>
                </w:p>
                <w:p w14:paraId="70AA7F17">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用户可通过台账页面查看全量主体清单，按主体名称、类型、状态等筛选；对注销或不符合资质的主体，可标记或删除，系统自动同步更新状态。</w:t>
                  </w:r>
                </w:p>
              </w:tc>
            </w:tr>
            <w:tr w14:paraId="7EA9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0806E54">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19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36B6A">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200B297">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道路测试车辆管理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770CC30">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该模块管控测试车辆的基础信息、技术参数、年检记录及业务附件材料。</w:t>
                  </w:r>
                </w:p>
                <w:p w14:paraId="67EDFEF1">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系统结构化存储车辆编号、车架号、测试专用标识编号、所属机构、首次测试日期、车辆状态等核心字段，并关联自动驾驶系统版本、配置、自动驾驶等级、动力类型等技术参数，年检记录与附件材料通过子表或附件列表展示。</w:t>
                  </w:r>
                </w:p>
                <w:p w14:paraId="0EDC0AA7">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用户可通过台账页面查看全量车辆清单，按所属主体、品牌型号、车辆状态、测试类型等筛选。</w:t>
                  </w:r>
                </w:p>
              </w:tc>
            </w:tr>
            <w:tr w14:paraId="5C7A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4D56945">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51B03">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7A75739">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道路测试安全员管理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9B5A7FB">
                  <w:pPr>
                    <w:bidi w:val="0"/>
                    <w:ind w:firstLine="420" w:firstLineChars="200"/>
                    <w:rPr>
                      <w:rFonts w:hint="eastAsia"/>
                      <w:color w:val="auto"/>
                      <w:highlight w:val="none"/>
                      <w:lang w:val="en-US" w:eastAsia="zh-CN"/>
                    </w:rPr>
                  </w:pPr>
                  <w:r>
                    <w:rPr>
                      <w:rFonts w:hint="default"/>
                      <w:color w:val="auto"/>
                      <w:highlight w:val="none"/>
                      <w:lang w:val="en-US" w:eastAsia="zh-CN"/>
                    </w:rPr>
                    <w:t>道路测试安全员管理模块</w:t>
                  </w:r>
                  <w:r>
                    <w:rPr>
                      <w:rFonts w:hint="eastAsia"/>
                      <w:color w:val="auto"/>
                      <w:highlight w:val="none"/>
                      <w:lang w:val="en-US" w:eastAsia="zh-CN"/>
                    </w:rPr>
                    <w:t>管控安全员的基础信息与资质信息。系统结构化存储安全员编号、姓名、性别、身份证号、联系电话、所属测试主体等核心字段，并关联安全培训记录、驾驶证、体检报告、劳动合同等资质内容，通过子表或附件列表呈现。</w:t>
                  </w:r>
                </w:p>
                <w:p w14:paraId="06251BAA">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用户可通过台账页面查看全量安全员清单，按所属主体、准驾车型、资质状态等筛选；对离职或资质失效的安全员可标记或删除，系统自动同步更新状态。</w:t>
                  </w:r>
                </w:p>
              </w:tc>
            </w:tr>
            <w:tr w14:paraId="527C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8696401">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21</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7162F">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商业应用主体</w:t>
                  </w:r>
                  <w:r>
                    <w:rPr>
                      <w:rFonts w:hint="eastAsia" w:ascii="Calibri" w:hAnsi="Calibri" w:eastAsia="宋体" w:cs="Times New Roman"/>
                      <w:color w:val="auto"/>
                      <w:kern w:val="0"/>
                      <w:sz w:val="20"/>
                      <w:szCs w:val="20"/>
                      <w:highlight w:val="none"/>
                      <w:lang w:val="en-US" w:eastAsia="zh-CN"/>
                    </w:rPr>
                    <w:br w:type="textWrapping"/>
                  </w:r>
                  <w:r>
                    <w:rPr>
                      <w:rFonts w:hint="eastAsia" w:ascii="Calibri" w:hAnsi="Calibri" w:eastAsia="宋体" w:cs="Times New Roman"/>
                      <w:color w:val="auto"/>
                      <w:kern w:val="0"/>
                      <w:sz w:val="20"/>
                      <w:szCs w:val="20"/>
                      <w:highlight w:val="none"/>
                      <w:lang w:val="en-US" w:eastAsia="zh-CN"/>
                    </w:rPr>
                    <w:t>信息档案管理</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FED30C5">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商业应用主体管理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03622C2">
                  <w:pPr>
                    <w:bidi w:val="0"/>
                    <w:ind w:firstLine="420" w:firstLineChars="200"/>
                    <w:rPr>
                      <w:rFonts w:hint="eastAsia"/>
                      <w:color w:val="auto"/>
                      <w:highlight w:val="none"/>
                      <w:lang w:val="en-US" w:eastAsia="zh-CN"/>
                    </w:rPr>
                  </w:pPr>
                  <w:r>
                    <w:rPr>
                      <w:rFonts w:hint="eastAsia"/>
                      <w:color w:val="auto"/>
                      <w:highlight w:val="none"/>
                      <w:lang w:val="en-US" w:eastAsia="zh-CN"/>
                    </w:rPr>
                    <w:t>商业应用主体管理模块整合管理主体基础信息与商业应用业务登记材料，提供便捷的维护与查阅入口。</w:t>
                  </w:r>
                </w:p>
                <w:p w14:paraId="315A8D88">
                  <w:pPr>
                    <w:bidi w:val="0"/>
                    <w:ind w:firstLine="420" w:firstLineChars="200"/>
                    <w:rPr>
                      <w:rFonts w:hint="eastAsia"/>
                      <w:color w:val="auto"/>
                      <w:highlight w:val="none"/>
                      <w:lang w:val="en-US" w:eastAsia="zh-CN"/>
                    </w:rPr>
                  </w:pPr>
                  <w:r>
                    <w:rPr>
                      <w:rFonts w:hint="eastAsia"/>
                      <w:color w:val="auto"/>
                      <w:highlight w:val="none"/>
                      <w:lang w:val="en-US" w:eastAsia="zh-CN"/>
                    </w:rPr>
                    <w:t>系统结构化存储主体编码、名称、统一社会信用代码、注册地址、法定代表人、主体状态等核心字段，并通过子表、附件列表展示主体基本信息材料、业务登记材料、商业应用路段/区域/项目、车辆、安全员、转场路段、停车场等信息，呈现全业务过程状态，为审核与业务监管提供全面数据支持。</w:t>
                  </w:r>
                </w:p>
                <w:p w14:paraId="3037DB63">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用户可通过台账页面查看全量主体清单，按主体名称、状态等筛选；对注销或违规主体可标记或删除，系统自动同步更新状态。</w:t>
                  </w:r>
                </w:p>
              </w:tc>
            </w:tr>
            <w:tr w14:paraId="1653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AF98BFF">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6B682">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705F435">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商业应用车辆管理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0D9D23A">
                  <w:pPr>
                    <w:bidi w:val="0"/>
                    <w:ind w:firstLine="420" w:firstLineChars="200"/>
                    <w:rPr>
                      <w:rFonts w:hint="default"/>
                      <w:color w:val="auto"/>
                      <w:highlight w:val="none"/>
                      <w:lang w:val="en-US" w:eastAsia="zh-CN"/>
                    </w:rPr>
                  </w:pPr>
                  <w:r>
                    <w:rPr>
                      <w:rFonts w:hint="default"/>
                      <w:color w:val="auto"/>
                      <w:highlight w:val="none"/>
                      <w:lang w:val="en-US" w:eastAsia="zh-CN"/>
                    </w:rPr>
                    <w:t>商业应用车辆管理模块管控车辆基础信息、年检记录及业务登记材料（含出厂合格证明、测试报告、车辆投保证明、适应性评估报告、自动驾驶功能检测报告）。</w:t>
                  </w:r>
                </w:p>
                <w:p w14:paraId="5BE22D53">
                  <w:pPr>
                    <w:bidi w:val="0"/>
                    <w:ind w:firstLine="420" w:firstLineChars="200"/>
                    <w:rPr>
                      <w:rFonts w:hint="default"/>
                      <w:color w:val="auto"/>
                      <w:highlight w:val="none"/>
                      <w:lang w:val="en-US" w:eastAsia="zh-CN"/>
                    </w:rPr>
                  </w:pPr>
                  <w:r>
                    <w:rPr>
                      <w:rFonts w:hint="default"/>
                      <w:color w:val="auto"/>
                      <w:highlight w:val="none"/>
                      <w:lang w:val="en-US" w:eastAsia="zh-CN"/>
                    </w:rPr>
                    <w:t>系统结构化存储车辆编码、车架号、品牌型号、车牌号码、所属主体、车辆状态等核心字段，并通过子表或列表展示年检记录与业务材料，为合规性审核与运营监管提供支持。</w:t>
                  </w:r>
                </w:p>
                <w:p w14:paraId="17933E55">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default"/>
                      <w:color w:val="auto"/>
                      <w:highlight w:val="none"/>
                      <w:lang w:val="en-US" w:eastAsia="zh-CN"/>
                    </w:rPr>
                    <w:t>用户可通过台账页面查看全量车辆清单，按所属主体、品牌型号、车辆状态、运营范围等筛选。</w:t>
                  </w:r>
                </w:p>
              </w:tc>
            </w:tr>
            <w:tr w14:paraId="41EA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42B94F">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86B62">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B647492">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商业应用安全员管理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CCCDD9F">
                  <w:pPr>
                    <w:bidi w:val="0"/>
                    <w:ind w:firstLine="420" w:firstLineChars="200"/>
                    <w:rPr>
                      <w:rFonts w:hint="eastAsia"/>
                      <w:color w:val="auto"/>
                      <w:highlight w:val="none"/>
                      <w:lang w:val="en-US" w:eastAsia="zh-CN"/>
                    </w:rPr>
                  </w:pPr>
                  <w:r>
                    <w:rPr>
                      <w:rFonts w:hint="eastAsia"/>
                      <w:color w:val="auto"/>
                      <w:highlight w:val="none"/>
                      <w:lang w:val="en-US" w:eastAsia="zh-CN"/>
                    </w:rPr>
                    <w:t>商业应用安全员管理模块整合管理安全员基础信息、培训记录、从业信息及资质材料，提供便捷的维护与查阅功能。</w:t>
                  </w:r>
                </w:p>
                <w:p w14:paraId="5570E989">
                  <w:pPr>
                    <w:bidi w:val="0"/>
                    <w:ind w:firstLine="420" w:firstLineChars="200"/>
                    <w:rPr>
                      <w:rFonts w:hint="eastAsia"/>
                      <w:color w:val="auto"/>
                      <w:highlight w:val="none"/>
                      <w:lang w:val="en-US" w:eastAsia="zh-CN"/>
                    </w:rPr>
                  </w:pPr>
                  <w:r>
                    <w:rPr>
                      <w:rFonts w:hint="eastAsia"/>
                      <w:color w:val="auto"/>
                      <w:highlight w:val="none"/>
                      <w:lang w:val="en-US" w:eastAsia="zh-CN"/>
                    </w:rPr>
                    <w:t>系统结构化存储安全员编码、姓名、性别、身份证号、联系电话、所属主体、人员状态等核心字段，并通过子表、附件清单展示培训记录、从业信息、资质材料，为资质审核与管理提供全面数据支持。</w:t>
                  </w:r>
                </w:p>
                <w:p w14:paraId="432C85F7">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用户可通过台账页面查看全量安全员清单，按所属主体、准驾车型、人员状态等筛选；对离职或资质失效的安全员，可标记或删除，系统自动同步更新状态。</w:t>
                  </w:r>
                </w:p>
              </w:tc>
            </w:tr>
            <w:tr w14:paraId="6E68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5689947">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24</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A8C23">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业务办理</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7D3B34B">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道路测试申请</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732A459">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1）提交申请：测试主体首次申请道路测试时，通过公共服务平台提交完整材料（含主体资质、车辆参数、测试内容、测试路段及时段、经专家评审的安全应急预案等《实施细则》要求的资料）。</w:t>
                  </w:r>
                </w:p>
                <w:p w14:paraId="29690CC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2）材料初审：区交通运输局对材料进行完整性与规范性初审。</w:t>
                  </w:r>
                </w:p>
                <w:p w14:paraId="4A1C807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3）征求意见：区交通运输局组织区有关部门及属地区政府召开评审会议，论证并收集参会单位意见。</w:t>
                  </w:r>
                </w:p>
                <w:p w14:paraId="34135C9C">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4）材料形式审查：市交通运输局审查材料完整性、规范性及主体申请资质。</w:t>
                  </w:r>
                </w:p>
                <w:p w14:paraId="79A4B5D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5）组织专家评审：对技术复杂、创新性强或存在重大安全风险的项目，市交通运输局可邀请专家参会，根据材料及答辩提出评审意见，作为联合审核的重要参考。</w:t>
                  </w:r>
                </w:p>
                <w:p w14:paraId="1CADDA90">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6）联合评审：市交通运输局审核整改材料后，会同市公安局、市工业和信息化局及市有关部门，综合参考评审意见得出审核意见。</w:t>
                  </w:r>
                </w:p>
                <w:p w14:paraId="48A45D3E">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7）整改：未通过审核的测试主体按评审意见整改后，重新向市交通运输局提交申请材料。</w:t>
                  </w:r>
                </w:p>
                <w:p w14:paraId="2BFE92E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8）核发材料：审核通过后，市交通运输局会同市公安局、市工业和信息化局及市有关部门确认《功能型无人车道路测试安全性自我声明》，并核发道路测试通知书和车辆编码。</w:t>
                  </w:r>
                </w:p>
              </w:tc>
            </w:tr>
            <w:tr w14:paraId="6EC2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67B8021">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48651">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968FD2E">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道路测试申请（异地获批）</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E1102E1">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已在其他城市获得道路测试许可的主体，申请在本地开展同类测试时，可适用简化流程，需上传原测试地的安全性佐证材料及《实施细则》第十一条第二、四、六至九项材料。审核侧重比对异地与本地标准差异，确认车辆状态一致性；若测试内容或车辆配置变更，需按本地流程补充材料。</w:t>
                  </w:r>
                </w:p>
                <w:p w14:paraId="5961D23A">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1）提交申请：提交异地获批申请及所需材料。</w:t>
                  </w:r>
                </w:p>
                <w:p w14:paraId="0A29882B">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2）材料初审：区交通运输局进行完整性与规范性初审。</w:t>
                  </w:r>
                </w:p>
                <w:p w14:paraId="529F156C">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3）征求意见：区交通运输局组织区有关部门及属地区政府召开评审会议，论证并收集意见。</w:t>
                  </w:r>
                </w:p>
                <w:p w14:paraId="4DDD9433">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4）材料形式审查：市交通运输局审查材料完整性、规范性及主体资质。</w:t>
                  </w:r>
                </w:p>
                <w:p w14:paraId="0C9E7555">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5）联合评审：市交通运输局会同市公安局、市工信局等部门，综合参考意见得出审核结论。</w:t>
                  </w:r>
                </w:p>
                <w:p w14:paraId="45213A6D">
                  <w:pPr>
                    <w:keepNext w:val="0"/>
                    <w:keepLines w:val="0"/>
                    <w:widowControl/>
                    <w:suppressLineNumbers w:val="0"/>
                    <w:ind w:firstLine="420" w:firstLineChars="200"/>
                    <w:jc w:val="left"/>
                    <w:rPr>
                      <w:rFonts w:hint="eastAsia"/>
                      <w:color w:val="auto"/>
                      <w:highlight w:val="none"/>
                      <w:lang w:val="en-US" w:eastAsia="zh-CN"/>
                    </w:rPr>
                  </w:pPr>
                  <w:r>
                    <w:rPr>
                      <w:rFonts w:hint="eastAsia"/>
                      <w:color w:val="auto"/>
                      <w:highlight w:val="none"/>
                      <w:lang w:val="en-US" w:eastAsia="zh-CN"/>
                    </w:rPr>
                    <w:t>6）整改：未通过审核的主体按意见整改后重新提交。</w:t>
                  </w:r>
                </w:p>
                <w:p w14:paraId="7205781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7）核发材料：审核通过后，市交通运输局会同相关部门确认《安全性自我声明》，核发道路测试通知书和车辆编码。</w:t>
                  </w:r>
                </w:p>
              </w:tc>
            </w:tr>
            <w:tr w14:paraId="378F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B974C9">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E496E">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645A348">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道路测试期效管理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C3F5624">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1）道路测试延期申请</w:t>
                  </w:r>
                </w:p>
                <w:p w14:paraId="5498A610">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审核重点评估延期必要性与测试进展，无重大事故且有合理需求的申请简化审批；若延期后时段与重大活动冲突，需协调调整。</w:t>
                  </w:r>
                </w:p>
                <w:p w14:paraId="2D5CD133">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①提交申请：主体在测试结束前2个月内提交延期申请书及必要性说明。</w:t>
                  </w:r>
                </w:p>
                <w:p w14:paraId="0D579115">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②材料初审：区交通运输局进行完整性与规范性初审。</w:t>
                  </w:r>
                </w:p>
                <w:p w14:paraId="3CCB0DFC">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③征求意见：区交通运输局组织区有关部门及属地区政府召开会议论证并收集意见。</w:t>
                  </w:r>
                </w:p>
                <w:p w14:paraId="2E91587B">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④材料形式审查：市交通运输局审查材料完整性、规范性及主体资质。</w:t>
                  </w:r>
                </w:p>
                <w:p w14:paraId="0C862F4C">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⑤整改：未通过审核的主体按意见整改后重新提交。</w:t>
                  </w:r>
                </w:p>
                <w:p w14:paraId="160F5ACF">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⑥联合评审：经市交通运输局会同市公安局、市工信局等部门联合审核通过后方可延期，延期时间原则上不超过12个月。</w:t>
                  </w:r>
                </w:p>
                <w:p w14:paraId="5038391A">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2）终止道路测试审核</w:t>
                  </w:r>
                </w:p>
                <w:p w14:paraId="1CF652AA">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①提交申请：测试主体或管理部门提交退出申请，说明原批准编号、退出原因、计划日期及处理方案。</w:t>
                  </w:r>
                </w:p>
                <w:p w14:paraId="74BD6428">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②材料初审：区交通运输局进行完整性与规范性初审。</w:t>
                  </w:r>
                </w:p>
                <w:p w14:paraId="4F7FECE1">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③征求意见：区交通运输局组织区有关部门及属地区政府召开会议论证并收集意见。</w:t>
                  </w:r>
                </w:p>
                <w:p w14:paraId="483ACFE9">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④材料形式审查：市交通运输局审查材料完整性、规范性及主体资质。</w:t>
                  </w:r>
                </w:p>
                <w:p w14:paraId="2A2D0BA0">
                  <w:pPr>
                    <w:keepNext w:val="0"/>
                    <w:keepLines w:val="0"/>
                    <w:widowControl/>
                    <w:suppressLineNumbers w:val="0"/>
                    <w:jc w:val="left"/>
                    <w:rPr>
                      <w:rFonts w:hint="eastAsia"/>
                      <w:color w:val="auto"/>
                      <w:highlight w:val="none"/>
                      <w:lang w:val="en-US" w:eastAsia="zh-CN"/>
                    </w:rPr>
                  </w:pPr>
                  <w:r>
                    <w:rPr>
                      <w:rFonts w:hint="eastAsia"/>
                      <w:color w:val="auto"/>
                      <w:highlight w:val="none"/>
                      <w:lang w:val="en-US" w:eastAsia="zh-CN"/>
                    </w:rPr>
                    <w:t>⑤整改：未通过审核的主体按意见整改后重新提交。</w:t>
                  </w:r>
                </w:p>
                <w:p w14:paraId="69A512F4">
                  <w:pPr>
                    <w:pStyle w:val="2"/>
                    <w:ind w:left="0" w:leftChars="0" w:firstLine="0" w:firstLineChars="0"/>
                    <w:rPr>
                      <w:rFonts w:hint="eastAsia" w:ascii="Calibri" w:hAnsi="Calibri" w:eastAsia="宋体" w:cs="Times New Roman"/>
                      <w:color w:val="auto"/>
                      <w:kern w:val="2"/>
                      <w:sz w:val="21"/>
                      <w:szCs w:val="24"/>
                      <w:highlight w:val="none"/>
                      <w:lang w:val="en-US" w:eastAsia="zh-CN" w:bidi="ar-SA"/>
                    </w:rPr>
                  </w:pPr>
                  <w:r>
                    <w:rPr>
                      <w:rFonts w:hint="eastAsia"/>
                      <w:color w:val="auto"/>
                      <w:highlight w:val="none"/>
                      <w:lang w:val="en-US" w:eastAsia="zh-CN"/>
                    </w:rPr>
                    <w:t>⑥联合评审及结果：经市交通运输局会同市公安局、市工信局等部门联合审核通过后，主体按退出方案及审批意见有序退出，系统保留相关数据并归档。</w:t>
                  </w:r>
                </w:p>
              </w:tc>
            </w:tr>
            <w:tr w14:paraId="5A9B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C2E59F3">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685E3">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91D3F5A">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商业应用申请</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7534610">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1）提交申请：商业应用主体首次申请时，通过公共服务平台提交完整材料（含主体资质、车辆参数、项目内容、使用路段及时段、经专家评审的安全应急预案等《实施细则》要求的资料）。</w:t>
                  </w:r>
                </w:p>
                <w:p w14:paraId="33A521DA">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2）材料初审：区交通运输局进行完整性与规范性初审。</w:t>
                  </w:r>
                </w:p>
                <w:p w14:paraId="186643DA">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3）征求意见：区交通运输局组织区有关部门及属地区政府召开评审会议，论证并收集意见。</w:t>
                  </w:r>
                </w:p>
                <w:p w14:paraId="35397B12">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4）材料形式审查：市交通运输局审查材料完整性、规范性及主体资质。</w:t>
                  </w:r>
                </w:p>
                <w:p w14:paraId="6E545F02">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5）组织专家评审：对技术复杂、创新性强或存在重大安全风险的项目，市交通运输局可邀请专家参会，根据材料及答辩提出评审意见，作为联合审核的重要参考。</w:t>
                  </w:r>
                </w:p>
                <w:p w14:paraId="1BB96EA9">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6）联合评审：市交通运输局会同市公安局、市工信局等部门，综合参考评审意见得出审核意见。</w:t>
                  </w:r>
                </w:p>
                <w:p w14:paraId="0CA11868">
                  <w:pPr>
                    <w:numPr>
                      <w:ilvl w:val="0"/>
                      <w:numId w:val="0"/>
                    </w:num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7）整改：未通过审核的，说明原因，主体修改后重新提交材料。</w:t>
                  </w:r>
                </w:p>
                <w:p w14:paraId="32FED500">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ascii="Calibri" w:hAnsi="Calibri" w:eastAsia="宋体" w:cs="Times New Roman"/>
                      <w:color w:val="auto"/>
                      <w:kern w:val="2"/>
                      <w:sz w:val="21"/>
                      <w:szCs w:val="24"/>
                      <w:highlight w:val="none"/>
                      <w:lang w:val="en-US" w:eastAsia="zh-CN" w:bidi="ar-SA"/>
                    </w:rPr>
                    <w:t>8）核发材料：审核通过后，市交通运输局会同相关部门确认《功能型无人车商业应用安全性自我声明》，核发商业应用通知书和车辆编码。</w:t>
                  </w:r>
                </w:p>
              </w:tc>
            </w:tr>
            <w:tr w14:paraId="4C6F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D88191F">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E4DF1">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A278187">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商业应用期效管理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05A47A2">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1）商业应用延期申请</w:t>
                  </w:r>
                </w:p>
                <w:p w14:paraId="776DAA88">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①提交申请：主体在应用结束前2个月内提交延期申请书及必要性说明。</w:t>
                  </w:r>
                </w:p>
                <w:p w14:paraId="2E121AF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②材料初审：区交通运输局进行完整性与规范性初审。</w:t>
                  </w:r>
                </w:p>
                <w:p w14:paraId="150DA972">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③征求意见：区交通运输局组织区有关部门及属地区政府召开会议论证并收集意见。</w:t>
                  </w:r>
                </w:p>
                <w:p w14:paraId="57814E5D">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④材料形式审查：市交通运输局审查材料完整性、规范性及主体资质。</w:t>
                  </w:r>
                </w:p>
                <w:p w14:paraId="6B023F99">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⑤联合评审：市交通运输局会同市公安局、市工信局等部门审核，重点评估延期合理性、前期应用效果及违规记录。</w:t>
                  </w:r>
                </w:p>
                <w:p w14:paraId="5B6B21B2">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⑥整改：若影响区域规划或存在安全隐患，协商调整或驳回，主体整改后重新提交。</w:t>
                  </w:r>
                </w:p>
                <w:p w14:paraId="3E04C06C">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⑦核发材料：对运营规范、社会反响好且确有必要的申请，予以批准延期。</w:t>
                  </w:r>
                </w:p>
                <w:p w14:paraId="596F630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所有申请及审核信息在统一台账中展示，支持按主体名称、申请日期等查询筛选，实时掌握进度，历史数据保留供查阅统计。</w:t>
                  </w:r>
                </w:p>
                <w:p w14:paraId="0130B2E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2）终止商业应用审核</w:t>
                  </w:r>
                </w:p>
                <w:p w14:paraId="36E789A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①提交申请：主体或管理部门提交退出申请，包含原许可编号、退出原因、时间安排、处理方案。</w:t>
                  </w:r>
                </w:p>
                <w:p w14:paraId="11DA8182">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②材料初审：区交通运输局进行完整性与规范性初审。</w:t>
                  </w:r>
                </w:p>
                <w:p w14:paraId="3E943194">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③征求意见：区交通运输局组织区有关部门及属地区政府召开会议论证并收集意见。</w:t>
                  </w:r>
                </w:p>
                <w:p w14:paraId="7C8080B2">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④材料形式审查：市交通运输局审查材料完整性、规范性及主体资质。</w:t>
                  </w:r>
                </w:p>
                <w:p w14:paraId="32C006D5">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⑤联合评审：市交通运输局会同市公安局、市工信局等部门核查退出方案合理性，确保平稳有序、不影响公众利益。</w:t>
                  </w:r>
                </w:p>
                <w:p w14:paraId="276EE6FA">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⑥整改：未通过审核的主体按意见整改后重新提交。</w:t>
                  </w:r>
                </w:p>
                <w:p w14:paraId="0B63E51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⑦核发材料：审核通过后注销商业应用许可，记录退出信息并存档。</w:t>
                  </w:r>
                </w:p>
                <w:p w14:paraId="00C742C0">
                  <w:pPr>
                    <w:numPr>
                      <w:ilvl w:val="0"/>
                      <w:numId w:val="0"/>
                    </w:numPr>
                    <w:ind w:firstLine="420" w:firstLineChars="200"/>
                    <w:rPr>
                      <w:rFonts w:hint="default" w:ascii="Calibri" w:hAnsi="Calibri" w:eastAsia="宋体" w:cs="Times New Roman"/>
                      <w:color w:val="auto"/>
                      <w:kern w:val="2"/>
                      <w:sz w:val="21"/>
                      <w:szCs w:val="24"/>
                      <w:highlight w:val="none"/>
                      <w:lang w:val="en-US" w:eastAsia="zh-CN" w:bidi="ar-SA"/>
                    </w:rPr>
                  </w:pPr>
                  <w:r>
                    <w:rPr>
                      <w:rFonts w:hint="eastAsia" w:eastAsia="宋体" w:cs="Times New Roman"/>
                      <w:color w:val="auto"/>
                      <w:highlight w:val="none"/>
                      <w:lang w:val="en-US" w:eastAsia="zh-CN"/>
                    </w:rPr>
                    <w:t>所有申请及审核记录纳入统一台账，支持按申请类型、许可编号、主体名称等查询，实时显示进度，历史数据长期留存，为监管及数据分析提供依据。</w:t>
                  </w:r>
                </w:p>
              </w:tc>
            </w:tr>
            <w:tr w14:paraId="1B8D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A3FD183">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29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E4D34">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01C252B">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测试与商业应用状态管控</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74507C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1.暂停道路测试</w:t>
                  </w:r>
                </w:p>
                <w:p w14:paraId="1B226EB2">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①提交申请：测试主体或管理部门可对在测试时间内的道路测试执行暂停操作，需提交道路测试延期申请书及必要性说明；</w:t>
                  </w:r>
                </w:p>
                <w:p w14:paraId="340468C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②材料初审：区交通运输局在受理后进行材料完整性和规范性初审；</w:t>
                  </w:r>
                </w:p>
                <w:p w14:paraId="6F977C3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③征求意见：区交通运输局组织区有关部门和暂停道路测试的道路或区域属地区人民政府召开审会议，进行论证并收集各参会单位评审意见；</w:t>
                  </w:r>
                </w:p>
                <w:p w14:paraId="0499CF9C">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④市交通运输局对材料完整性、规范性及主体的申请资质进行审查；</w:t>
                  </w:r>
                </w:p>
                <w:p w14:paraId="44EBA37C">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⑤市交通运输局根据整改材料进行完整性和规范性审核，后同市公安局、市工业和信息化局和市有关部门，综合参考评审意见，得出审核意见；</w:t>
                  </w:r>
                </w:p>
                <w:p w14:paraId="3EE44DF9">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⑥整改：未通过审核，主体可根据评审意见整改，整改后向市交通运输局重新提交申请材料；</w:t>
                  </w:r>
                </w:p>
                <w:p w14:paraId="48E999F9">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⑦核发材料：通过审核后，可暂停该道路测试。</w:t>
                  </w:r>
                </w:p>
                <w:p w14:paraId="7285104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2.恢复道路测试</w:t>
                  </w:r>
                </w:p>
                <w:p w14:paraId="0411F38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①提交申请：测试主体或管理部门可对在测试时间内的已暂停的道路测试执行恢复操作，需填写申请，说明申请填写恢复时间、恢复原因，上传说明附件；</w:t>
                  </w:r>
                </w:p>
                <w:p w14:paraId="131AFBA1">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②材料初审：区交通运输局在受理后进行材料完整性和规范性初审；</w:t>
                  </w:r>
                </w:p>
                <w:p w14:paraId="525D54DD">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③征求意见：区交通运输局组织区有关部门和拟恢复道路测试的道路或区域属地区人民政府召开审会议，进行论证并收集各参会单位评审意见；</w:t>
                  </w:r>
                </w:p>
                <w:p w14:paraId="55BCC40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④市交通运输局对材料完整性、规范性及主体的申请资质进行审查；</w:t>
                  </w:r>
                </w:p>
                <w:p w14:paraId="1541098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⑤市交通运输局根据整改材料进行完整性和规范性审核，后同市公安局、市工业和信息化局和市有关部门，综合参考评审意见，得出审核意见；</w:t>
                  </w:r>
                </w:p>
                <w:p w14:paraId="21AB34F0">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⑥整改：未通过审核，主体可根据评审意见整改，整改后向市交通运输局重新提交申请材料；</w:t>
                  </w:r>
                </w:p>
                <w:p w14:paraId="59DCDDB8">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⑦核发材料：通过审核后，即可恢复该道路测试。</w:t>
                  </w:r>
                </w:p>
                <w:p w14:paraId="577B6D3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3.暂停商业应用</w:t>
                  </w:r>
                </w:p>
                <w:p w14:paraId="1141F251">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①提交申请：商业主体或管理部门可对在时间内的商业应用执行暂停操作，可在对应的商业应用申请及审核中填写暂停时间、暂停原因，上传说明附件；</w:t>
                  </w:r>
                </w:p>
                <w:p w14:paraId="75EEEE0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②材料初审：区交通运输局在受理后进行材料完整性和规范性初审；</w:t>
                  </w:r>
                </w:p>
                <w:p w14:paraId="09DFDAC5">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③征求意见：区交通运输局组织区有关部门和拟暂停商业应用的道路或区域属地区人民政府召开审会议，进行论证并收集各参会单位评审意见；</w:t>
                  </w:r>
                </w:p>
                <w:p w14:paraId="7D4ED9F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④材料形式审查：市交通运输局对材料完整性、规范性及主体的申请资质进行审查；</w:t>
                  </w:r>
                </w:p>
                <w:p w14:paraId="11BD153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⑤联合评审：市交通运输局根据整改材料进行完整性和规范性审核，后同市公安局、市工业和信息化局和市有关部门，综合参考评审意见，得出审核意见；</w:t>
                  </w:r>
                </w:p>
                <w:p w14:paraId="175EFA4D">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⑥整改：未通过审核，商业应用主体可根据评审意见整改，整改后向市交通运输局重新提交申请材料；</w:t>
                  </w:r>
                </w:p>
                <w:p w14:paraId="6659334E">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⑦审核通过后，即可暂停该商业应用。</w:t>
                  </w:r>
                </w:p>
                <w:p w14:paraId="4FC80AA0">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4.恢复商业应用</w:t>
                  </w:r>
                </w:p>
                <w:p w14:paraId="1603956A">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①提出申请：针对已暂停的商业应用，商业应用主体或管理部门若需进行恢复时，可在对应的商业应用申请及申请中填写恢复时间、恢复原因，上传说明附件；</w:t>
                  </w:r>
                </w:p>
                <w:p w14:paraId="56A880F1">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②材料初审：区交通运输局在受理后进行材料完整性和规范性初审；</w:t>
                  </w:r>
                </w:p>
                <w:p w14:paraId="71F504C3">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③征求意见：区交通运输局组织区有关部门和拟恢复商业应用的道路或区域属地区人民政府召开审会议，进行论证并收集各参会单位评审意见；</w:t>
                  </w:r>
                </w:p>
                <w:p w14:paraId="4C2A9EB8">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④材料形式审查：市交通运输局对材料完整性、规范性及主体的申请资质进行审查；</w:t>
                  </w:r>
                </w:p>
                <w:p w14:paraId="3EE0BF9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⑤联合评审：市交通运输局根据整改材料进行完整性和规范性审核，后同市公安局、市工业和信息化局和市有关部门，综合参考评审意见，得出审核意见；</w:t>
                  </w:r>
                </w:p>
                <w:p w14:paraId="0FAD530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⑥未通过审核，商业应用主体可根据评审意见整改，整改后向市交通运输局重新提交申请材料；</w:t>
                  </w:r>
                </w:p>
                <w:p w14:paraId="1CC3A09D">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⑦通过审核后，可恢复商业应用。</w:t>
                  </w:r>
                </w:p>
              </w:tc>
            </w:tr>
            <w:tr w14:paraId="69DE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48946CF">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C0591">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9F431C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道路测试商业应用三同车辆增减审批</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A6DF0D7">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1.</w:t>
                  </w:r>
                  <w:r>
                    <w:rPr>
                      <w:rFonts w:hint="default" w:eastAsia="宋体" w:cs="Times New Roman"/>
                      <w:color w:val="auto"/>
                      <w:highlight w:val="none"/>
                      <w:lang w:val="en-US" w:eastAsia="zh-CN"/>
                    </w:rPr>
                    <w:t>道路测试-同款车辆新增申请</w:t>
                  </w:r>
                </w:p>
                <w:p w14:paraId="215336CA">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default" w:eastAsia="宋体" w:cs="Times New Roman"/>
                      <w:color w:val="auto"/>
                      <w:highlight w:val="none"/>
                      <w:lang w:val="en-US" w:eastAsia="zh-CN"/>
                    </w:rPr>
                    <w:t>本功能重点负责道路测试三同车辆新增的全流程数据管理，核心操作及数据处理要求如下：</w:t>
                  </w:r>
                </w:p>
                <w:p w14:paraId="2D5E1A81">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①</w:t>
                  </w:r>
                  <w:r>
                    <w:rPr>
                      <w:rFonts w:hint="default" w:eastAsia="宋体" w:cs="Times New Roman"/>
                      <w:color w:val="auto"/>
                      <w:highlight w:val="none"/>
                      <w:lang w:val="en-US" w:eastAsia="zh-CN"/>
                    </w:rPr>
                    <w:t>申请发起：主体勾选拟新增车型，系统自动填充该车型共性结构化信息及附件材料，主体补充非共性材料、绑定车辆活动路段、填报申请原因并上传佐证材料；</w:t>
                  </w:r>
                </w:p>
                <w:p w14:paraId="0A645E08">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②</w:t>
                  </w:r>
                  <w:r>
                    <w:rPr>
                      <w:rFonts w:hint="default" w:eastAsia="宋体" w:cs="Times New Roman"/>
                      <w:color w:val="auto"/>
                      <w:highlight w:val="none"/>
                      <w:lang w:val="en-US" w:eastAsia="zh-CN"/>
                    </w:rPr>
                    <w:t>多级审核：区交通运输局完成材料初审，征求属地部门及政府意见，系统记录初审意见与意见征集结果；市交通运输局开展材料形式审查，结合区级意见组织市级部门评审，系统留存评审意见及审核结论；</w:t>
                  </w:r>
                </w:p>
                <w:p w14:paraId="3CE623DF">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③</w:t>
                  </w:r>
                  <w:r>
                    <w:rPr>
                      <w:rFonts w:hint="default" w:eastAsia="宋体" w:cs="Times New Roman"/>
                      <w:color w:val="auto"/>
                      <w:highlight w:val="none"/>
                      <w:lang w:val="en-US" w:eastAsia="zh-CN"/>
                    </w:rPr>
                    <w:t>整改管理：审核未通过时，系统记录整改意见，支持主体整改后重新提交申请，并更新申请相关数据；</w:t>
                  </w:r>
                </w:p>
                <w:p w14:paraId="25DD99DB">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④</w:t>
                  </w:r>
                  <w:r>
                    <w:rPr>
                      <w:rFonts w:hint="default" w:eastAsia="宋体" w:cs="Times New Roman"/>
                      <w:color w:val="auto"/>
                      <w:highlight w:val="none"/>
                      <w:lang w:val="en-US" w:eastAsia="zh-CN"/>
                    </w:rPr>
                    <w:t>数据生成与更新：审核通过后，系统按车辆所属辖区自动分配车辆编码，生成核发通知书；将车辆状态更新为 “通过”，关联至对应主体档案，同步更新车辆基础信息库，为主体后续业务开展提供数据支撑。</w:t>
                  </w:r>
                </w:p>
                <w:p w14:paraId="4BAA0A56">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2.</w:t>
                  </w:r>
                  <w:r>
                    <w:rPr>
                      <w:rFonts w:hint="default" w:eastAsia="宋体" w:cs="Times New Roman"/>
                      <w:color w:val="auto"/>
                      <w:highlight w:val="none"/>
                      <w:lang w:val="en-US" w:eastAsia="zh-CN"/>
                    </w:rPr>
                    <w:t>道路测试-同款车辆减少申请</w:t>
                  </w:r>
                </w:p>
                <w:p w14:paraId="0AED7E4B">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①</w:t>
                  </w:r>
                  <w:r>
                    <w:rPr>
                      <w:rFonts w:hint="default" w:eastAsia="宋体" w:cs="Times New Roman"/>
                      <w:color w:val="auto"/>
                      <w:highlight w:val="none"/>
                      <w:lang w:val="en-US" w:eastAsia="zh-CN"/>
                    </w:rPr>
                    <w:t>提出申请：已获得道路测试许可的主体，若需减少同款车辆参与活动，可提交减少同款车辆申请。申请材料需包含拟减少的车辆信息、相关说明和相应材料；</w:t>
                  </w:r>
                </w:p>
                <w:p w14:paraId="441617F1">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②</w:t>
                  </w:r>
                  <w:r>
                    <w:rPr>
                      <w:rFonts w:hint="default" w:eastAsia="宋体" w:cs="Times New Roman"/>
                      <w:color w:val="auto"/>
                      <w:highlight w:val="none"/>
                      <w:lang w:val="en-US" w:eastAsia="zh-CN"/>
                    </w:rPr>
                    <w:t>材料初审：区交通运输局在受理后进行材料完整性和规范性初审；</w:t>
                  </w:r>
                </w:p>
                <w:p w14:paraId="4CAFAD0F">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③</w:t>
                  </w:r>
                  <w:r>
                    <w:rPr>
                      <w:rFonts w:hint="default" w:eastAsia="宋体" w:cs="Times New Roman"/>
                      <w:color w:val="auto"/>
                      <w:highlight w:val="none"/>
                      <w:lang w:val="en-US" w:eastAsia="zh-CN"/>
                    </w:rPr>
                    <w:t>征求意见：区交通运输局组织区有关部门和拟减少道路测试同款车的道路或区域属地区人民政府召开审会议，进行论证并收集各参会单位评审意见；</w:t>
                  </w:r>
                </w:p>
                <w:p w14:paraId="30BB0E64">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④</w:t>
                  </w:r>
                  <w:r>
                    <w:rPr>
                      <w:rFonts w:hint="default" w:eastAsia="宋体" w:cs="Times New Roman"/>
                      <w:color w:val="auto"/>
                      <w:highlight w:val="none"/>
                      <w:lang w:val="en-US" w:eastAsia="zh-CN"/>
                    </w:rPr>
                    <w:t>材料形式审查：市交通运输局对材料完整性、规范性及主体的申请资质进行审查；</w:t>
                  </w:r>
                </w:p>
                <w:p w14:paraId="34C2C074">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⑤</w:t>
                  </w:r>
                  <w:r>
                    <w:rPr>
                      <w:rFonts w:hint="default" w:eastAsia="宋体" w:cs="Times New Roman"/>
                      <w:color w:val="auto"/>
                      <w:highlight w:val="none"/>
                      <w:lang w:val="en-US" w:eastAsia="zh-CN"/>
                    </w:rPr>
                    <w:t>联合审批：市交通运输局会同市公安局、市工业和信息化局和市有关部门联合对提交的材料进行审核；</w:t>
                  </w:r>
                </w:p>
                <w:p w14:paraId="18EDBA80">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⑥</w:t>
                  </w:r>
                  <w:r>
                    <w:rPr>
                      <w:rFonts w:hint="default" w:eastAsia="宋体" w:cs="Times New Roman"/>
                      <w:color w:val="auto"/>
                      <w:highlight w:val="none"/>
                      <w:lang w:val="en-US" w:eastAsia="zh-CN"/>
                    </w:rPr>
                    <w:t>整改：未通过审核，道路测试主体可根据评审意见整改，整改后向市交通运输局重新提交申请材料；</w:t>
                  </w:r>
                </w:p>
                <w:p w14:paraId="4C28FFCD">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⑦</w:t>
                  </w:r>
                  <w:r>
                    <w:rPr>
                      <w:rFonts w:hint="default" w:eastAsia="宋体" w:cs="Times New Roman"/>
                      <w:color w:val="auto"/>
                      <w:highlight w:val="none"/>
                      <w:lang w:val="en-US" w:eastAsia="zh-CN"/>
                    </w:rPr>
                    <w:t>材料核发：审核通过后，在原许可上取消该车辆的车辆编码。</w:t>
                  </w:r>
                </w:p>
                <w:p w14:paraId="1886259F">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3.</w:t>
                  </w:r>
                  <w:r>
                    <w:rPr>
                      <w:rFonts w:hint="default" w:eastAsia="宋体" w:cs="Times New Roman"/>
                      <w:color w:val="auto"/>
                      <w:highlight w:val="none"/>
                      <w:lang w:val="en-US" w:eastAsia="zh-CN"/>
                    </w:rPr>
                    <w:t>商业应用-同款车辆新增申请</w:t>
                  </w:r>
                </w:p>
                <w:p w14:paraId="2EB36A88">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default" w:eastAsia="宋体" w:cs="Times New Roman"/>
                      <w:color w:val="auto"/>
                      <w:highlight w:val="none"/>
                      <w:lang w:val="en-US" w:eastAsia="zh-CN"/>
                    </w:rPr>
                    <w:t>本功能实现商业应用三同车辆新增的全流程数据管理，核心操作及数据处理要求如下：</w:t>
                  </w:r>
                </w:p>
                <w:p w14:paraId="29EBF40B">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①</w:t>
                  </w:r>
                  <w:r>
                    <w:rPr>
                      <w:rFonts w:hint="default" w:eastAsia="宋体" w:cs="Times New Roman"/>
                      <w:color w:val="auto"/>
                      <w:highlight w:val="none"/>
                      <w:lang w:val="en-US" w:eastAsia="zh-CN"/>
                    </w:rPr>
                    <w:t>申请发起：主体勾选拟新增车型，系统自动填充该车型共性结构化信息及附件材料，主体补充非共性材料、绑定车辆活动路段、填报申请原因并上传佐证材料；</w:t>
                  </w:r>
                </w:p>
                <w:p w14:paraId="659CE7C8">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②</w:t>
                  </w:r>
                  <w:r>
                    <w:rPr>
                      <w:rFonts w:hint="default" w:eastAsia="宋体" w:cs="Times New Roman"/>
                      <w:color w:val="auto"/>
                      <w:highlight w:val="none"/>
                      <w:lang w:val="en-US" w:eastAsia="zh-CN"/>
                    </w:rPr>
                    <w:t>多级审核：区交通运输局完成材料初审，征求属地部门及政府意见，系统记录初审意见与意见征集结果；市交通运输局开展材料形式审查，结合区级意见组织市级部门评审，系统留存评审意见及审核结论；</w:t>
                  </w:r>
                </w:p>
                <w:p w14:paraId="5F3B4D93">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③</w:t>
                  </w:r>
                  <w:r>
                    <w:rPr>
                      <w:rFonts w:hint="default" w:eastAsia="宋体" w:cs="Times New Roman"/>
                      <w:color w:val="auto"/>
                      <w:highlight w:val="none"/>
                      <w:lang w:val="en-US" w:eastAsia="zh-CN"/>
                    </w:rPr>
                    <w:t>整改管理：审核未通过时，系统记录整改意见，支持主体整改后重新提交申请，并更新申请相关数据；</w:t>
                  </w:r>
                </w:p>
                <w:p w14:paraId="2E876B84">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④</w:t>
                  </w:r>
                  <w:r>
                    <w:rPr>
                      <w:rFonts w:hint="default" w:eastAsia="宋体" w:cs="Times New Roman"/>
                      <w:color w:val="auto"/>
                      <w:highlight w:val="none"/>
                      <w:lang w:val="en-US" w:eastAsia="zh-CN"/>
                    </w:rPr>
                    <w:t>数据生成与更新：审核通过后，系统按车辆所属辖区自动分配车辆编码，生成核发通知书；将车辆状态更新为 “通过”，关联至对应主体档案，同步更新车辆基础信息库，为主体后续业务开展提供数据支撑。</w:t>
                  </w:r>
                </w:p>
                <w:p w14:paraId="4CE17156">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4.</w:t>
                  </w:r>
                  <w:r>
                    <w:rPr>
                      <w:rFonts w:hint="default" w:eastAsia="宋体" w:cs="Times New Roman"/>
                      <w:color w:val="auto"/>
                      <w:highlight w:val="none"/>
                      <w:lang w:val="en-US" w:eastAsia="zh-CN"/>
                    </w:rPr>
                    <w:t>商业应用-同款车辆减少申请</w:t>
                  </w:r>
                </w:p>
                <w:p w14:paraId="75962F85">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①</w:t>
                  </w:r>
                  <w:r>
                    <w:rPr>
                      <w:rFonts w:hint="default" w:eastAsia="宋体" w:cs="Times New Roman"/>
                      <w:color w:val="auto"/>
                      <w:highlight w:val="none"/>
                      <w:lang w:val="en-US" w:eastAsia="zh-CN"/>
                    </w:rPr>
                    <w:t>提出申请：已获得商业应用许可的主体，若需减少同款车辆参与活动，可提交减少同款车辆申请。申请材料需包含拟减少的车辆信息、相关说明和相应材料；</w:t>
                  </w:r>
                </w:p>
                <w:p w14:paraId="09C592ED">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②</w:t>
                  </w:r>
                  <w:r>
                    <w:rPr>
                      <w:rFonts w:hint="default" w:eastAsia="宋体" w:cs="Times New Roman"/>
                      <w:color w:val="auto"/>
                      <w:highlight w:val="none"/>
                      <w:lang w:val="en-US" w:eastAsia="zh-CN"/>
                    </w:rPr>
                    <w:t>材料初审：区交通运输局在受理后进行材料完整性和规范性初审；</w:t>
                  </w:r>
                </w:p>
                <w:p w14:paraId="22EDEF03">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③</w:t>
                  </w:r>
                  <w:r>
                    <w:rPr>
                      <w:rFonts w:hint="default" w:eastAsia="宋体" w:cs="Times New Roman"/>
                      <w:color w:val="auto"/>
                      <w:highlight w:val="none"/>
                      <w:lang w:val="en-US" w:eastAsia="zh-CN"/>
                    </w:rPr>
                    <w:t>征求意见：区交通运输局组织区有关部门和拟减少同款车的商业应用的道路或区域属地区人民政府召开审会议，进行论证并收集各参会单位评审意见；</w:t>
                  </w:r>
                </w:p>
                <w:p w14:paraId="23F8AAFF">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④</w:t>
                  </w:r>
                  <w:r>
                    <w:rPr>
                      <w:rFonts w:hint="default" w:eastAsia="宋体" w:cs="Times New Roman"/>
                      <w:color w:val="auto"/>
                      <w:highlight w:val="none"/>
                      <w:lang w:val="en-US" w:eastAsia="zh-CN"/>
                    </w:rPr>
                    <w:t>材料形式审查：市交通运输局对材料完整性、规范性及主体的申请资质进行审查；</w:t>
                  </w:r>
                </w:p>
                <w:p w14:paraId="15CDDFFF">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⑤</w:t>
                  </w:r>
                  <w:r>
                    <w:rPr>
                      <w:rFonts w:hint="default" w:eastAsia="宋体" w:cs="Times New Roman"/>
                      <w:color w:val="auto"/>
                      <w:highlight w:val="none"/>
                      <w:lang w:val="en-US" w:eastAsia="zh-CN"/>
                    </w:rPr>
                    <w:t>联合审批：市交通运输局会同市公安局、市工业和信息化局和市有关部门联合对提交的材料进行审核；</w:t>
                  </w:r>
                </w:p>
                <w:p w14:paraId="713F50DE">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⑥</w:t>
                  </w:r>
                  <w:r>
                    <w:rPr>
                      <w:rFonts w:hint="default" w:eastAsia="宋体" w:cs="Times New Roman"/>
                      <w:color w:val="auto"/>
                      <w:highlight w:val="none"/>
                      <w:lang w:val="en-US" w:eastAsia="zh-CN"/>
                    </w:rPr>
                    <w:t>整改：审核未通过的，说明不符合原因，商业应用主体可针对性整改后重新申请；</w:t>
                  </w:r>
                </w:p>
                <w:p w14:paraId="7E88E6F1">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default" w:eastAsia="宋体" w:cs="Times New Roman"/>
                      <w:color w:val="auto"/>
                      <w:highlight w:val="none"/>
                      <w:lang w:val="en-US" w:eastAsia="zh-CN"/>
                    </w:rPr>
                    <w:t>核发材料：审核通过后，在原许可上取消该车辆的车辆编码。</w:t>
                  </w:r>
                </w:p>
              </w:tc>
            </w:tr>
            <w:tr w14:paraId="4FAC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01187B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D5ADD">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B61CA9F">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道路测试非三同车辆新增申请</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1E7B402">
                  <w:pPr>
                    <w:ind w:firstLine="420" w:firstLineChars="200"/>
                    <w:rPr>
                      <w:rFonts w:hint="eastAsia"/>
                      <w:color w:val="auto"/>
                      <w:highlight w:val="none"/>
                      <w:lang w:eastAsia="zh-CN"/>
                    </w:rPr>
                  </w:pPr>
                  <w:r>
                    <w:rPr>
                      <w:rFonts w:hint="eastAsia"/>
                      <w:color w:val="auto"/>
                      <w:highlight w:val="none"/>
                      <w:lang w:eastAsia="zh-CN"/>
                    </w:rPr>
                    <w:t>本功能负责非三同车辆新增的全流程业务数据管理：</w:t>
                  </w:r>
                </w:p>
                <w:p w14:paraId="70633EFA">
                  <w:pPr>
                    <w:ind w:firstLine="420" w:firstLineChars="200"/>
                    <w:rPr>
                      <w:rFonts w:hint="eastAsia"/>
                      <w:color w:val="auto"/>
                      <w:highlight w:val="none"/>
                      <w:lang w:eastAsia="zh-CN"/>
                    </w:rPr>
                  </w:pPr>
                  <w:r>
                    <w:rPr>
                      <w:rFonts w:hint="eastAsia"/>
                      <w:color w:val="auto"/>
                      <w:highlight w:val="none"/>
                      <w:lang w:eastAsia="zh-CN"/>
                    </w:rPr>
                    <w:t>申请发起：主体填报车辆信息、上传附件、绑定活动路段、说明申请原因及佐证材料。</w:t>
                  </w:r>
                </w:p>
                <w:p w14:paraId="14A9DC80">
                  <w:pPr>
                    <w:ind w:firstLine="420" w:firstLineChars="200"/>
                    <w:rPr>
                      <w:rFonts w:hint="eastAsia"/>
                      <w:color w:val="auto"/>
                      <w:highlight w:val="none"/>
                      <w:lang w:eastAsia="zh-CN"/>
                    </w:rPr>
                  </w:pPr>
                  <w:r>
                    <w:rPr>
                      <w:rFonts w:hint="eastAsia"/>
                      <w:color w:val="auto"/>
                      <w:highlight w:val="none"/>
                      <w:lang w:eastAsia="zh-CN"/>
                    </w:rPr>
                    <w:t>多级审核与专家评审：区交通运输局初审并征求属地意见，系统记录初审及征集结果；市交通运输局形式审查、组织专家评审，联合市级部门审批，系统存储专家意见、审批意见及最终结论。</w:t>
                  </w:r>
                </w:p>
                <w:p w14:paraId="4B97EB14">
                  <w:pPr>
                    <w:ind w:firstLine="420" w:firstLineChars="200"/>
                    <w:rPr>
                      <w:rFonts w:hint="eastAsia"/>
                      <w:color w:val="auto"/>
                      <w:highlight w:val="none"/>
                      <w:lang w:eastAsia="zh-CN"/>
                    </w:rPr>
                  </w:pPr>
                  <w:r>
                    <w:rPr>
                      <w:rFonts w:hint="eastAsia"/>
                      <w:color w:val="auto"/>
                      <w:highlight w:val="none"/>
                      <w:lang w:eastAsia="zh-CN"/>
                    </w:rPr>
                    <w:t>整改管理：审核未通过时，系统记录整改要求，支持主体整改后重新提交并更新数据。</w:t>
                  </w:r>
                </w:p>
                <w:p w14:paraId="0913B10B">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color w:val="auto"/>
                      <w:highlight w:val="none"/>
                      <w:lang w:eastAsia="zh-CN"/>
                    </w:rPr>
                    <w:t>数据生成、更新与归档：审核通过后，系统按辖区分配车辆编码、生成通知书，将车辆状态更新为“通过”并关联主体档案，同步更新车辆基础库；同时提取结构化及附件信息归档至主体车型档案，完善车型数据体系。</w:t>
                  </w:r>
                </w:p>
              </w:tc>
            </w:tr>
            <w:tr w14:paraId="1F20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4577DB7">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424F6">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C378DB7">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安全员人员调整审批</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2B2CCC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1.安全员新增申请</w:t>
                  </w:r>
                </w:p>
                <w:p w14:paraId="77A2F84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①提出申请：如因主体需要或其他原因需增加安全员的，需向市交通运输局提交申请，主体录入新增安全员的基本信息，如姓名、身份证、驾照有效期等，上传相关说明附件后，提交至后续审批；</w:t>
                  </w:r>
                </w:p>
                <w:p w14:paraId="46B4379C">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②材料初审：区交通运输局在受理后进行材料完整性和规范性初审；</w:t>
                  </w:r>
                </w:p>
                <w:p w14:paraId="4337E016">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③征求意见：区交通运输局组织区有关部门和拟新增安全员的道路或区域属地区人民政府召开审会议，进行论证并收集各参会单位评审意见；</w:t>
                  </w:r>
                </w:p>
                <w:p w14:paraId="717ABE44">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④材料形式审查：市交通运输局对材料完整性、规范性及主体的申请资质进行审查；</w:t>
                  </w:r>
                </w:p>
                <w:p w14:paraId="1DB6AC8C">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⑤联合评审：市交通运输局根据整改材料进行完整性和规范性审核，后同市公安局、市工业和信息化局和市有关部门，综合参考评审意见，得出审核意见；</w:t>
                  </w:r>
                </w:p>
                <w:p w14:paraId="2A1EFC35">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⑥整改：未通过审核，商业应用主体可根据评审意见整改，整改后向市交通运输局重新提交申请材料；</w:t>
                  </w:r>
                </w:p>
                <w:p w14:paraId="549B0E2D">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⑦核发材料：审核通过后，可新增活动的安全员，系统自动记录主体对安全员的增减。</w:t>
                  </w:r>
                </w:p>
                <w:p w14:paraId="18E683BA">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2.安全员减少申请</w:t>
                  </w:r>
                </w:p>
                <w:p w14:paraId="6E226A91">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①提出申请：如因主体需要或其他原因需减少安全员的，需向市交通运输局提交申请，主体批量选中需删减的安全员，上传相关说明附件后，提交至后续审批；</w:t>
                  </w:r>
                </w:p>
                <w:p w14:paraId="69B26BBF">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②材料初审：区交通运输局在受理后进行材料完整性和规范性初审；</w:t>
                  </w:r>
                </w:p>
                <w:p w14:paraId="117207B9">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③征求意见：区交通运输局组织区有关部门和拟减少安全员的道路或区域属地区人民政府召开审会议，进行论证并收集各参会单位评审意见；</w:t>
                  </w:r>
                </w:p>
                <w:p w14:paraId="730AB370">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④材料形式审查：市交通运输局对材料完整性、规范性及主体的申请资质进行审查；</w:t>
                  </w:r>
                </w:p>
                <w:p w14:paraId="3CA1505B">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⑤联合评审：市交通运输局根据整改材料进行完整性和规范性审核，后同市公安局、市工业和信息化局和市有关部门，综合参考评审意见，得出审核意见；</w:t>
                  </w:r>
                </w:p>
                <w:p w14:paraId="28DD2510">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⑥整改：未通过审核，商业应用主体可根据评审意见整改，整改后向市交通运输局重新提交申请材料；</w:t>
                  </w:r>
                </w:p>
                <w:p w14:paraId="1E5D8077">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⑦核发材料：审核通过后，可减少活动的安全员，系统将自动记录此操作。</w:t>
                  </w:r>
                </w:p>
              </w:tc>
            </w:tr>
            <w:tr w14:paraId="1560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BE68476">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B6D38">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4DF796F">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运行路段新增申请</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9E87D6B">
                  <w:pPr>
                    <w:ind w:firstLine="420" w:firstLineChars="200"/>
                    <w:rPr>
                      <w:rFonts w:hint="eastAsia"/>
                      <w:color w:val="auto"/>
                      <w:highlight w:val="none"/>
                      <w:lang w:eastAsia="zh-CN"/>
                    </w:rPr>
                  </w:pPr>
                  <w:r>
                    <w:rPr>
                      <w:rFonts w:hint="eastAsia"/>
                      <w:color w:val="auto"/>
                      <w:highlight w:val="none"/>
                      <w:lang w:eastAsia="zh-CN"/>
                    </w:rPr>
                    <w:t>本功能专注于测试及商业应用路段新增的全流程业务数据管理，核心操作及数据处理规范如下：</w:t>
                  </w:r>
                </w:p>
                <w:p w14:paraId="66EDEE33">
                  <w:pPr>
                    <w:ind w:firstLine="420" w:firstLineChars="200"/>
                    <w:rPr>
                      <w:rFonts w:hint="eastAsia"/>
                      <w:color w:val="auto"/>
                      <w:highlight w:val="none"/>
                      <w:lang w:eastAsia="zh-CN"/>
                    </w:rPr>
                  </w:pPr>
                  <w:r>
                    <w:rPr>
                      <w:rFonts w:hint="eastAsia"/>
                      <w:color w:val="auto"/>
                      <w:highlight w:val="none"/>
                      <w:lang w:eastAsia="zh-CN"/>
                    </w:rPr>
                    <w:t>申请发起：主体提交路段新增申请，阐述申请原因、绘制路段空间位置及走向、上传佐证材料；</w:t>
                  </w:r>
                </w:p>
                <w:p w14:paraId="37C1DADA">
                  <w:pPr>
                    <w:ind w:firstLine="420" w:firstLineChars="200"/>
                    <w:rPr>
                      <w:rFonts w:hint="eastAsia"/>
                      <w:color w:val="auto"/>
                      <w:highlight w:val="none"/>
                      <w:lang w:eastAsia="zh-CN"/>
                    </w:rPr>
                  </w:pPr>
                  <w:r>
                    <w:rPr>
                      <w:rFonts w:hint="eastAsia"/>
                      <w:color w:val="auto"/>
                      <w:highlight w:val="none"/>
                      <w:lang w:eastAsia="zh-CN"/>
                    </w:rPr>
                    <w:t>多级审核：区交通运输局对材料进行初审，并征求属地部门及政府相关意见，系统记录初审意见与意见征集情况；市交通运输局开展材料形式审查，结合区级意见组织市级部门评审，系统保存评审意见及审核结论；</w:t>
                  </w:r>
                </w:p>
                <w:p w14:paraId="7903F346">
                  <w:pPr>
                    <w:ind w:firstLine="420" w:firstLineChars="200"/>
                    <w:rPr>
                      <w:rFonts w:hint="eastAsia"/>
                      <w:color w:val="auto"/>
                      <w:highlight w:val="none"/>
                      <w:lang w:eastAsia="zh-CN"/>
                    </w:rPr>
                  </w:pPr>
                  <w:r>
                    <w:rPr>
                      <w:rFonts w:hint="eastAsia"/>
                      <w:color w:val="auto"/>
                      <w:highlight w:val="none"/>
                      <w:lang w:eastAsia="zh-CN"/>
                    </w:rPr>
                    <w:t>整改管理：审核未通过的，系统记录整改指导意见，允许主体整改完毕后重新提交申请，并更新相关申请数据；</w:t>
                  </w:r>
                </w:p>
                <w:p w14:paraId="2A5964E7">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color w:val="auto"/>
                      <w:highlight w:val="none"/>
                      <w:lang w:eastAsia="zh-CN"/>
                    </w:rPr>
                    <w:t>数据更新：审核通过后，系统将该路段状态标记为 “通过”，关联至对应主体档案，同步更新路段基础信息库，保障主体后续业务有序推进。</w:t>
                  </w:r>
                </w:p>
              </w:tc>
            </w:tr>
            <w:tr w14:paraId="2F03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1DBA37D">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8B8CE">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BB8C99F">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运行区域新增申请</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AEEFD1E">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本功能主要承担测试及商业应用区域新增的全流程数据管理工作，核心操作及数据处理机制如下：</w:t>
                  </w:r>
                </w:p>
                <w:p w14:paraId="6C4315F1">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申请发起：主体提交区域新增申请，说明新增事由、绘制区域空间范围、上传佐证材料；</w:t>
                  </w:r>
                </w:p>
                <w:p w14:paraId="783E38F6">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多级审核：区交通运输局完成材料初步审核，并征求属地相关部门及人民政府意见，系统记录初审意见与意见征集结果；市交通运输局实施材料形式审查，结合区级反馈意见组织市级部门联合评审，系统留存评审意见及最终审核结论；</w:t>
                  </w:r>
                </w:p>
                <w:p w14:paraId="512CF2B9">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整改管理：审核未通过时，系统记录整改要求，支持主体依据意见完成整改后重新提交申请，并同步更新申请数据；</w:t>
                  </w:r>
                </w:p>
                <w:p w14:paraId="3B79C8D0">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数据更新：审核通过后，系统将该区域状态更新为 “通过”，关联至对应主体档案，同步完善区域基础信息库，为主体后续业务开展提供支撑。</w:t>
                  </w:r>
                </w:p>
              </w:tc>
            </w:tr>
            <w:tr w14:paraId="188D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676801F">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11C13">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6209F1E">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运营配套资源新增审批</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8B93D7A">
                  <w:pPr>
                    <w:rPr>
                      <w:rFonts w:hint="eastAsia" w:eastAsia="宋体" w:cs="Times New Roman"/>
                      <w:color w:val="auto"/>
                      <w:highlight w:val="none"/>
                      <w:lang w:val="en-US" w:eastAsia="zh-CN"/>
                    </w:rPr>
                  </w:pPr>
                  <w:r>
                    <w:rPr>
                      <w:rFonts w:hint="eastAsia" w:eastAsia="宋体" w:cs="Times New Roman"/>
                      <w:color w:val="auto"/>
                      <w:highlight w:val="none"/>
                      <w:lang w:val="en-US" w:eastAsia="zh-CN"/>
                    </w:rPr>
                    <w:t>1.转场路段新增申请</w:t>
                  </w:r>
                </w:p>
                <w:p w14:paraId="3D3BF167">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本功能聚焦主体新增转场路段的全流程业务数据管控，核心操作及数据处理流程如下：</w:t>
                  </w:r>
                </w:p>
                <w:p w14:paraId="1F1F4F43">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申请发起：主体提交转场路段新增申请，填报申请事由、绘制路段空间走向与位置信息、上传相关佐证材料；</w:t>
                  </w:r>
                </w:p>
                <w:p w14:paraId="254EBFAB">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审核处理：市交通运输局对提交材料开展完整性、合规性审查，系统同步记录审核意见及审核状态；</w:t>
                  </w:r>
                </w:p>
                <w:p w14:paraId="69E3CB9B">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数据更新：审核通过后，系统将该转场路段状态变更为 “通过”，关联至对应主体档案，同步更新路段基础信息台账，保障主体后续相关业务顺利开展。</w:t>
                  </w:r>
                </w:p>
                <w:p w14:paraId="665FEAA4">
                  <w:pPr>
                    <w:rPr>
                      <w:rFonts w:hint="eastAsia" w:eastAsia="宋体" w:cs="Times New Roman"/>
                      <w:color w:val="auto"/>
                      <w:highlight w:val="none"/>
                      <w:lang w:val="en-US" w:eastAsia="zh-CN"/>
                    </w:rPr>
                  </w:pPr>
                  <w:r>
                    <w:rPr>
                      <w:rFonts w:hint="eastAsia" w:eastAsia="宋体" w:cs="Times New Roman"/>
                      <w:color w:val="auto"/>
                      <w:highlight w:val="none"/>
                      <w:lang w:val="en-US" w:eastAsia="zh-CN"/>
                    </w:rPr>
                    <w:t>2.停车场新增申请</w:t>
                  </w:r>
                </w:p>
                <w:p w14:paraId="51FF9590">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本功能主要负责停车场新增的全流程数据管理工作，核心操作及数据处理规范如下：</w:t>
                  </w:r>
                </w:p>
                <w:p w14:paraId="0BC54485">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申请发起：主体提交停车场新增申请，说明申请事由、精准标注停车场地理位置、上传佐证材料；</w:t>
                  </w:r>
                </w:p>
                <w:p w14:paraId="0E611782">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审核处理：市交通运输局对提交材料进行完整性、规范性审查，系统记录审核意见及审核状态；</w:t>
                  </w:r>
                </w:p>
                <w:p w14:paraId="236233A5">
                  <w:pPr>
                    <w:ind w:firstLine="42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数据更新：审核通过后，系统将该停车场状态变更为 “通过”，关联至对应主体档案，同步更新停车场基础信息库，保障主体后续相关业务正常开展。</w:t>
                  </w:r>
                </w:p>
              </w:tc>
            </w:tr>
            <w:tr w14:paraId="6DC5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F6DE426">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36</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87105A">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行业监管</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FA1D0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运营违规管理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CCC3AFB">
                  <w:pPr>
                    <w:ind w:firstLine="420" w:firstLineChars="200"/>
                    <w:rPr>
                      <w:rFonts w:hint="eastAsia"/>
                      <w:color w:val="auto"/>
                      <w:highlight w:val="none"/>
                      <w:lang w:val="en-US" w:eastAsia="zh-CN"/>
                    </w:rPr>
                  </w:pPr>
                  <w:r>
                    <w:rPr>
                      <w:rFonts w:hint="eastAsia"/>
                      <w:color w:val="auto"/>
                      <w:highlight w:val="none"/>
                      <w:lang w:val="en-US" w:eastAsia="zh-CN"/>
                    </w:rPr>
                    <w:t>监管部门在日常巡查或通过系统监测发现道路测试或商业应用主体存在违规行为时，启动违规登记整改流程。​</w:t>
                  </w:r>
                </w:p>
                <w:p w14:paraId="062601D5">
                  <w:pPr>
                    <w:ind w:firstLine="420" w:firstLineChars="200"/>
                    <w:rPr>
                      <w:rFonts w:hint="eastAsia"/>
                      <w:color w:val="auto"/>
                      <w:highlight w:val="none"/>
                      <w:lang w:val="en-US" w:eastAsia="zh-CN"/>
                    </w:rPr>
                  </w:pPr>
                  <w:r>
                    <w:rPr>
                      <w:rFonts w:hint="eastAsia"/>
                      <w:color w:val="auto"/>
                      <w:highlight w:val="none"/>
                      <w:lang w:val="en-US" w:eastAsia="zh-CN"/>
                    </w:rPr>
                    <w:t>首先，监管人员需在系统中登记违规信息，包括违规主体名称、对应的许可编号、违规行为描述、违规发生时间及地点、相关证据等，明确违规类型及违反的具体规定。登记完成后，系统推送至违规主体，载明整改要求、整改期限及未按期整改的后果。​</w:t>
                  </w:r>
                </w:p>
                <w:p w14:paraId="27F665EA">
                  <w:pPr>
                    <w:ind w:firstLine="420" w:firstLineChars="200"/>
                    <w:rPr>
                      <w:rFonts w:hint="default"/>
                      <w:color w:val="auto"/>
                      <w:highlight w:val="none"/>
                      <w:lang w:val="en-US" w:eastAsia="zh-CN"/>
                    </w:rPr>
                  </w:pPr>
                  <w:r>
                    <w:rPr>
                      <w:rFonts w:hint="eastAsia"/>
                      <w:color w:val="auto"/>
                      <w:highlight w:val="none"/>
                      <w:lang w:val="en-US" w:eastAsia="zh-CN"/>
                    </w:rPr>
                    <w:t>违规主体收到通知后，需在规定期限内完成整改，并在系统中提交整改报告，说明整改措施、整改结果及预防措施。监管部门对整改报告及相关佐证材料进行审核，若确认整改到位，系统标记该违规记录为 “已整改”，闭环管理流程；若整改未达标，系统发出二次整改通知，必要时可暂停相关活动许可，直至整改合格。</w:t>
                  </w:r>
                </w:p>
                <w:p w14:paraId="14CB3AD3">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 xml:space="preserve">   </w:t>
                  </w:r>
                  <w:r>
                    <w:rPr>
                      <w:rFonts w:hint="default"/>
                      <w:color w:val="auto"/>
                      <w:highlight w:val="none"/>
                      <w:lang w:val="en-US" w:eastAsia="zh-CN"/>
                    </w:rPr>
                    <w:t>所有违规登记、整改及处理信息均纳入统一台账，支持按违规主体、违规类型、处理状态等条件查询，系统自动记录各环节操作日志，确保处理过程的透明可追溯</w:t>
                  </w:r>
                  <w:r>
                    <w:rPr>
                      <w:rFonts w:hint="eastAsia"/>
                      <w:color w:val="auto"/>
                      <w:highlight w:val="none"/>
                      <w:lang w:val="en-US" w:eastAsia="zh-CN"/>
                    </w:rPr>
                    <w:t>。</w:t>
                  </w:r>
                </w:p>
              </w:tc>
            </w:tr>
            <w:tr w14:paraId="326E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ECB1C14">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DFAFB">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2948B59">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交通违章管理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F075326">
                  <w:pPr>
                    <w:ind w:firstLine="420" w:firstLineChars="200"/>
                    <w:rPr>
                      <w:rFonts w:hint="eastAsia"/>
                      <w:color w:val="auto"/>
                      <w:highlight w:val="none"/>
                      <w:lang w:val="en-US" w:eastAsia="zh-CN"/>
                    </w:rPr>
                  </w:pPr>
                  <w:r>
                    <w:rPr>
                      <w:rFonts w:hint="eastAsia"/>
                      <w:color w:val="auto"/>
                      <w:highlight w:val="none"/>
                      <w:lang w:val="en-US" w:eastAsia="zh-CN"/>
                    </w:rPr>
                    <w:t>行业监管模块下的交通违法功能，针对道路测试及商业应用活动中涉及的交通违法，建立标准化的处理流程，实现从信息采集、责任认定到后续处置的全流程管理，保障交通秩序与各方权益。</w:t>
                  </w:r>
                </w:p>
                <w:p w14:paraId="5EBB1F4F">
                  <w:pPr>
                    <w:ind w:firstLine="420" w:firstLineChars="200"/>
                    <w:rPr>
                      <w:rFonts w:hint="eastAsia"/>
                      <w:color w:val="auto"/>
                      <w:highlight w:val="none"/>
                      <w:lang w:val="en-US" w:eastAsia="zh-CN"/>
                    </w:rPr>
                  </w:pPr>
                  <w:r>
                    <w:rPr>
                      <w:rFonts w:hint="eastAsia"/>
                      <w:color w:val="auto"/>
                      <w:highlight w:val="none"/>
                      <w:lang w:val="en-US" w:eastAsia="zh-CN"/>
                    </w:rPr>
                    <w:t>当道路测试车辆或商业应用车辆发生交通违法行为时，由监管人员手动录入违法详情，启动交通违章管理程序。​</w:t>
                  </w:r>
                </w:p>
                <w:p w14:paraId="44BE215D">
                  <w:pPr>
                    <w:ind w:firstLine="420" w:firstLineChars="200"/>
                    <w:rPr>
                      <w:rFonts w:hint="eastAsia"/>
                      <w:color w:val="auto"/>
                      <w:highlight w:val="none"/>
                      <w:lang w:val="en-US" w:eastAsia="zh-CN"/>
                    </w:rPr>
                  </w:pPr>
                  <w:r>
                    <w:rPr>
                      <w:rFonts w:hint="eastAsia"/>
                      <w:color w:val="auto"/>
                      <w:highlight w:val="none"/>
                      <w:lang w:val="en-US" w:eastAsia="zh-CN"/>
                    </w:rPr>
                    <w:t>录入的违法信息包括违法主体、涉事车辆编号、违法时间、地点、具体违法情形、对应的交通法规条款及相关证据。系统推送违法信息至违法主体，明确违法事实、处罚依据及处理期限。​</w:t>
                  </w:r>
                </w:p>
                <w:p w14:paraId="00EEA58A">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监管部门根据交通管理部门的处罚决定，在系统中记录处理结果，若违法情节严重，将同步影响主体的信用评级及后续许可审批。处理完成后，系统将违法记录归档至主体的违法台账，支持按时间、违法类型等条件查询。</w:t>
                  </w:r>
                </w:p>
              </w:tc>
            </w:tr>
            <w:tr w14:paraId="59B4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34C2923">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6E29B">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57F2A99">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交通事故处理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E58FB19">
                  <w:pPr>
                    <w:ind w:firstLine="420" w:firstLineChars="200"/>
                    <w:rPr>
                      <w:rFonts w:hint="eastAsia"/>
                      <w:color w:val="auto"/>
                      <w:highlight w:val="none"/>
                      <w:lang w:val="en-US" w:eastAsia="zh-CN"/>
                    </w:rPr>
                  </w:pPr>
                  <w:r>
                    <w:rPr>
                      <w:rFonts w:hint="eastAsia"/>
                      <w:color w:val="auto"/>
                      <w:highlight w:val="none"/>
                      <w:lang w:val="en-US" w:eastAsia="zh-CN"/>
                    </w:rPr>
                    <w:t>针对道路测试及商业应用活动中涉及的事故，建立标准化的处理流程，实现从信息采集、责任认定到后续处置的全流程管理，保障交通秩序与各方权益。</w:t>
                  </w:r>
                </w:p>
                <w:p w14:paraId="7D28DFA5">
                  <w:pPr>
                    <w:ind w:firstLine="420" w:firstLineChars="200"/>
                    <w:rPr>
                      <w:rFonts w:hint="eastAsia"/>
                      <w:color w:val="auto"/>
                      <w:highlight w:val="none"/>
                      <w:lang w:val="en-US" w:eastAsia="zh-CN"/>
                    </w:rPr>
                  </w:pPr>
                  <w:r>
                    <w:rPr>
                      <w:rFonts w:hint="eastAsia"/>
                      <w:color w:val="auto"/>
                      <w:highlight w:val="none"/>
                      <w:lang w:val="en-US" w:eastAsia="zh-CN"/>
                    </w:rPr>
                    <w:t>道路测试或商业应用过程中发生交通事故时，相关主体需立即通过系统上报事故信息，或由监管人员接报后录入系统上报或录入的事故信息需包含事故发生时间、地点、涉事车辆信息、事故简要经过、人员伤亡情况、财产损失预估、现场照片或视频等证据材料。​</w:t>
                  </w:r>
                </w:p>
                <w:p w14:paraId="7D115975">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事故处理完成后，系统登记形成完整的事故档案，包含事故全貌、处理过程及结果，纳入主体信用档案，作为许可续期、资质评估的重要依据。</w:t>
                  </w:r>
                </w:p>
              </w:tc>
            </w:tr>
            <w:tr w14:paraId="4F42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F48BFF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39</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BCA15">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个人工作台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228A56C">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办事大厅</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C631598">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default"/>
                      <w:color w:val="auto"/>
                      <w:highlight w:val="none"/>
                      <w:lang w:val="en-US" w:eastAsia="zh-CN"/>
                    </w:rPr>
                    <w:t>办事大厅是用户快速开启业务办理的便捷入口。这里汇聚了系统内所有可发起的业务事项，用户无需在复杂的菜单层级中逐一查找，只需通过办事大厅的分类导航或搜索功能，就能直接定位目标业务并发起申请。</w:t>
                  </w:r>
                </w:p>
              </w:tc>
            </w:tr>
            <w:tr w14:paraId="4ED0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535FC9D">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D43C9">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8CD07B">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案件中心</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2B550F5">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default"/>
                      <w:color w:val="auto"/>
                      <w:highlight w:val="none"/>
                      <w:lang w:val="en-US" w:eastAsia="zh-CN"/>
                    </w:rPr>
                    <w:t>案件中心则为用户构建了完整的业务档案库，涵盖了用户自身参与申请、审批的所有案件清单及详细信息。无论是已办结的历史案件，还是正在处理的当前案件，用户都能在案件中心按照时间、业务类型等维度进行筛选查询。对于每个案件，系统会完整记录从申请发起、各环节审批意见到最终结果的全流程信息，用户可随时查阅案件的办理轨迹、相关附件及审批详情，为业务复盘、资料留存等需求提供可靠的信息支持，实现对自身参与业务的全程追溯与管理。</w:t>
                  </w:r>
                </w:p>
              </w:tc>
            </w:tr>
            <w:tr w14:paraId="4E0F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9490B05">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963C9">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01A5731">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待办中心</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538A964">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待办中心集中管理用户的所有待办事项，能够根据用户当前参与的流程自动生成相应的待办任务。同时，系统依据流程的推进状态，智能地将对应的待办事项自动流转至案件中心，实现任务的高效衔接与闭环管理。</w:t>
                  </w:r>
                </w:p>
                <w:p w14:paraId="4E1899D8">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用户可通过待办中心便捷地查阅各项待办事项，并支持查看该事项的申请人、经办人以及流程各环节进展信息等详细信息，全面掌握事项处理进展与参与角色，助力高效协同与决策。</w:t>
                  </w:r>
                </w:p>
              </w:tc>
            </w:tr>
            <w:tr w14:paraId="7A13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67624E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47562">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B0BD0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草稿箱</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054F1FD">
                  <w:pPr>
                    <w:ind w:firstLine="420" w:firstLineChars="200"/>
                    <w:rPr>
                      <w:rFonts w:hint="default" w:ascii="Times New Roman" w:hAnsi="Times New Roman" w:cs="Times New Roman"/>
                      <w:color w:val="auto"/>
                      <w:kern w:val="2"/>
                      <w:szCs w:val="22"/>
                      <w:highlight w:val="none"/>
                      <w:lang w:val="en-US" w:eastAsia="zh-CN" w:bidi="ar-SA"/>
                    </w:rPr>
                  </w:pPr>
                  <w:r>
                    <w:rPr>
                      <w:rFonts w:hint="default" w:ascii="Times New Roman" w:hAnsi="Times New Roman" w:cs="Times New Roman"/>
                      <w:color w:val="auto"/>
                      <w:kern w:val="2"/>
                      <w:szCs w:val="22"/>
                      <w:highlight w:val="none"/>
                      <w:lang w:val="en-US" w:eastAsia="zh-CN" w:bidi="ar-SA"/>
                    </w:rPr>
                    <w:t>草稿箱用于持久化管理用户在填写复杂、耗时较长表单（如道路测试申请表等）过程中产生的未完成数据。当业务流程涉及多字段、多步骤且填写周期较长的表单时，用户在填写过程中若因任何原因需中途离开，系统会自动将用户为填写完成的表单</w:t>
                  </w:r>
                  <w:r>
                    <w:rPr>
                      <w:rFonts w:hint="eastAsia" w:ascii="Times New Roman" w:hAnsi="Times New Roman" w:cs="Times New Roman"/>
                      <w:color w:val="auto"/>
                      <w:kern w:val="2"/>
                      <w:szCs w:val="22"/>
                      <w:highlight w:val="none"/>
                      <w:lang w:val="en-US" w:eastAsia="zh-CN" w:bidi="ar-SA"/>
                    </w:rPr>
                    <w:t>暂</w:t>
                  </w:r>
                  <w:r>
                    <w:rPr>
                      <w:rFonts w:hint="default" w:ascii="Times New Roman" w:hAnsi="Times New Roman" w:cs="Times New Roman"/>
                      <w:color w:val="auto"/>
                      <w:kern w:val="2"/>
                      <w:szCs w:val="22"/>
                      <w:highlight w:val="none"/>
                      <w:lang w:val="en-US" w:eastAsia="zh-CN" w:bidi="ar-SA"/>
                    </w:rPr>
                    <w:t>存，并将该表单的当前填写状态及数据作为一条独立的草稿记录，写入草稿箱模块中进行结构化存储。</w:t>
                  </w:r>
                </w:p>
                <w:p w14:paraId="420BC9E6">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default" w:ascii="Times New Roman" w:hAnsi="Times New Roman" w:cs="Times New Roman"/>
                      <w:color w:val="auto"/>
                      <w:kern w:val="2"/>
                      <w:szCs w:val="22"/>
                      <w:highlight w:val="none"/>
                      <w:lang w:val="en-US" w:eastAsia="zh-CN" w:bidi="ar-SA"/>
                    </w:rPr>
                    <w:t>每条草稿记录由系统自动关联所属表单类型、填写人、创建时间、最后修改时间及表单数据快照等关键属性，用户可通过草稿箱查询并打开历史草稿，从对应草稿的中断处接续填写，提升流程连续性和操作效率。</w:t>
                  </w:r>
                </w:p>
              </w:tc>
            </w:tr>
            <w:tr w14:paraId="042F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9ACE12A">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43</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FA31E2">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安全监测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DA9ECC7">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路权开放</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AA553D8">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1.道路测试开放路段</w:t>
                  </w:r>
                </w:p>
                <w:p w14:paraId="60DFEC85">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道路测试开放路段全面统计各区域的测试道路的数量，精确计算各路段的总公里数，并通过实时更新和审核确保数据可靠。</w:t>
                  </w:r>
                </w:p>
                <w:p w14:paraId="0ECD7812">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用户透过该功能即可全面了解当前可用于各类测试的道路资源状况。</w:t>
                  </w:r>
                </w:p>
                <w:p w14:paraId="582D82B7">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2.商业应用开放路段</w:t>
                  </w:r>
                </w:p>
                <w:p w14:paraId="4EAD8E2D">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商业应用开放路段全面统计各区域的商业应用道路的数量，精确计算各路段的总公里数，并通过实时更新和审核确保数据可靠。</w:t>
                  </w:r>
                </w:p>
                <w:p w14:paraId="015E6D1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用户透过该功能即可全面了解当前可用于商业应用的道路资源状况。</w:t>
                  </w:r>
                </w:p>
              </w:tc>
            </w:tr>
            <w:tr w14:paraId="1290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DA259FF">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277B6">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4036DDF">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主体监管</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507FEDA">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 企业规模</w:t>
                  </w:r>
                </w:p>
                <w:p w14:paraId="3B64DB4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统计市内无人车运营企业规模，包括各区无人车数量、各企业车辆数、安全员数量及配比率。</w:t>
                  </w:r>
                </w:p>
                <w:p w14:paraId="263E1822">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各区车辆总数：按行政区统计各企业投入的无人车总数，以图表展示。</w:t>
                  </w:r>
                </w:p>
                <w:p w14:paraId="7A7EDD9F">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企业车辆总数：按企业统计其运营的无人车总数，以图表展示。</w:t>
                  </w:r>
                </w:p>
                <w:p w14:paraId="1E11C9D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安全员数量及配比率：按企业统计安全员总数及每辆车配备的安全员数，以图表展示。</w:t>
                  </w:r>
                </w:p>
                <w:p w14:paraId="786CB62A">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用户可全面了解企业运营与安全保障情况，提升监管效率。</w:t>
                  </w:r>
                </w:p>
                <w:p w14:paraId="1444D43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 运营情况</w:t>
                  </w:r>
                </w:p>
                <w:p w14:paraId="2EA558C7">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包括行驶里程与行驶时长统计，用于评估车辆活跃度、运营规模及效率。</w:t>
                  </w:r>
                </w:p>
                <w:p w14:paraId="64B46BBB">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行驶里程：系统每日采集自动驾驶里程，汇总每辆车日里程，支持按车辆编号、主体历史查询，为运营评估提供数据支撑。</w:t>
                  </w:r>
                </w:p>
                <w:p w14:paraId="23A4D060">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行驶时长：系统每日采集自动驾驶时长，汇总每辆车日时长，支持按车辆编号、主体历史查询，保障运营安全与效益。</w:t>
                  </w:r>
                </w:p>
                <w:p w14:paraId="21A67873">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 违规违章</w:t>
                  </w:r>
                </w:p>
                <w:p w14:paraId="12D83947">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展现不同主体各年份的违章长期趋势，辅助分析监管政策、技术升级的影响。系统自动采集上报违章数据，统计周期内违章次数、类型，以时间维度展示各主体年度违章分布。用户可快速识别趋势，评估政策效果，发现安全隐患主体。</w:t>
                  </w:r>
                </w:p>
                <w:p w14:paraId="14358E8D">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4. 交通事故</w:t>
                  </w:r>
                </w:p>
                <w:p w14:paraId="36DE2BC7">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展现不同主体各年份的交通事故长期趋势，评估安全技术与管理措施有效性。系统自动采集上报事故，统计各主体周期内事故次数，以时间维度展示年度事故率分布。用户可快速锁定高事故率主体，排查管理漏洞，督促整改，保障安全运营。</w:t>
                  </w:r>
                </w:p>
              </w:tc>
            </w:tr>
            <w:tr w14:paraId="5238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A1BC1A2">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FD512">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1707FB8">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资质与合规监测</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50B04F7">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 安全员资质监测</w:t>
                  </w:r>
                </w:p>
                <w:p w14:paraId="33C97D2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系统根据录入的驾驶证信息定期校验有效期，临近过期时推送提醒；若驾驶证已过期，立即触发预警并标记相关安全员及车辆，确保安全员持有效驾驶证参与运营，筑牢安全底线。</w:t>
                  </w:r>
                </w:p>
                <w:p w14:paraId="790907F5">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 主体车辆合规监测</w:t>
                  </w:r>
                </w:p>
                <w:p w14:paraId="006AA99D">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系统记录车辆年检有效期及结果，定期检查并在临近过期时提醒；若车辆未按时年检或年检不合格仍上路，触发预警并关联车辆与运营主体信息。运营主体可自动管理年检周期避免违规；监管人员通过预警精准查处未年检行为，督促整改，从硬件层面保障运营安全。</w:t>
                  </w:r>
                </w:p>
              </w:tc>
            </w:tr>
            <w:tr w14:paraId="48F4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9EA3780">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A66F">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CCAD00E">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车辆动态指标监测</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74867BC">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车辆指标监测包括上线率、在线率、点位漂移率及实时轨迹完整率等统计，保障无人车运营安全。</w:t>
                  </w:r>
                </w:p>
                <w:p w14:paraId="194F2E9F">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车辆上线率：系统实时收集终端信号，计算上线车辆占比，对低上线率企业发出警告并排查问题。</w:t>
                  </w:r>
                </w:p>
                <w:p w14:paraId="68AB1D16">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车辆在线率：系统实时接收车辆上报信息，计算在线车辆占比，及时发现低在线率企业并排查问题。</w:t>
                  </w:r>
                </w:p>
                <w:p w14:paraId="7068EE6D">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点位漂移率：系统根据GPS信号与实际坐标，计算地图与实际位置的偏移，及时发现定位问题车辆，防止定位不准导致的安全风险。</w:t>
                  </w:r>
                </w:p>
                <w:p w14:paraId="713D5448">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实时轨迹完整率：通过计算实时轨迹路径距离，判断是否存在轨迹过短、过长或不连续情况，确保数据合理性与实时性，为监管提供数据支撑。</w:t>
                  </w:r>
                </w:p>
              </w:tc>
            </w:tr>
            <w:tr w14:paraId="529C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40E84B4">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6395E">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94A6A5E">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车辆运行路线监测</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D8437E0">
                  <w:pPr>
                    <w:ind w:firstLine="420" w:firstLineChars="200"/>
                    <w:rPr>
                      <w:rFonts w:hint="eastAsia"/>
                      <w:color w:val="auto"/>
                      <w:highlight w:val="none"/>
                      <w:lang w:eastAsia="zh-CN"/>
                    </w:rPr>
                  </w:pPr>
                  <w:r>
                    <w:rPr>
                      <w:rFonts w:hint="eastAsia"/>
                      <w:color w:val="auto"/>
                      <w:highlight w:val="none"/>
                      <w:lang w:eastAsia="zh-CN"/>
                    </w:rPr>
                    <w:t>车辆运行路线监测功能量化计算无人车实际轨迹与核定路线的偏离程度，持续监测并统计分析。系统基于轨迹数据按采样周期生成车辆偏移率记录数据集。</w:t>
                  </w:r>
                </w:p>
                <w:p w14:paraId="03EA1783">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eastAsia="zh-CN"/>
                    </w:rPr>
                    <w:t>监管人员可按主体、时间、车辆等维度筛选、排序、汇总，快速识别频繁或严重偏离的车辆，为运营评估、系统改进及风险预警提供依据。</w:t>
                  </w:r>
                </w:p>
              </w:tc>
            </w:tr>
            <w:tr w14:paraId="1058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9349DEA">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C468B">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C06EC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车辆运行区域监测</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1255F1D">
                  <w:pPr>
                    <w:ind w:firstLine="420" w:firstLineChars="200"/>
                    <w:rPr>
                      <w:rFonts w:hint="eastAsia"/>
                      <w:color w:val="auto"/>
                      <w:highlight w:val="none"/>
                      <w:lang w:val="en-US" w:eastAsia="zh-CN"/>
                    </w:rPr>
                  </w:pPr>
                  <w:r>
                    <w:rPr>
                      <w:rFonts w:hint="eastAsia"/>
                      <w:color w:val="auto"/>
                      <w:highlight w:val="none"/>
                      <w:lang w:val="en-US" w:eastAsia="zh-CN"/>
                    </w:rPr>
                    <w:t>运行区域监测功能实时采集并持续监测预设区域（如测试区域、商业应用区域）内的车辆，一旦车辆驶出区域，系统自动记录车辆编码、所属主体、驶出时间等关键信息，形成可追溯的异常记录。</w:t>
                  </w:r>
                </w:p>
                <w:p w14:paraId="092E85E4">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监管人员可按主体、时间、车辆等维度查看异常信息，保障无人车安全运行。</w:t>
                  </w:r>
                </w:p>
              </w:tc>
            </w:tr>
            <w:tr w14:paraId="6FD5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30C0C76">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49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89F60">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0B0743C">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车辆运行时段监测</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1A2BD09">
                  <w:pPr>
                    <w:ind w:firstLine="420" w:firstLineChars="200"/>
                    <w:rPr>
                      <w:rFonts w:hint="eastAsia"/>
                      <w:color w:val="auto"/>
                      <w:highlight w:val="none"/>
                      <w:lang w:val="en-US" w:eastAsia="zh-CN"/>
                    </w:rPr>
                  </w:pPr>
                  <w:r>
                    <w:rPr>
                      <w:rFonts w:hint="eastAsia"/>
                      <w:color w:val="auto"/>
                      <w:highlight w:val="none"/>
                    </w:rPr>
                    <w:t>车辆</w:t>
                  </w:r>
                  <w:r>
                    <w:rPr>
                      <w:rFonts w:hint="eastAsia"/>
                      <w:color w:val="auto"/>
                      <w:highlight w:val="none"/>
                      <w:lang w:val="en-US" w:eastAsia="zh-CN"/>
                    </w:rPr>
                    <w:t>运行</w:t>
                  </w:r>
                  <w:r>
                    <w:rPr>
                      <w:rFonts w:hint="eastAsia"/>
                      <w:color w:val="auto"/>
                      <w:highlight w:val="none"/>
                    </w:rPr>
                    <w:t>时段监测功能用于对无人车的实际行驶时段与允许行驶时段进行比对，识别并记录超出规定时间范围的违规行为。基于车辆轨迹时间点数据与预先配置的时段规则数据</w:t>
                  </w:r>
                  <w:r>
                    <w:rPr>
                      <w:rFonts w:hint="eastAsia"/>
                      <w:color w:val="auto"/>
                      <w:highlight w:val="none"/>
                      <w:lang w:eastAsia="zh-CN"/>
                    </w:rPr>
                    <w:t>（</w:t>
                  </w:r>
                  <w:r>
                    <w:rPr>
                      <w:rFonts w:hint="eastAsia"/>
                      <w:color w:val="auto"/>
                      <w:highlight w:val="none"/>
                      <w:lang w:val="en-US" w:eastAsia="zh-CN"/>
                    </w:rPr>
                    <w:t>由主体填报信息时提供</w:t>
                  </w:r>
                  <w:r>
                    <w:rPr>
                      <w:rFonts w:hint="eastAsia"/>
                      <w:color w:val="auto"/>
                      <w:highlight w:val="none"/>
                      <w:lang w:eastAsia="zh-CN"/>
                    </w:rPr>
                    <w:t>），</w:t>
                  </w:r>
                  <w:r>
                    <w:rPr>
                      <w:rFonts w:hint="eastAsia"/>
                      <w:color w:val="auto"/>
                      <w:highlight w:val="none"/>
                    </w:rPr>
                    <w:t>进行</w:t>
                  </w:r>
                  <w:r>
                    <w:rPr>
                      <w:rFonts w:hint="eastAsia"/>
                      <w:color w:val="auto"/>
                      <w:highlight w:val="none"/>
                      <w:lang w:val="en-US" w:eastAsia="zh-CN"/>
                    </w:rPr>
                    <w:t>对比</w:t>
                  </w:r>
                  <w:r>
                    <w:rPr>
                      <w:rFonts w:hint="eastAsia"/>
                      <w:color w:val="auto"/>
                      <w:highlight w:val="none"/>
                    </w:rPr>
                    <w:t>检测</w:t>
                  </w:r>
                  <w:r>
                    <w:rPr>
                      <w:rFonts w:hint="eastAsia"/>
                      <w:color w:val="auto"/>
                      <w:highlight w:val="none"/>
                      <w:lang w:eastAsia="zh-CN"/>
                    </w:rPr>
                    <w:t>，</w:t>
                  </w:r>
                  <w:r>
                    <w:rPr>
                      <w:rFonts w:hint="eastAsia"/>
                      <w:color w:val="auto"/>
                      <w:highlight w:val="none"/>
                      <w:lang w:val="en-US" w:eastAsia="zh-CN"/>
                    </w:rPr>
                    <w:t>将超出规定时间的数据记录并保存。</w:t>
                  </w:r>
                </w:p>
                <w:p w14:paraId="1E068B94">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监管人员可通过该功能，根据主体、时间、车辆等维度进行筛选、排序、汇总等操作，</w:t>
                  </w:r>
                  <w:r>
                    <w:rPr>
                      <w:rFonts w:hint="eastAsia"/>
                      <w:color w:val="auto"/>
                      <w:highlight w:val="none"/>
                    </w:rPr>
                    <w:t>实时掌握车辆是否存在非允许时段行驶情况，定位违规时段与具体行程</w:t>
                  </w:r>
                  <w:r>
                    <w:rPr>
                      <w:rFonts w:hint="eastAsia"/>
                      <w:color w:val="auto"/>
                      <w:highlight w:val="none"/>
                      <w:lang w:eastAsia="zh-CN"/>
                    </w:rPr>
                    <w:t>，</w:t>
                  </w:r>
                  <w:r>
                    <w:rPr>
                      <w:rFonts w:hint="eastAsia"/>
                      <w:color w:val="auto"/>
                      <w:highlight w:val="none"/>
                    </w:rPr>
                    <w:t>支撑运营时间合规性监管</w:t>
                  </w:r>
                  <w:r>
                    <w:rPr>
                      <w:rFonts w:hint="eastAsia"/>
                      <w:color w:val="auto"/>
                      <w:highlight w:val="none"/>
                      <w:lang w:val="en-US" w:eastAsia="zh-CN"/>
                    </w:rPr>
                    <w:t>。</w:t>
                  </w:r>
                </w:p>
              </w:tc>
            </w:tr>
            <w:tr w14:paraId="0221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D1C9197">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39E14">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视频监控</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9AEBC35">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第三方视频平台管理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491B1038">
                  <w:pPr>
                    <w:ind w:firstLine="420" w:firstLineChars="200"/>
                    <w:rPr>
                      <w:rFonts w:hint="eastAsia"/>
                      <w:color w:val="auto"/>
                      <w:highlight w:val="none"/>
                    </w:rPr>
                  </w:pPr>
                  <w:r>
                    <w:rPr>
                      <w:rFonts w:hint="eastAsia"/>
                      <w:color w:val="auto"/>
                      <w:highlight w:val="none"/>
                    </w:rPr>
                    <w:t>第三方视频平台管理功能统一采集、登记、维护并管理对接的多家运营企业视频平台连接信息。用户可配置平台名称、访问地址、协议类型（如HTTP/HTTPS、RTSP、GB/T28181）、鉴权方式及账号密钥等，系统经合法性校验与标准化后生成连接数据集。</w:t>
                  </w:r>
                </w:p>
                <w:p w14:paraId="332EDA3E">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rPr>
                    <w:t>监管人员可集中管理配置，实时监控平台可用性与健康状态，快速定位失效连接，保障视频链路稳定安全。</w:t>
                  </w:r>
                </w:p>
              </w:tc>
            </w:tr>
            <w:tr w14:paraId="50AF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C68DB9E">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DE84">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831CECB">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视频终端管理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506466D0">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default"/>
                      <w:color w:val="auto"/>
                      <w:highlight w:val="none"/>
                      <w:lang w:val="en-US" w:eastAsia="zh-CN"/>
                    </w:rPr>
                    <w:t>支持符合 GB/T 28181 协议的摄像头、NVR 等设备</w:t>
                  </w:r>
                  <w:r>
                    <w:rPr>
                      <w:rFonts w:hint="eastAsia"/>
                      <w:color w:val="auto"/>
                      <w:highlight w:val="none"/>
                      <w:lang w:val="en-US" w:eastAsia="zh-CN"/>
                    </w:rPr>
                    <w:t>的</w:t>
                  </w:r>
                  <w:r>
                    <w:rPr>
                      <w:rFonts w:hint="default"/>
                      <w:color w:val="auto"/>
                      <w:highlight w:val="none"/>
                      <w:lang w:val="en-US" w:eastAsia="zh-CN"/>
                    </w:rPr>
                    <w:t>注册、认证和级联（上下级平台对接），兼容主流品牌硬件。提供设备状态实时监控（如在线/掉线检测）并触发异常告警</w:t>
                  </w:r>
                  <w:r>
                    <w:rPr>
                      <w:rFonts w:hint="eastAsia"/>
                      <w:color w:val="auto"/>
                      <w:highlight w:val="none"/>
                      <w:lang w:val="en-US" w:eastAsia="zh-CN"/>
                    </w:rPr>
                    <w:t>，支持设备分组管理与树形虚拟目录结构化组织，结合精细化权限分级体系（按角色分配管理/查看权限），满足规模化设备的分层管控需求。</w:t>
                  </w:r>
                </w:p>
              </w:tc>
            </w:tr>
            <w:tr w14:paraId="29BE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C824CAD">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E2E84">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C5570A3">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视频流配置信息管理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BE66F6A">
                  <w:pPr>
                    <w:ind w:firstLine="560"/>
                    <w:rPr>
                      <w:rFonts w:hint="eastAsia"/>
                      <w:color w:val="auto"/>
                      <w:highlight w:val="none"/>
                    </w:rPr>
                  </w:pPr>
                  <w:r>
                    <w:rPr>
                      <w:rFonts w:hint="eastAsia"/>
                      <w:color w:val="auto"/>
                      <w:highlight w:val="none"/>
                    </w:rPr>
                    <w:t>视频流配置信息管理功能用于</w:t>
                  </w:r>
                  <w:r>
                    <w:rPr>
                      <w:rFonts w:hint="eastAsia"/>
                      <w:color w:val="auto"/>
                      <w:highlight w:val="none"/>
                      <w:lang w:val="en-US" w:eastAsia="zh-CN"/>
                    </w:rPr>
                    <w:t>对</w:t>
                  </w:r>
                  <w:r>
                    <w:rPr>
                      <w:rFonts w:hint="eastAsia"/>
                      <w:color w:val="auto"/>
                      <w:highlight w:val="none"/>
                    </w:rPr>
                    <w:t>每辆无人车所搭载的视频终端在播放视频流时所必需的配置参数进行统一采集、登记、维护与版本管理</w:t>
                  </w:r>
                  <w:r>
                    <w:rPr>
                      <w:rFonts w:hint="eastAsia"/>
                      <w:color w:val="auto"/>
                      <w:highlight w:val="none"/>
                      <w:lang w:eastAsia="zh-CN"/>
                    </w:rPr>
                    <w:t>。</w:t>
                  </w:r>
                  <w:r>
                    <w:rPr>
                      <w:rFonts w:hint="eastAsia"/>
                      <w:color w:val="auto"/>
                      <w:highlight w:val="none"/>
                      <w:lang w:val="en-US" w:eastAsia="zh-CN"/>
                    </w:rPr>
                    <w:t>用户可使用该功能，</w:t>
                  </w:r>
                  <w:r>
                    <w:rPr>
                      <w:rFonts w:hint="eastAsia"/>
                      <w:color w:val="auto"/>
                      <w:highlight w:val="none"/>
                    </w:rPr>
                    <w:t>为每辆车或其视频通道配置播放所需的信息，包括但不限于</w:t>
                  </w:r>
                  <w:r>
                    <w:rPr>
                      <w:rFonts w:hint="eastAsia"/>
                      <w:color w:val="auto"/>
                      <w:highlight w:val="none"/>
                      <w:lang w:val="en-US" w:eastAsia="zh-CN"/>
                    </w:rPr>
                    <w:t>车辆编号、运营主体、</w:t>
                  </w:r>
                  <w:r>
                    <w:rPr>
                      <w:rFonts w:hint="eastAsia"/>
                      <w:color w:val="auto"/>
                      <w:highlight w:val="none"/>
                    </w:rPr>
                    <w:t>视频流地址、传输协议类型、解码格式、分辨率</w:t>
                  </w:r>
                  <w:r>
                    <w:rPr>
                      <w:rFonts w:hint="eastAsia"/>
                      <w:color w:val="auto"/>
                      <w:highlight w:val="none"/>
                      <w:lang w:val="en-US" w:eastAsia="zh-CN"/>
                    </w:rPr>
                    <w:t>等关键信息，系统会根据配置信息，</w:t>
                  </w:r>
                  <w:r>
                    <w:rPr>
                      <w:rFonts w:hint="eastAsia"/>
                      <w:color w:val="auto"/>
                      <w:highlight w:val="none"/>
                    </w:rPr>
                    <w:t>经合法性校验、格式标准化与重复性检查后，生成视频流配置记录数据集。</w:t>
                  </w:r>
                </w:p>
                <w:p w14:paraId="33FB2D72">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监管人员可通过该功能，根据车辆、主体等维度进行筛选操作，实时查看指定一辆或多辆无人车的行驶视频，为车辆轨迹路线监测等功能提供证据支撑，保障无人车安全运营。</w:t>
                  </w:r>
                </w:p>
              </w:tc>
            </w:tr>
            <w:tr w14:paraId="2A36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FE54122">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599D8">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F17C6B9">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历史视频点播</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0AE4A7DC">
                  <w:pPr>
                    <w:keepNext w:val="0"/>
                    <w:keepLines w:val="0"/>
                    <w:widowControl/>
                    <w:suppressLineNumbers w:val="0"/>
                    <w:wordWrap/>
                    <w:spacing w:line="240" w:lineRule="auto"/>
                    <w:ind w:firstLine="420" w:firstLineChars="200"/>
                    <w:jc w:val="left"/>
                    <w:textAlignment w:val="center"/>
                    <w:rPr>
                      <w:rFonts w:hint="eastAsia" w:eastAsia="宋体" w:cs="Times New Roman"/>
                      <w:color w:val="auto"/>
                      <w:kern w:val="0"/>
                      <w:sz w:val="20"/>
                      <w:szCs w:val="20"/>
                      <w:highlight w:val="none"/>
                      <w:lang w:val="en-US" w:eastAsia="zh-CN"/>
                    </w:rPr>
                  </w:pPr>
                  <w:r>
                    <w:rPr>
                      <w:rFonts w:hint="eastAsia"/>
                      <w:color w:val="auto"/>
                      <w:highlight w:val="none"/>
                      <w:lang w:val="en-US" w:eastAsia="zh-CN"/>
                    </w:rPr>
                    <w:t>基于历史录像管理能力，实现已存储录像的在线点播，支持时间轴拖拽精准定位播放节点、0.5x-4x倍速调节及录像文件分段下载。具备播放进度记忆、关键帧标记功能，可对重点片段进行标记与回溯，满足事故溯源等场景下的精细化视频分析需求。</w:t>
                  </w:r>
                </w:p>
              </w:tc>
            </w:tr>
            <w:tr w14:paraId="0602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821D6DD">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54</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643B6">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统一对接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61E6B2">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省统一身份认证平台</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E578BCB">
                  <w:pPr>
                    <w:keepNext w:val="0"/>
                    <w:keepLines w:val="0"/>
                    <w:widowControl/>
                    <w:suppressLineNumbers w:val="0"/>
                    <w:wordWrap/>
                    <w:spacing w:line="240" w:lineRule="auto"/>
                    <w:ind w:firstLine="420" w:firstLineChars="200"/>
                    <w:jc w:val="left"/>
                    <w:textAlignment w:val="center"/>
                    <w:rPr>
                      <w:rFonts w:hint="default" w:eastAsia="宋体" w:cs="Times New Roman"/>
                      <w:color w:val="auto"/>
                      <w:kern w:val="0"/>
                      <w:sz w:val="20"/>
                      <w:szCs w:val="20"/>
                      <w:highlight w:val="none"/>
                      <w:lang w:val="en-US" w:eastAsia="zh-CN"/>
                    </w:rPr>
                  </w:pPr>
                  <w:r>
                    <w:rPr>
                      <w:rFonts w:hint="eastAsia"/>
                      <w:color w:val="auto"/>
                      <w:highlight w:val="none"/>
                      <w:lang w:val="en-US" w:eastAsia="zh-CN"/>
                    </w:rPr>
                    <w:t>基于佛山市交通运输综合管理系统的数字政府公共支撑能力，实现</w:t>
                  </w:r>
                  <w:r>
                    <w:rPr>
                      <w:rFonts w:hint="default"/>
                      <w:color w:val="auto"/>
                      <w:highlight w:val="none"/>
                      <w:lang w:val="en-US" w:eastAsia="zh-CN"/>
                    </w:rPr>
                    <w:t>与广东省统一身份认证平台</w:t>
                  </w:r>
                  <w:r>
                    <w:rPr>
                      <w:rFonts w:hint="eastAsia"/>
                      <w:color w:val="auto"/>
                      <w:highlight w:val="none"/>
                      <w:lang w:val="en-US" w:eastAsia="zh-CN"/>
                    </w:rPr>
                    <w:t>的</w:t>
                  </w:r>
                  <w:r>
                    <w:rPr>
                      <w:rFonts w:hint="default"/>
                      <w:color w:val="auto"/>
                      <w:highlight w:val="none"/>
                      <w:lang w:val="en-US" w:eastAsia="zh-CN"/>
                    </w:rPr>
                    <w:t>对接，</w:t>
                  </w:r>
                  <w:r>
                    <w:rPr>
                      <w:rFonts w:hint="eastAsia"/>
                      <w:color w:val="auto"/>
                      <w:highlight w:val="none"/>
                      <w:lang w:val="en-US" w:eastAsia="zh-CN"/>
                    </w:rPr>
                    <w:t>用户可以</w:t>
                  </w:r>
                  <w:r>
                    <w:rPr>
                      <w:rFonts w:hint="default"/>
                      <w:color w:val="auto"/>
                      <w:highlight w:val="none"/>
                      <w:lang w:val="en-US" w:eastAsia="zh-CN"/>
                    </w:rPr>
                    <w:t>使用广东省统一身份认证平台账号登录，</w:t>
                  </w:r>
                  <w:r>
                    <w:rPr>
                      <w:rFonts w:hint="eastAsia"/>
                      <w:color w:val="auto"/>
                      <w:highlight w:val="none"/>
                      <w:lang w:val="en-US" w:eastAsia="zh-CN"/>
                    </w:rPr>
                    <w:t>系统会基于佛山市交通运输综合管理系统将</w:t>
                  </w:r>
                  <w:r>
                    <w:rPr>
                      <w:rFonts w:hint="default"/>
                      <w:color w:val="auto"/>
                      <w:highlight w:val="none"/>
                      <w:lang w:val="en-US" w:eastAsia="zh-CN"/>
                    </w:rPr>
                    <w:t>用户信息同步到广东省统一身份认证平台，向用户提供统一认证和统一鉴权服务、单点登录和单点退出。通过OAuth2.0接入的方式对接统一身份认证平台，经API网关对接统一身份认证中心，通过OAuth2.0协议进行访问</w:t>
                  </w:r>
                  <w:r>
                    <w:rPr>
                      <w:rFonts w:hint="eastAsia"/>
                      <w:color w:val="auto"/>
                      <w:highlight w:val="none"/>
                      <w:lang w:val="en-US" w:eastAsia="zh-CN"/>
                    </w:rPr>
                    <w:t>。</w:t>
                  </w:r>
                </w:p>
              </w:tc>
            </w:tr>
            <w:tr w14:paraId="332E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4D8F536">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B8A24">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D3AC8EC">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省电子证照平台</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125F53DC">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基于佛山市交通运输综合管理系统的数字政府公共支撑能力，实现与广东省电子证照平台进行对接，获取个人身份证、个人驾驶证、主体营业执照等证照信息，保障信息的真实性和实时性，方便业务管理和流程审批。</w:t>
                  </w:r>
                </w:p>
              </w:tc>
            </w:tr>
            <w:tr w14:paraId="602D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7C0C07">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35BEA">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60E4A10">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第三方运营平台车辆实时信息同步</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68EDD66C">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color w:val="auto"/>
                      <w:highlight w:val="none"/>
                      <w:lang w:val="en-US" w:eastAsia="zh-CN"/>
                    </w:rPr>
                    <w:t>业务信息动态同步，平台以0.1hz频率接收第三方运营平台推送的位置、速度、实时控制模式、运行状态、接收指令等信息。</w:t>
                  </w:r>
                </w:p>
              </w:tc>
            </w:tr>
            <w:tr w14:paraId="40FD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0AD6B5B">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49AB3">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CDDC165">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第三方运营平台人车绑定信息同步</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DC3A720">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color w:val="auto"/>
                      <w:highlight w:val="none"/>
                      <w:lang w:val="en-US" w:eastAsia="zh-CN"/>
                    </w:rPr>
                    <w:t>同步第三方运营平台中安全员编码、安全员姓名与车辆编码的关联绑定信息，实现人车信息联动更新。</w:t>
                  </w:r>
                </w:p>
              </w:tc>
            </w:tr>
            <w:tr w14:paraId="713C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DF7AF18">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F3FAA">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400A3AD">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第三方运营平台视频数据同步</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2B4B3CF4">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color w:val="auto"/>
                      <w:highlight w:val="none"/>
                      <w:lang w:val="en-US" w:eastAsia="zh-CN"/>
                    </w:rPr>
                    <w:t>支持远程调起第三方运营主体的车辆实时视频流，实现视频信息的在线查看。</w:t>
                  </w:r>
                </w:p>
              </w:tc>
            </w:tr>
            <w:tr w14:paraId="67C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04F1929">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59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03C4D">
                  <w:pPr>
                    <w:jc w:val="center"/>
                    <w:rPr>
                      <w:rFonts w:hint="eastAsia" w:ascii="Calibri" w:hAnsi="Calibri" w:eastAsia="宋体" w:cs="Times New Roman"/>
                      <w:color w:val="auto"/>
                      <w:kern w:val="0"/>
                      <w:sz w:val="20"/>
                      <w:szCs w:val="20"/>
                      <w:highlight w:val="none"/>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24EAAA">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第三方运营平台异常事件同步</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7D9868C3">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color w:val="auto"/>
                      <w:highlight w:val="none"/>
                      <w:lang w:val="en-US" w:eastAsia="zh-CN"/>
                    </w:rPr>
                    <w:t>同步第三方运营平台的设备故障、车辆运行状态异常等各类异常事件信息，实现异常信息实时归集。</w:t>
                  </w:r>
                </w:p>
              </w:tc>
            </w:tr>
            <w:tr w14:paraId="7D28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637C638">
                  <w:pPr>
                    <w:keepNext w:val="0"/>
                    <w:keepLines w:val="0"/>
                    <w:widowControl/>
                    <w:suppressLineNumbers w:val="0"/>
                    <w:wordWrap/>
                    <w:spacing w:line="240" w:lineRule="auto"/>
                    <w:jc w:val="center"/>
                    <w:textAlignment w:val="center"/>
                    <w:rPr>
                      <w:rFonts w:hint="default" w:ascii="Calibri" w:hAnsi="Calibri" w:eastAsia="宋体" w:cs="Times New Roman"/>
                      <w:color w:val="auto"/>
                      <w:kern w:val="0"/>
                      <w:sz w:val="20"/>
                      <w:szCs w:val="20"/>
                      <w:highlight w:val="none"/>
                      <w:lang w:val="en-US" w:eastAsia="zh-CN"/>
                    </w:rPr>
                  </w:pPr>
                  <w:r>
                    <w:rPr>
                      <w:rFonts w:hint="default" w:ascii="Calibri" w:hAnsi="Calibri" w:eastAsia="宋体" w:cs="Times New Roman"/>
                      <w:color w:val="auto"/>
                      <w:kern w:val="0"/>
                      <w:sz w:val="20"/>
                      <w:szCs w:val="20"/>
                      <w:highlight w:val="none"/>
                      <w:lang w:val="en-US" w:eastAsia="zh-CN"/>
                    </w:rPr>
                    <w:t>60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4ADE59">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系统管理</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9764EBF">
                  <w:pPr>
                    <w:keepNext w:val="0"/>
                    <w:keepLines w:val="0"/>
                    <w:widowControl/>
                    <w:suppressLineNumbers w:val="0"/>
                    <w:wordWrap/>
                    <w:spacing w:line="240" w:lineRule="auto"/>
                    <w:jc w:val="center"/>
                    <w:textAlignment w:val="center"/>
                    <w:rPr>
                      <w:rFonts w:hint="eastAsia"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用户权限日志管理</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E226712">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1. 用户管理</w:t>
                  </w:r>
                </w:p>
                <w:p w14:paraId="57F7CE21">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管理用户基础信息与权限信息。系统存储用户编号、姓名、所属部门、职位、联系方式、账号状态等核心字段，并关联所属角色、可操作功能模块及权限等级，通过权限矩阵呈现权限分配。用户可通过台账页面查看全量用户清单，按部门、职位、账号状态筛选；对离职或无效用户可禁用或删除，系统自动同步更新。</w:t>
                  </w:r>
                </w:p>
                <w:p w14:paraId="76C342B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2. 角色管理</w:t>
                  </w:r>
                </w:p>
                <w:p w14:paraId="52763164">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管理角色基础信息与权限信息。系统存储角色编号、名称、描述、创建时间、状态等字段，并关联可访问的功能菜单、操作权限及数据范围，通过权限清单呈现配置。用户可通过台账查看全量角色清单，按名称、状态筛选；对不再使用的角色可停用或删除，系统自动同步更新。</w:t>
                  </w:r>
                </w:p>
                <w:p w14:paraId="6D701DF6">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3. 部门管理</w:t>
                  </w:r>
                </w:p>
                <w:p w14:paraId="24C30D00">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管理部门基础信息与层级信息。系统存储部门编号、名称、职责、成立时间、状态等字段，并关联上级部门、下辖子部门及负责人，通过组织架构图呈现层级关系。用户可通过台账查看全量部门清单，按名称、状态、上级部门筛选；对撤销或合并的部门可注销或合并，系统自动同步更新。</w:t>
                  </w:r>
                </w:p>
                <w:p w14:paraId="72DE8416">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4. 菜单管理</w:t>
                  </w:r>
                </w:p>
                <w:p w14:paraId="443DC78D">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管理菜单基础信息与层级信息。系统存储菜单编号、名称、路径、功能描述、状态等字段，并关联上级菜单、子菜单及权限标识，通过菜单树状图呈现层级关系。用户可通过台账查看全量菜单清单，按名称、状态、上级菜单筛选；对停用或废弃的菜单可隐藏或删除，系统自动同步更新。</w:t>
                  </w:r>
                </w:p>
                <w:p w14:paraId="2EAF01BE">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5. 权限管理</w:t>
                  </w:r>
                </w:p>
                <w:p w14:paraId="68609ECC">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管理权限基础信息与关联信息。系统存储权限编号、名称、类型、适用模块、描述等字段，并关联对应的角色、可操作菜单及生效范围，通过权限关联图谱呈现分配关系。用户可通过台账查看全量权限清单，按名称、类型、适用模块筛选；对失效或冗余权限可禁用或删除，系统自动同步更新。</w:t>
                  </w:r>
                </w:p>
                <w:p w14:paraId="4F2A422F">
                  <w:pPr>
                    <w:keepNext w:val="0"/>
                    <w:keepLines w:val="0"/>
                    <w:widowControl/>
                    <w:suppressLineNumbers w:val="0"/>
                    <w:wordWrap/>
                    <w:spacing w:line="240" w:lineRule="auto"/>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6. 日志管理</w:t>
                  </w:r>
                </w:p>
                <w:p w14:paraId="675F4C6C">
                  <w:pPr>
                    <w:keepNext w:val="0"/>
                    <w:keepLines w:val="0"/>
                    <w:widowControl/>
                    <w:suppressLineNumbers w:val="0"/>
                    <w:wordWrap/>
                    <w:spacing w:line="240" w:lineRule="auto"/>
                    <w:ind w:firstLine="400" w:firstLineChars="200"/>
                    <w:jc w:val="left"/>
                    <w:textAlignment w:val="center"/>
                    <w:rPr>
                      <w:rFonts w:hint="eastAsia" w:eastAsia="宋体" w:cs="Times New Roman"/>
                      <w:color w:val="auto"/>
                      <w:kern w:val="0"/>
                      <w:sz w:val="20"/>
                      <w:szCs w:val="20"/>
                      <w:highlight w:val="none"/>
                      <w:lang w:val="en-US" w:eastAsia="zh-CN"/>
                    </w:rPr>
                  </w:pPr>
                  <w:r>
                    <w:rPr>
                      <w:rFonts w:hint="eastAsia" w:eastAsia="宋体" w:cs="Times New Roman"/>
                      <w:color w:val="auto"/>
                      <w:kern w:val="0"/>
                      <w:sz w:val="20"/>
                      <w:szCs w:val="20"/>
                      <w:highlight w:val="none"/>
                      <w:lang w:val="en-US" w:eastAsia="zh-CN"/>
                    </w:rPr>
                    <w:t>管理登录日志与平台日志。系统存储日志编号、类型、操作主体、时间、内容、结果等字段；登录日志关联IP、设备、状态；平台日志关联操作模块、级别、错误代码。通过分类列表呈现详情。用户可通过台账查看全量日志清单，按类型、主体、时间、结果筛选；对过期日志可导出或删除，系统自动同步更新状态。</w:t>
                  </w:r>
                </w:p>
              </w:tc>
            </w:tr>
          </w:tbl>
          <w:p w14:paraId="1996C739">
            <w:pPr>
              <w:pStyle w:val="12"/>
              <w:jc w:val="left"/>
              <w:rPr>
                <w:rFonts w:hint="default" w:eastAsia="宋体" w:cs="Times New Roman"/>
                <w:b/>
                <w:color w:val="auto"/>
                <w:sz w:val="21"/>
                <w:highlight w:val="none"/>
                <w:lang w:val="en-US" w:eastAsia="zh-CN"/>
              </w:rPr>
            </w:pPr>
          </w:p>
        </w:tc>
      </w:tr>
      <w:tr w14:paraId="7F8E3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noWrap w:val="0"/>
            <w:vAlign w:val="top"/>
          </w:tcPr>
          <w:p w14:paraId="25C64480">
            <w:pPr>
              <w:rPr>
                <w:color w:val="auto"/>
                <w:highlight w:val="none"/>
              </w:rPr>
            </w:pPr>
          </w:p>
        </w:tc>
        <w:tc>
          <w:tcPr>
            <w:tcW w:w="801" w:type="dxa"/>
            <w:noWrap w:val="0"/>
            <w:vAlign w:val="center"/>
          </w:tcPr>
          <w:p w14:paraId="4D12E082">
            <w:pPr>
              <w:pStyle w:val="12"/>
              <w:jc w:val="center"/>
              <w:rPr>
                <w:rFonts w:hint="default"/>
                <w:color w:val="auto"/>
                <w:highlight w:val="none"/>
                <w:lang w:val="en-US" w:eastAsia="zh-CN"/>
              </w:rPr>
            </w:pPr>
            <w:r>
              <w:rPr>
                <w:rFonts w:hint="eastAsia"/>
                <w:color w:val="auto"/>
                <w:highlight w:val="none"/>
                <w:lang w:val="en-US" w:eastAsia="zh-CN"/>
              </w:rPr>
              <w:t>6</w:t>
            </w:r>
          </w:p>
        </w:tc>
        <w:tc>
          <w:tcPr>
            <w:tcW w:w="7033" w:type="dxa"/>
            <w:noWrap w:val="0"/>
            <w:vAlign w:val="center"/>
          </w:tcPr>
          <w:p w14:paraId="3D4B414E">
            <w:pPr>
              <w:pStyle w:val="12"/>
              <w:jc w:val="left"/>
              <w:rPr>
                <w:rFonts w:hint="default" w:eastAsia="宋体" w:cs="Times New Roman"/>
                <w:b/>
                <w:color w:val="auto"/>
                <w:sz w:val="21"/>
                <w:highlight w:val="none"/>
                <w:lang w:val="en-US" w:eastAsia="zh-CN"/>
              </w:rPr>
            </w:pPr>
            <w:r>
              <w:rPr>
                <w:rFonts w:hint="default" w:eastAsia="宋体" w:cs="Times New Roman"/>
                <w:b/>
                <w:color w:val="auto"/>
                <w:sz w:val="21"/>
                <w:highlight w:val="none"/>
                <w:lang w:val="en-US" w:eastAsia="zh-CN"/>
              </w:rPr>
              <w:t>数据业务运营</w:t>
            </w:r>
          </w:p>
          <w:p w14:paraId="15C83424">
            <w:pPr>
              <w:keepNext w:val="0"/>
              <w:keepLines w:val="0"/>
              <w:widowControl/>
              <w:suppressLineNumbers w:val="0"/>
              <w:wordWrap/>
              <w:spacing w:line="240" w:lineRule="auto"/>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1.数据归集与整合治理</w:t>
            </w:r>
          </w:p>
          <w:p w14:paraId="2B84437A">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结合功能型无人车道路测试与商业应用全业务场景，系统开展数据资源梳理与汇聚整合工作，采用离线报送、在线传送、数据库接入等多元采集方式实现各类数据的统一归集，构建标准化底版数据体系，保障数据规范入库与有效复用。</w:t>
            </w:r>
          </w:p>
          <w:p w14:paraId="5BCCF502">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①数据归集</w:t>
            </w:r>
          </w:p>
          <w:p w14:paraId="578281A2">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重点归集功能型无人车首批审批通过的数据资源，涵盖基础主体数据（第三方运营主体、无人车、安全员、路线、区域）、基础监管数据（行政区划、重要交通路线）及业务管理数据（申报资料、文档附件）等核心类别，通过离线报送、在线传输等多渠道完成汇总，确保数据覆盖全面且精准。</w:t>
            </w:r>
          </w:p>
          <w:p w14:paraId="691C38FB">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②数据评估核查</w:t>
            </w:r>
          </w:p>
          <w:p w14:paraId="0AD6C189">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基于数据标准及质量要求，从内容完整性、格式规范性、标准符合性等维度开展数据评估，全面摸清数据底数与质量状况，为后续数据处理奠定基础。</w:t>
            </w:r>
          </w:p>
          <w:p w14:paraId="0BA91379">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③数据整合录入</w:t>
            </w:r>
          </w:p>
          <w:p w14:paraId="0C3D521F">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针对归集数据开展针对性处理，通过数据清洗、映射抽取、预处理、编码规范及关联关系构建等操作，确保数据符合系统入库要求，形成高质量标准化底版数据。</w:t>
            </w:r>
          </w:p>
          <w:p w14:paraId="45CC81CF">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2.数据管理体系建设</w:t>
            </w:r>
          </w:p>
          <w:p w14:paraId="61B60791">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为实现无人车数据库的规范化、高效化管理，构建完善的数据管理体系，通过建立标准化规程与长效机制，保障数据汇聚、更新、共享全流程有序开展，提升数据资产价值与业务支撑能力。</w:t>
            </w:r>
          </w:p>
          <w:p w14:paraId="64081400">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①数据汇聚技术规程</w:t>
            </w:r>
          </w:p>
          <w:p w14:paraId="1FA4815F">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制定统一的数据汇聚规范与操作指引，明确数据报送模板、接口标准及数据项清单，指导运营主体规范推送数据，提升数据汇聚效率与标准化水平。</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9"/>
              <w:gridCol w:w="568"/>
              <w:gridCol w:w="2486"/>
              <w:gridCol w:w="3284"/>
            </w:tblGrid>
            <w:tr w14:paraId="7B95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69" w:type="dxa"/>
                  <w:noWrap w:val="0"/>
                  <w:vAlign w:val="center"/>
                </w:tcPr>
                <w:p w14:paraId="685FE43D">
                  <w:pPr>
                    <w:jc w:val="center"/>
                    <w:rPr>
                      <w:rFonts w:hint="eastAsia"/>
                      <w:color w:val="auto"/>
                      <w:highlight w:val="none"/>
                      <w:lang w:val="en-US" w:eastAsia="zh-CN"/>
                    </w:rPr>
                  </w:pPr>
                  <w:r>
                    <w:rPr>
                      <w:rFonts w:hint="eastAsia"/>
                      <w:color w:val="auto"/>
                      <w:highlight w:val="none"/>
                      <w:lang w:val="en-US" w:eastAsia="zh-CN"/>
                    </w:rPr>
                    <w:t>序号</w:t>
                  </w:r>
                </w:p>
              </w:tc>
              <w:tc>
                <w:tcPr>
                  <w:tcW w:w="568" w:type="dxa"/>
                  <w:noWrap w:val="0"/>
                  <w:vAlign w:val="center"/>
                </w:tcPr>
                <w:p w14:paraId="4F0D8116">
                  <w:pPr>
                    <w:jc w:val="center"/>
                    <w:rPr>
                      <w:rFonts w:hint="default"/>
                      <w:color w:val="auto"/>
                      <w:highlight w:val="none"/>
                      <w:lang w:val="en-US" w:eastAsia="zh-CN"/>
                    </w:rPr>
                  </w:pPr>
                  <w:r>
                    <w:rPr>
                      <w:rFonts w:hint="eastAsia"/>
                      <w:color w:val="auto"/>
                      <w:highlight w:val="none"/>
                      <w:lang w:val="en-US" w:eastAsia="zh-CN"/>
                    </w:rPr>
                    <w:t>类别</w:t>
                  </w:r>
                </w:p>
              </w:tc>
              <w:tc>
                <w:tcPr>
                  <w:tcW w:w="2486" w:type="dxa"/>
                  <w:noWrap w:val="0"/>
                  <w:vAlign w:val="center"/>
                </w:tcPr>
                <w:p w14:paraId="6EEC4A1C">
                  <w:pPr>
                    <w:jc w:val="center"/>
                    <w:rPr>
                      <w:rFonts w:hint="eastAsia"/>
                      <w:color w:val="auto"/>
                      <w:highlight w:val="none"/>
                      <w:lang w:val="en-US" w:eastAsia="zh-CN"/>
                    </w:rPr>
                  </w:pPr>
                  <w:r>
                    <w:rPr>
                      <w:rFonts w:hint="eastAsia"/>
                      <w:color w:val="auto"/>
                      <w:highlight w:val="none"/>
                      <w:lang w:val="en-US" w:eastAsia="zh-CN"/>
                    </w:rPr>
                    <w:t>名称</w:t>
                  </w:r>
                </w:p>
              </w:tc>
              <w:tc>
                <w:tcPr>
                  <w:tcW w:w="0" w:type="auto"/>
                  <w:noWrap w:val="0"/>
                  <w:vAlign w:val="center"/>
                </w:tcPr>
                <w:p w14:paraId="64A901AE">
                  <w:pPr>
                    <w:jc w:val="center"/>
                    <w:rPr>
                      <w:rFonts w:hint="eastAsia"/>
                      <w:color w:val="auto"/>
                      <w:highlight w:val="none"/>
                      <w:lang w:val="en-US" w:eastAsia="zh-CN"/>
                    </w:rPr>
                  </w:pPr>
                  <w:r>
                    <w:rPr>
                      <w:rFonts w:hint="eastAsia"/>
                      <w:color w:val="auto"/>
                      <w:highlight w:val="none"/>
                      <w:lang w:val="en-US" w:eastAsia="zh-CN"/>
                    </w:rPr>
                    <w:t>说明</w:t>
                  </w:r>
                </w:p>
              </w:tc>
            </w:tr>
            <w:tr w14:paraId="386C5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69" w:type="dxa"/>
                  <w:noWrap w:val="0"/>
                  <w:vAlign w:val="center"/>
                </w:tcPr>
                <w:p w14:paraId="5C18F8D5">
                  <w:pPr>
                    <w:jc w:val="center"/>
                    <w:rPr>
                      <w:rFonts w:hint="eastAsia"/>
                      <w:color w:val="auto"/>
                      <w:highlight w:val="none"/>
                      <w:lang w:val="en-US" w:eastAsia="zh-CN"/>
                    </w:rPr>
                  </w:pPr>
                  <w:r>
                    <w:rPr>
                      <w:rFonts w:hint="eastAsia"/>
                      <w:color w:val="auto"/>
                      <w:highlight w:val="none"/>
                      <w:lang w:val="en-US" w:eastAsia="zh-CN"/>
                    </w:rPr>
                    <w:t>1</w:t>
                  </w:r>
                </w:p>
              </w:tc>
              <w:tc>
                <w:tcPr>
                  <w:tcW w:w="568" w:type="dxa"/>
                  <w:vMerge w:val="restart"/>
                  <w:noWrap w:val="0"/>
                  <w:vAlign w:val="center"/>
                </w:tcPr>
                <w:p w14:paraId="71661A02">
                  <w:pPr>
                    <w:jc w:val="center"/>
                    <w:rPr>
                      <w:rFonts w:hint="eastAsia"/>
                      <w:color w:val="auto"/>
                      <w:highlight w:val="none"/>
                      <w:lang w:val="en-US" w:eastAsia="zh-CN"/>
                    </w:rPr>
                  </w:pPr>
                  <w:r>
                    <w:rPr>
                      <w:rFonts w:hint="eastAsia"/>
                      <w:color w:val="auto"/>
                      <w:highlight w:val="none"/>
                      <w:lang w:val="en-US" w:eastAsia="zh-CN"/>
                    </w:rPr>
                    <w:t>标准规范</w:t>
                  </w:r>
                </w:p>
              </w:tc>
              <w:tc>
                <w:tcPr>
                  <w:tcW w:w="2486" w:type="dxa"/>
                  <w:noWrap w:val="0"/>
                  <w:vAlign w:val="center"/>
                </w:tcPr>
                <w:p w14:paraId="71781E66">
                  <w:pPr>
                    <w:jc w:val="center"/>
                    <w:rPr>
                      <w:rFonts w:hint="eastAsia"/>
                      <w:color w:val="auto"/>
                      <w:highlight w:val="none"/>
                      <w:lang w:val="en-US" w:eastAsia="zh-CN"/>
                    </w:rPr>
                  </w:pPr>
                  <w:r>
                    <w:rPr>
                      <w:rFonts w:hint="eastAsia"/>
                      <w:color w:val="auto"/>
                      <w:highlight w:val="none"/>
                      <w:lang w:val="en-US" w:eastAsia="zh-CN"/>
                    </w:rPr>
                    <w:t>佛山市功能型无人车管理服务平台-车辆终端信息推送文档</w:t>
                  </w:r>
                </w:p>
              </w:tc>
              <w:tc>
                <w:tcPr>
                  <w:tcW w:w="0" w:type="auto"/>
                  <w:noWrap w:val="0"/>
                  <w:vAlign w:val="center"/>
                </w:tcPr>
                <w:p w14:paraId="30EB4872">
                  <w:pPr>
                    <w:jc w:val="center"/>
                    <w:rPr>
                      <w:rFonts w:hint="default"/>
                      <w:color w:val="auto"/>
                      <w:highlight w:val="none"/>
                      <w:lang w:val="en-US" w:eastAsia="zh-CN"/>
                    </w:rPr>
                  </w:pPr>
                  <w:r>
                    <w:rPr>
                      <w:rFonts w:hint="eastAsia"/>
                      <w:color w:val="auto"/>
                      <w:highlight w:val="none"/>
                      <w:lang w:val="en-US" w:eastAsia="zh-CN"/>
                    </w:rPr>
                    <w:t>包括第三方无人车车辆实时数据、安全员绑定关系等数据的对接流程和对接方式说明</w:t>
                  </w:r>
                </w:p>
              </w:tc>
            </w:tr>
            <w:tr w14:paraId="68C9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69" w:type="dxa"/>
                  <w:noWrap w:val="0"/>
                  <w:vAlign w:val="center"/>
                </w:tcPr>
                <w:p w14:paraId="233AB4D0">
                  <w:pPr>
                    <w:jc w:val="center"/>
                    <w:rPr>
                      <w:rFonts w:hint="default"/>
                      <w:color w:val="auto"/>
                      <w:highlight w:val="none"/>
                      <w:lang w:val="en-US" w:eastAsia="zh-CN"/>
                    </w:rPr>
                  </w:pPr>
                  <w:r>
                    <w:rPr>
                      <w:rFonts w:hint="eastAsia"/>
                      <w:color w:val="auto"/>
                      <w:highlight w:val="none"/>
                      <w:lang w:val="en-US" w:eastAsia="zh-CN"/>
                    </w:rPr>
                    <w:t>2</w:t>
                  </w:r>
                </w:p>
              </w:tc>
              <w:tc>
                <w:tcPr>
                  <w:tcW w:w="568" w:type="dxa"/>
                  <w:vMerge w:val="continue"/>
                  <w:noWrap w:val="0"/>
                  <w:vAlign w:val="center"/>
                </w:tcPr>
                <w:p w14:paraId="734C05EB">
                  <w:pPr>
                    <w:jc w:val="center"/>
                    <w:rPr>
                      <w:rFonts w:hint="eastAsia"/>
                      <w:color w:val="auto"/>
                      <w:highlight w:val="none"/>
                      <w:lang w:val="en-US" w:eastAsia="zh-CN"/>
                    </w:rPr>
                  </w:pPr>
                </w:p>
              </w:tc>
              <w:tc>
                <w:tcPr>
                  <w:tcW w:w="2486" w:type="dxa"/>
                  <w:noWrap w:val="0"/>
                  <w:vAlign w:val="center"/>
                </w:tcPr>
                <w:p w14:paraId="457D0EA5">
                  <w:pPr>
                    <w:jc w:val="center"/>
                    <w:rPr>
                      <w:rFonts w:hint="default"/>
                      <w:color w:val="auto"/>
                      <w:highlight w:val="none"/>
                      <w:lang w:val="en-US" w:eastAsia="zh-CN"/>
                    </w:rPr>
                  </w:pPr>
                  <w:r>
                    <w:rPr>
                      <w:rFonts w:hint="eastAsia"/>
                      <w:color w:val="auto"/>
                      <w:highlight w:val="none"/>
                      <w:lang w:val="en-US" w:eastAsia="zh-CN"/>
                    </w:rPr>
                    <w:t>佛山市功能型无人车管理服务平台-基础数据统计逻辑标准</w:t>
                  </w:r>
                </w:p>
              </w:tc>
              <w:tc>
                <w:tcPr>
                  <w:tcW w:w="0" w:type="auto"/>
                  <w:noWrap w:val="0"/>
                  <w:vAlign w:val="center"/>
                </w:tcPr>
                <w:p w14:paraId="7AEDB0DF">
                  <w:pPr>
                    <w:jc w:val="center"/>
                    <w:rPr>
                      <w:rFonts w:hint="default"/>
                      <w:color w:val="auto"/>
                      <w:highlight w:val="none"/>
                      <w:lang w:val="en-US" w:eastAsia="zh-CN"/>
                    </w:rPr>
                  </w:pPr>
                  <w:r>
                    <w:rPr>
                      <w:rFonts w:hint="eastAsia"/>
                      <w:color w:val="auto"/>
                      <w:highlight w:val="none"/>
                      <w:lang w:val="en-US" w:eastAsia="zh-CN"/>
                    </w:rPr>
                    <w:t>涵盖有效行驶里程、GPS里程、异常点位、偏移点位等基础统计逻辑标准的说明</w:t>
                  </w:r>
                </w:p>
              </w:tc>
            </w:tr>
            <w:tr w14:paraId="238C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69" w:type="dxa"/>
                  <w:noWrap w:val="0"/>
                  <w:vAlign w:val="center"/>
                </w:tcPr>
                <w:p w14:paraId="6261878A">
                  <w:pPr>
                    <w:jc w:val="center"/>
                    <w:rPr>
                      <w:rFonts w:hint="eastAsia"/>
                      <w:color w:val="auto"/>
                      <w:highlight w:val="none"/>
                      <w:lang w:val="en-US" w:eastAsia="zh-CN"/>
                    </w:rPr>
                  </w:pPr>
                  <w:r>
                    <w:rPr>
                      <w:rFonts w:hint="eastAsia"/>
                      <w:color w:val="auto"/>
                      <w:highlight w:val="none"/>
                      <w:lang w:val="en-US" w:eastAsia="zh-CN"/>
                    </w:rPr>
                    <w:t>3</w:t>
                  </w:r>
                </w:p>
              </w:tc>
              <w:tc>
                <w:tcPr>
                  <w:tcW w:w="568" w:type="dxa"/>
                  <w:vMerge w:val="restart"/>
                  <w:noWrap w:val="0"/>
                  <w:vAlign w:val="center"/>
                </w:tcPr>
                <w:p w14:paraId="3008601E">
                  <w:pPr>
                    <w:jc w:val="center"/>
                    <w:rPr>
                      <w:rFonts w:hint="eastAsia"/>
                      <w:color w:val="auto"/>
                      <w:highlight w:val="none"/>
                      <w:lang w:val="en-US" w:eastAsia="zh-CN"/>
                    </w:rPr>
                  </w:pPr>
                  <w:r>
                    <w:rPr>
                      <w:rFonts w:hint="eastAsia"/>
                      <w:color w:val="auto"/>
                      <w:highlight w:val="none"/>
                      <w:lang w:val="en-US" w:eastAsia="zh-CN"/>
                    </w:rPr>
                    <w:t>清单模板</w:t>
                  </w:r>
                </w:p>
              </w:tc>
              <w:tc>
                <w:tcPr>
                  <w:tcW w:w="2486" w:type="dxa"/>
                  <w:noWrap w:val="0"/>
                  <w:vAlign w:val="center"/>
                </w:tcPr>
                <w:p w14:paraId="322F4708">
                  <w:pPr>
                    <w:jc w:val="center"/>
                    <w:rPr>
                      <w:rFonts w:hint="default"/>
                      <w:color w:val="auto"/>
                      <w:highlight w:val="none"/>
                      <w:lang w:val="en-US" w:eastAsia="zh-CN"/>
                    </w:rPr>
                  </w:pPr>
                  <w:r>
                    <w:rPr>
                      <w:rFonts w:hint="eastAsia"/>
                      <w:color w:val="auto"/>
                      <w:highlight w:val="none"/>
                      <w:lang w:val="en-US" w:eastAsia="zh-CN"/>
                    </w:rPr>
                    <w:t>主体数据采集模板</w:t>
                  </w:r>
                </w:p>
              </w:tc>
              <w:tc>
                <w:tcPr>
                  <w:tcW w:w="0" w:type="auto"/>
                  <w:noWrap w:val="0"/>
                  <w:vAlign w:val="center"/>
                </w:tcPr>
                <w:p w14:paraId="07CE98C4">
                  <w:pPr>
                    <w:jc w:val="center"/>
                    <w:rPr>
                      <w:rFonts w:hint="default"/>
                      <w:color w:val="auto"/>
                      <w:highlight w:val="none"/>
                      <w:lang w:val="en-US" w:eastAsia="zh-CN"/>
                    </w:rPr>
                  </w:pPr>
                  <w:r>
                    <w:rPr>
                      <w:rFonts w:hint="eastAsia"/>
                      <w:color w:val="auto"/>
                      <w:highlight w:val="none"/>
                      <w:lang w:val="en-US" w:eastAsia="zh-CN"/>
                    </w:rPr>
                    <w:t>包括主体基础信息、主体附件材料等数据模板</w:t>
                  </w:r>
                </w:p>
              </w:tc>
            </w:tr>
            <w:tr w14:paraId="54296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469" w:type="dxa"/>
                  <w:noWrap w:val="0"/>
                  <w:vAlign w:val="center"/>
                </w:tcPr>
                <w:p w14:paraId="251C5482">
                  <w:pPr>
                    <w:jc w:val="center"/>
                    <w:rPr>
                      <w:rFonts w:hint="eastAsia"/>
                      <w:color w:val="auto"/>
                      <w:highlight w:val="none"/>
                      <w:lang w:val="en-US" w:eastAsia="zh-CN"/>
                    </w:rPr>
                  </w:pPr>
                  <w:r>
                    <w:rPr>
                      <w:rFonts w:hint="eastAsia"/>
                      <w:color w:val="auto"/>
                      <w:highlight w:val="none"/>
                      <w:lang w:val="en-US" w:eastAsia="zh-CN"/>
                    </w:rPr>
                    <w:t>4</w:t>
                  </w:r>
                </w:p>
              </w:tc>
              <w:tc>
                <w:tcPr>
                  <w:tcW w:w="568" w:type="dxa"/>
                  <w:vMerge w:val="continue"/>
                  <w:noWrap w:val="0"/>
                  <w:vAlign w:val="center"/>
                </w:tcPr>
                <w:p w14:paraId="13BF6474">
                  <w:pPr>
                    <w:jc w:val="center"/>
                    <w:rPr>
                      <w:rFonts w:hint="eastAsia"/>
                      <w:color w:val="auto"/>
                      <w:highlight w:val="none"/>
                      <w:lang w:val="en-US" w:eastAsia="zh-CN"/>
                    </w:rPr>
                  </w:pPr>
                </w:p>
              </w:tc>
              <w:tc>
                <w:tcPr>
                  <w:tcW w:w="2486" w:type="dxa"/>
                  <w:noWrap w:val="0"/>
                  <w:vAlign w:val="center"/>
                </w:tcPr>
                <w:p w14:paraId="2F795D9B">
                  <w:pPr>
                    <w:jc w:val="center"/>
                    <w:rPr>
                      <w:rFonts w:hint="default"/>
                      <w:color w:val="auto"/>
                      <w:highlight w:val="none"/>
                      <w:lang w:val="en-US" w:eastAsia="zh-CN"/>
                    </w:rPr>
                  </w:pPr>
                  <w:r>
                    <w:rPr>
                      <w:rFonts w:hint="eastAsia"/>
                      <w:color w:val="auto"/>
                      <w:highlight w:val="none"/>
                      <w:lang w:val="en-US" w:eastAsia="zh-CN"/>
                    </w:rPr>
                    <w:t>无人车数据采集模板</w:t>
                  </w:r>
                </w:p>
              </w:tc>
              <w:tc>
                <w:tcPr>
                  <w:tcW w:w="0" w:type="auto"/>
                  <w:noWrap w:val="0"/>
                  <w:vAlign w:val="center"/>
                </w:tcPr>
                <w:p w14:paraId="7689EC8D">
                  <w:pPr>
                    <w:jc w:val="center"/>
                    <w:rPr>
                      <w:rFonts w:hint="eastAsia"/>
                      <w:color w:val="auto"/>
                      <w:highlight w:val="none"/>
                      <w:lang w:val="en-US" w:eastAsia="zh-CN"/>
                    </w:rPr>
                  </w:pPr>
                  <w:r>
                    <w:rPr>
                      <w:rFonts w:hint="eastAsia"/>
                      <w:color w:val="auto"/>
                      <w:highlight w:val="none"/>
                      <w:lang w:val="en-US" w:eastAsia="zh-CN"/>
                    </w:rPr>
                    <w:t>包括无人车基础信息、无人车附件材料等数据模板</w:t>
                  </w:r>
                </w:p>
              </w:tc>
            </w:tr>
            <w:tr w14:paraId="18943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69" w:type="dxa"/>
                  <w:noWrap w:val="0"/>
                  <w:vAlign w:val="center"/>
                </w:tcPr>
                <w:p w14:paraId="57F68E28">
                  <w:pPr>
                    <w:jc w:val="center"/>
                    <w:rPr>
                      <w:rFonts w:hint="eastAsia"/>
                      <w:color w:val="auto"/>
                      <w:highlight w:val="none"/>
                      <w:lang w:val="en-US" w:eastAsia="zh-CN"/>
                    </w:rPr>
                  </w:pPr>
                  <w:r>
                    <w:rPr>
                      <w:rFonts w:hint="eastAsia"/>
                      <w:color w:val="auto"/>
                      <w:highlight w:val="none"/>
                      <w:lang w:val="en-US" w:eastAsia="zh-CN"/>
                    </w:rPr>
                    <w:t>5</w:t>
                  </w:r>
                </w:p>
              </w:tc>
              <w:tc>
                <w:tcPr>
                  <w:tcW w:w="568" w:type="dxa"/>
                  <w:vMerge w:val="continue"/>
                  <w:noWrap w:val="0"/>
                  <w:vAlign w:val="center"/>
                </w:tcPr>
                <w:p w14:paraId="35B2B254">
                  <w:pPr>
                    <w:jc w:val="center"/>
                    <w:rPr>
                      <w:rFonts w:hint="eastAsia"/>
                      <w:color w:val="auto"/>
                      <w:highlight w:val="none"/>
                      <w:lang w:val="en-US" w:eastAsia="zh-CN"/>
                    </w:rPr>
                  </w:pPr>
                </w:p>
              </w:tc>
              <w:tc>
                <w:tcPr>
                  <w:tcW w:w="2486" w:type="dxa"/>
                  <w:noWrap w:val="0"/>
                  <w:vAlign w:val="center"/>
                </w:tcPr>
                <w:p w14:paraId="019FF1A9">
                  <w:pPr>
                    <w:jc w:val="center"/>
                    <w:rPr>
                      <w:rFonts w:hint="default"/>
                      <w:color w:val="auto"/>
                      <w:highlight w:val="none"/>
                      <w:lang w:val="en-US" w:eastAsia="zh-CN"/>
                    </w:rPr>
                  </w:pPr>
                  <w:r>
                    <w:rPr>
                      <w:rFonts w:hint="eastAsia"/>
                      <w:color w:val="auto"/>
                      <w:highlight w:val="none"/>
                      <w:lang w:val="en-US" w:eastAsia="zh-CN"/>
                    </w:rPr>
                    <w:t>安全员数据采集模板</w:t>
                  </w:r>
                </w:p>
              </w:tc>
              <w:tc>
                <w:tcPr>
                  <w:tcW w:w="0" w:type="auto"/>
                  <w:noWrap w:val="0"/>
                  <w:vAlign w:val="center"/>
                </w:tcPr>
                <w:p w14:paraId="478073F4">
                  <w:pPr>
                    <w:jc w:val="center"/>
                    <w:rPr>
                      <w:rFonts w:hint="eastAsia"/>
                      <w:color w:val="auto"/>
                      <w:highlight w:val="none"/>
                      <w:lang w:val="en-US" w:eastAsia="zh-CN"/>
                    </w:rPr>
                  </w:pPr>
                  <w:r>
                    <w:rPr>
                      <w:rFonts w:hint="eastAsia"/>
                      <w:color w:val="auto"/>
                      <w:highlight w:val="none"/>
                      <w:lang w:val="en-US" w:eastAsia="zh-CN"/>
                    </w:rPr>
                    <w:t>包括安全员基础信息、安全员附件材料等数据模板</w:t>
                  </w:r>
                </w:p>
              </w:tc>
            </w:tr>
            <w:tr w14:paraId="01EC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jc w:val="center"/>
              </w:trPr>
              <w:tc>
                <w:tcPr>
                  <w:tcW w:w="469" w:type="dxa"/>
                  <w:noWrap w:val="0"/>
                  <w:vAlign w:val="center"/>
                </w:tcPr>
                <w:p w14:paraId="49F280FF">
                  <w:pPr>
                    <w:jc w:val="center"/>
                    <w:rPr>
                      <w:rFonts w:hint="eastAsia"/>
                      <w:color w:val="auto"/>
                      <w:highlight w:val="none"/>
                      <w:lang w:val="en-US" w:eastAsia="zh-CN"/>
                    </w:rPr>
                  </w:pPr>
                  <w:r>
                    <w:rPr>
                      <w:rFonts w:hint="eastAsia"/>
                      <w:color w:val="auto"/>
                      <w:highlight w:val="none"/>
                      <w:lang w:val="en-US" w:eastAsia="zh-CN"/>
                    </w:rPr>
                    <w:t>6</w:t>
                  </w:r>
                </w:p>
              </w:tc>
              <w:tc>
                <w:tcPr>
                  <w:tcW w:w="568" w:type="dxa"/>
                  <w:vMerge w:val="continue"/>
                  <w:noWrap w:val="0"/>
                  <w:vAlign w:val="center"/>
                </w:tcPr>
                <w:p w14:paraId="04A97A00">
                  <w:pPr>
                    <w:jc w:val="center"/>
                    <w:rPr>
                      <w:rFonts w:hint="eastAsia"/>
                      <w:color w:val="auto"/>
                      <w:highlight w:val="none"/>
                      <w:lang w:val="en-US" w:eastAsia="zh-CN"/>
                    </w:rPr>
                  </w:pPr>
                </w:p>
              </w:tc>
              <w:tc>
                <w:tcPr>
                  <w:tcW w:w="2486" w:type="dxa"/>
                  <w:noWrap w:val="0"/>
                  <w:vAlign w:val="center"/>
                </w:tcPr>
                <w:p w14:paraId="7C591C90">
                  <w:pPr>
                    <w:jc w:val="center"/>
                    <w:rPr>
                      <w:rFonts w:hint="default"/>
                      <w:color w:val="auto"/>
                      <w:highlight w:val="none"/>
                      <w:lang w:val="en-US" w:eastAsia="zh-CN"/>
                    </w:rPr>
                  </w:pPr>
                  <w:r>
                    <w:rPr>
                      <w:rFonts w:hint="eastAsia"/>
                      <w:color w:val="auto"/>
                      <w:highlight w:val="none"/>
                      <w:lang w:val="en-US" w:eastAsia="zh-CN"/>
                    </w:rPr>
                    <w:t>用户信息采集模板</w:t>
                  </w:r>
                </w:p>
              </w:tc>
              <w:tc>
                <w:tcPr>
                  <w:tcW w:w="0" w:type="auto"/>
                  <w:noWrap w:val="0"/>
                  <w:vAlign w:val="center"/>
                </w:tcPr>
                <w:p w14:paraId="1EE378DC">
                  <w:pPr>
                    <w:jc w:val="center"/>
                    <w:rPr>
                      <w:rFonts w:hint="eastAsia"/>
                      <w:color w:val="auto"/>
                      <w:highlight w:val="none"/>
                      <w:lang w:val="en-US" w:eastAsia="zh-CN"/>
                    </w:rPr>
                  </w:pPr>
                  <w:r>
                    <w:rPr>
                      <w:rFonts w:hint="eastAsia"/>
                      <w:color w:val="auto"/>
                      <w:highlight w:val="none"/>
                      <w:lang w:val="en-US" w:eastAsia="zh-CN"/>
                    </w:rPr>
                    <w:t>用户基础信息数据模板</w:t>
                  </w:r>
                </w:p>
              </w:tc>
            </w:tr>
          </w:tbl>
          <w:p w14:paraId="193B0C7D">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②数据更新管理机制</w:t>
            </w:r>
          </w:p>
          <w:p w14:paraId="6402588A">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通过建立数据更新管理机制，明确各类数据的更新频率、范围及核心内容，规范数据更新的技术路径、责任主体与工作流程，确保数据实时鲜活，保障功能型无人车数据更新工作及时、高效、准确,满足业务动态管理需求。</w:t>
            </w:r>
          </w:p>
          <w:p w14:paraId="54112299">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③数据共享应用机制</w:t>
            </w:r>
          </w:p>
          <w:p w14:paraId="0DD3E232">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打通无人车数据库与佛山市交通运输综合管理系统其他业务模块的数据链路，建立数据共享与回流机制，拓展数据应用场景，最大化释放数据资产价值。</w:t>
            </w:r>
          </w:p>
          <w:p w14:paraId="6F714456">
            <w:pPr>
              <w:keepNext w:val="0"/>
              <w:keepLines w:val="0"/>
              <w:widowControl/>
              <w:suppressLineNumbers w:val="0"/>
              <w:wordWrap/>
              <w:spacing w:line="240" w:lineRule="auto"/>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3.数据统计分析与可视化展示</w:t>
            </w:r>
          </w:p>
          <w:p w14:paraId="48C8C098">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结合无人车监管服务业务需求，开展核心指标梳理与统计分析，通过标准化展示设计与开发，实现数据成果可视化呈现，为决策指挥与业务管控提供数据支撑。</w:t>
            </w:r>
          </w:p>
          <w:p w14:paraId="78777D81">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①核心指标梳理</w:t>
            </w:r>
          </w:p>
          <w:p w14:paraId="7C990880">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依据无人车业务特性及监管服务要求，从路权开放、主体监管、动态监测三大维度梳理核心统计指标，形成标准化指标体系，全面反映业务运行态势。</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50"/>
              <w:gridCol w:w="1290"/>
              <w:gridCol w:w="1920"/>
              <w:gridCol w:w="3157"/>
            </w:tblGrid>
            <w:tr w14:paraId="4F2A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2174EE4F">
                  <w:pPr>
                    <w:jc w:val="center"/>
                    <w:rPr>
                      <w:rFonts w:hint="eastAsia"/>
                      <w:color w:val="auto"/>
                      <w:highlight w:val="none"/>
                      <w:lang w:val="en-US" w:eastAsia="zh-CN"/>
                    </w:rPr>
                  </w:pPr>
                  <w:r>
                    <w:rPr>
                      <w:rFonts w:hint="eastAsia"/>
                      <w:color w:val="auto"/>
                      <w:highlight w:val="none"/>
                      <w:lang w:val="en-US" w:eastAsia="zh-CN"/>
                    </w:rPr>
                    <w:t>序号</w:t>
                  </w:r>
                </w:p>
              </w:tc>
              <w:tc>
                <w:tcPr>
                  <w:tcW w:w="809" w:type="pct"/>
                  <w:tcBorders>
                    <w:top w:val="single" w:color="000000" w:sz="4" w:space="0"/>
                    <w:bottom w:val="single" w:color="000000" w:sz="4" w:space="0"/>
                    <w:right w:val="single" w:color="000000" w:sz="4" w:space="0"/>
                  </w:tcBorders>
                  <w:noWrap/>
                  <w:vAlign w:val="center"/>
                </w:tcPr>
                <w:p w14:paraId="14C0D38A">
                  <w:pPr>
                    <w:jc w:val="center"/>
                    <w:rPr>
                      <w:rFonts w:hint="eastAsia"/>
                      <w:color w:val="auto"/>
                      <w:highlight w:val="none"/>
                      <w:lang w:val="en-US" w:eastAsia="zh-CN"/>
                    </w:rPr>
                  </w:pPr>
                  <w:r>
                    <w:rPr>
                      <w:rFonts w:hint="eastAsia"/>
                      <w:color w:val="auto"/>
                      <w:highlight w:val="none"/>
                      <w:lang w:val="en-US" w:eastAsia="zh-CN"/>
                    </w:rPr>
                    <w:t>模块</w:t>
                  </w:r>
                </w:p>
              </w:tc>
              <w:tc>
                <w:tcPr>
                  <w:tcW w:w="1205" w:type="pct"/>
                  <w:tcBorders>
                    <w:top w:val="single" w:color="000000" w:sz="4" w:space="0"/>
                    <w:left w:val="single" w:color="000000" w:sz="4" w:space="0"/>
                    <w:bottom w:val="single" w:color="000000" w:sz="4" w:space="0"/>
                    <w:right w:val="single" w:color="000000" w:sz="4" w:space="0"/>
                  </w:tcBorders>
                  <w:noWrap/>
                  <w:vAlign w:val="center"/>
                </w:tcPr>
                <w:p w14:paraId="51B0D202">
                  <w:pPr>
                    <w:jc w:val="center"/>
                    <w:rPr>
                      <w:rFonts w:hint="eastAsia"/>
                      <w:color w:val="auto"/>
                      <w:highlight w:val="none"/>
                      <w:lang w:val="en-US" w:eastAsia="zh-CN"/>
                    </w:rPr>
                  </w:pPr>
                  <w:r>
                    <w:rPr>
                      <w:rFonts w:hint="eastAsia"/>
                      <w:color w:val="auto"/>
                      <w:highlight w:val="none"/>
                      <w:lang w:val="en-US" w:eastAsia="zh-CN"/>
                    </w:rPr>
                    <w:t>功能点</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6B694A6D">
                  <w:pPr>
                    <w:jc w:val="center"/>
                    <w:rPr>
                      <w:rFonts w:hint="eastAsia"/>
                      <w:color w:val="auto"/>
                      <w:highlight w:val="none"/>
                      <w:lang w:val="en-US" w:eastAsia="zh-CN"/>
                    </w:rPr>
                  </w:pPr>
                  <w:r>
                    <w:rPr>
                      <w:rFonts w:hint="eastAsia"/>
                      <w:color w:val="auto"/>
                      <w:highlight w:val="none"/>
                      <w:lang w:val="en-US" w:eastAsia="zh-CN"/>
                    </w:rPr>
                    <w:t>指标项</w:t>
                  </w:r>
                </w:p>
              </w:tc>
            </w:tr>
            <w:tr w14:paraId="4705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1072D463">
                  <w:pPr>
                    <w:jc w:val="center"/>
                    <w:rPr>
                      <w:rFonts w:hint="eastAsia"/>
                      <w:color w:val="auto"/>
                      <w:highlight w:val="none"/>
                      <w:lang w:val="en-US" w:eastAsia="zh-CN"/>
                    </w:rPr>
                  </w:pPr>
                  <w:r>
                    <w:rPr>
                      <w:rFonts w:hint="eastAsia"/>
                      <w:color w:val="auto"/>
                      <w:highlight w:val="none"/>
                      <w:lang w:val="en-US" w:eastAsia="zh-CN"/>
                    </w:rPr>
                    <w:t>1</w:t>
                  </w:r>
                </w:p>
              </w:tc>
              <w:tc>
                <w:tcPr>
                  <w:tcW w:w="809" w:type="pct"/>
                  <w:vMerge w:val="restart"/>
                  <w:tcBorders>
                    <w:top w:val="single" w:color="000000" w:sz="4" w:space="0"/>
                    <w:bottom w:val="single" w:color="000000" w:sz="4" w:space="0"/>
                    <w:right w:val="single" w:color="000000" w:sz="4" w:space="0"/>
                  </w:tcBorders>
                  <w:noWrap/>
                  <w:vAlign w:val="center"/>
                </w:tcPr>
                <w:p w14:paraId="2CC79879">
                  <w:pPr>
                    <w:jc w:val="center"/>
                    <w:rPr>
                      <w:rFonts w:hint="eastAsia"/>
                      <w:color w:val="auto"/>
                      <w:highlight w:val="none"/>
                      <w:lang w:val="en-US" w:eastAsia="zh-CN"/>
                    </w:rPr>
                  </w:pPr>
                  <w:r>
                    <w:rPr>
                      <w:rFonts w:hint="eastAsia"/>
                      <w:color w:val="auto"/>
                      <w:highlight w:val="none"/>
                      <w:lang w:val="en-US" w:eastAsia="zh-CN"/>
                    </w:rPr>
                    <w:t>路权开放信息</w:t>
                  </w: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3A4B09AA">
                  <w:pPr>
                    <w:jc w:val="center"/>
                    <w:rPr>
                      <w:rFonts w:hint="eastAsia"/>
                      <w:color w:val="auto"/>
                      <w:highlight w:val="none"/>
                      <w:lang w:val="en-US" w:eastAsia="zh-CN"/>
                    </w:rPr>
                  </w:pPr>
                  <w:r>
                    <w:rPr>
                      <w:rFonts w:hint="eastAsia"/>
                      <w:color w:val="auto"/>
                      <w:highlight w:val="none"/>
                      <w:lang w:val="en-US" w:eastAsia="zh-CN"/>
                    </w:rPr>
                    <w:t>开放路段情况</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199A700">
                  <w:pPr>
                    <w:jc w:val="center"/>
                    <w:rPr>
                      <w:rFonts w:hint="eastAsia"/>
                      <w:color w:val="auto"/>
                      <w:highlight w:val="none"/>
                      <w:lang w:val="en-US" w:eastAsia="zh-CN"/>
                    </w:rPr>
                  </w:pPr>
                  <w:r>
                    <w:rPr>
                      <w:rFonts w:hint="eastAsia"/>
                      <w:color w:val="auto"/>
                      <w:highlight w:val="none"/>
                      <w:lang w:val="en-US" w:eastAsia="zh-CN"/>
                    </w:rPr>
                    <w:t>道路测试路段数量</w:t>
                  </w:r>
                </w:p>
              </w:tc>
            </w:tr>
            <w:tr w14:paraId="7D23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13EAECE7">
                  <w:pPr>
                    <w:jc w:val="center"/>
                    <w:rPr>
                      <w:rFonts w:hint="eastAsia"/>
                      <w:color w:val="auto"/>
                      <w:highlight w:val="none"/>
                      <w:lang w:val="en-US" w:eastAsia="zh-CN"/>
                    </w:rPr>
                  </w:pPr>
                  <w:r>
                    <w:rPr>
                      <w:rFonts w:hint="eastAsia"/>
                      <w:color w:val="auto"/>
                      <w:highlight w:val="none"/>
                      <w:lang w:val="en-US" w:eastAsia="zh-CN"/>
                    </w:rPr>
                    <w:t>2</w:t>
                  </w:r>
                </w:p>
              </w:tc>
              <w:tc>
                <w:tcPr>
                  <w:tcW w:w="809" w:type="pct"/>
                  <w:vMerge w:val="continue"/>
                  <w:tcBorders>
                    <w:top w:val="single" w:color="000000" w:sz="4" w:space="0"/>
                    <w:bottom w:val="single" w:color="000000" w:sz="4" w:space="0"/>
                    <w:right w:val="single" w:color="000000" w:sz="4" w:space="0"/>
                  </w:tcBorders>
                  <w:noWrap/>
                  <w:vAlign w:val="center"/>
                </w:tcPr>
                <w:p w14:paraId="292CB4B5">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34D952B1">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49E35DDC">
                  <w:pPr>
                    <w:jc w:val="center"/>
                    <w:rPr>
                      <w:rFonts w:hint="eastAsia"/>
                      <w:color w:val="auto"/>
                      <w:highlight w:val="none"/>
                      <w:lang w:val="en-US" w:eastAsia="zh-CN"/>
                    </w:rPr>
                  </w:pPr>
                  <w:r>
                    <w:rPr>
                      <w:rFonts w:hint="eastAsia"/>
                      <w:color w:val="auto"/>
                      <w:highlight w:val="none"/>
                      <w:lang w:val="en-US" w:eastAsia="zh-CN"/>
                    </w:rPr>
                    <w:t>道路测试路段公里数</w:t>
                  </w:r>
                </w:p>
              </w:tc>
            </w:tr>
            <w:tr w14:paraId="434A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7E310783">
                  <w:pPr>
                    <w:jc w:val="center"/>
                    <w:rPr>
                      <w:rFonts w:hint="eastAsia"/>
                      <w:color w:val="auto"/>
                      <w:highlight w:val="none"/>
                      <w:lang w:val="en-US" w:eastAsia="zh-CN"/>
                    </w:rPr>
                  </w:pPr>
                  <w:r>
                    <w:rPr>
                      <w:rFonts w:hint="eastAsia"/>
                      <w:color w:val="auto"/>
                      <w:highlight w:val="none"/>
                      <w:lang w:val="en-US" w:eastAsia="zh-CN"/>
                    </w:rPr>
                    <w:t>3</w:t>
                  </w:r>
                </w:p>
              </w:tc>
              <w:tc>
                <w:tcPr>
                  <w:tcW w:w="809" w:type="pct"/>
                  <w:vMerge w:val="continue"/>
                  <w:tcBorders>
                    <w:top w:val="single" w:color="000000" w:sz="4" w:space="0"/>
                    <w:bottom w:val="single" w:color="000000" w:sz="4" w:space="0"/>
                    <w:right w:val="single" w:color="000000" w:sz="4" w:space="0"/>
                  </w:tcBorders>
                  <w:noWrap/>
                  <w:vAlign w:val="center"/>
                </w:tcPr>
                <w:p w14:paraId="34C2B605">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782D1894">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0A248292">
                  <w:pPr>
                    <w:jc w:val="center"/>
                    <w:rPr>
                      <w:rFonts w:hint="eastAsia"/>
                      <w:color w:val="auto"/>
                      <w:highlight w:val="none"/>
                      <w:lang w:val="en-US" w:eastAsia="zh-CN"/>
                    </w:rPr>
                  </w:pPr>
                  <w:r>
                    <w:rPr>
                      <w:rFonts w:hint="eastAsia"/>
                      <w:color w:val="auto"/>
                      <w:highlight w:val="none"/>
                      <w:lang w:val="en-US" w:eastAsia="zh-CN"/>
                    </w:rPr>
                    <w:t>商业应用路段数量</w:t>
                  </w:r>
                </w:p>
              </w:tc>
            </w:tr>
            <w:tr w14:paraId="044D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4188A69">
                  <w:pPr>
                    <w:jc w:val="center"/>
                    <w:rPr>
                      <w:rFonts w:hint="eastAsia"/>
                      <w:color w:val="auto"/>
                      <w:highlight w:val="none"/>
                      <w:lang w:val="en-US" w:eastAsia="zh-CN"/>
                    </w:rPr>
                  </w:pPr>
                  <w:r>
                    <w:rPr>
                      <w:rFonts w:hint="eastAsia"/>
                      <w:color w:val="auto"/>
                      <w:highlight w:val="none"/>
                      <w:lang w:val="en-US" w:eastAsia="zh-CN"/>
                    </w:rPr>
                    <w:t>4</w:t>
                  </w:r>
                </w:p>
              </w:tc>
              <w:tc>
                <w:tcPr>
                  <w:tcW w:w="809" w:type="pct"/>
                  <w:vMerge w:val="continue"/>
                  <w:tcBorders>
                    <w:top w:val="single" w:color="000000" w:sz="4" w:space="0"/>
                    <w:bottom w:val="single" w:color="000000" w:sz="4" w:space="0"/>
                    <w:right w:val="single" w:color="000000" w:sz="4" w:space="0"/>
                  </w:tcBorders>
                  <w:noWrap/>
                  <w:vAlign w:val="center"/>
                </w:tcPr>
                <w:p w14:paraId="25BCAB4E">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67DDEDFB">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3BA6F90E">
                  <w:pPr>
                    <w:jc w:val="center"/>
                    <w:rPr>
                      <w:rFonts w:hint="eastAsia"/>
                      <w:color w:val="auto"/>
                      <w:highlight w:val="none"/>
                      <w:lang w:val="en-US" w:eastAsia="zh-CN"/>
                    </w:rPr>
                  </w:pPr>
                  <w:r>
                    <w:rPr>
                      <w:rFonts w:hint="eastAsia"/>
                      <w:color w:val="auto"/>
                      <w:highlight w:val="none"/>
                      <w:lang w:val="en-US" w:eastAsia="zh-CN"/>
                    </w:rPr>
                    <w:t>商业应用路段公里数</w:t>
                  </w:r>
                </w:p>
              </w:tc>
            </w:tr>
            <w:tr w14:paraId="0849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341B1608">
                  <w:pPr>
                    <w:jc w:val="center"/>
                    <w:rPr>
                      <w:rFonts w:hint="eastAsia"/>
                      <w:color w:val="auto"/>
                      <w:highlight w:val="none"/>
                      <w:lang w:val="en-US" w:eastAsia="zh-CN"/>
                    </w:rPr>
                  </w:pPr>
                  <w:r>
                    <w:rPr>
                      <w:rFonts w:hint="eastAsia"/>
                      <w:color w:val="auto"/>
                      <w:highlight w:val="none"/>
                      <w:lang w:val="en-US" w:eastAsia="zh-CN"/>
                    </w:rPr>
                    <w:t>5</w:t>
                  </w:r>
                </w:p>
              </w:tc>
              <w:tc>
                <w:tcPr>
                  <w:tcW w:w="809" w:type="pct"/>
                  <w:vMerge w:val="continue"/>
                  <w:tcBorders>
                    <w:top w:val="single" w:color="000000" w:sz="4" w:space="0"/>
                    <w:bottom w:val="single" w:color="000000" w:sz="4" w:space="0"/>
                    <w:right w:val="single" w:color="000000" w:sz="4" w:space="0"/>
                  </w:tcBorders>
                  <w:noWrap/>
                  <w:vAlign w:val="center"/>
                </w:tcPr>
                <w:p w14:paraId="1A9A7C61">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5E8F4248">
                  <w:pPr>
                    <w:jc w:val="center"/>
                    <w:rPr>
                      <w:rFonts w:hint="eastAsia"/>
                      <w:color w:val="auto"/>
                      <w:highlight w:val="none"/>
                      <w:lang w:val="en-US" w:eastAsia="zh-CN"/>
                    </w:rPr>
                  </w:pPr>
                  <w:r>
                    <w:rPr>
                      <w:rFonts w:hint="eastAsia"/>
                      <w:color w:val="auto"/>
                      <w:highlight w:val="none"/>
                      <w:lang w:val="en-US" w:eastAsia="zh-CN"/>
                    </w:rPr>
                    <w:t>开放区域情况</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0C28F7F8">
                  <w:pPr>
                    <w:jc w:val="center"/>
                    <w:rPr>
                      <w:rFonts w:hint="eastAsia"/>
                      <w:color w:val="auto"/>
                      <w:highlight w:val="none"/>
                      <w:lang w:val="en-US" w:eastAsia="zh-CN"/>
                    </w:rPr>
                  </w:pPr>
                  <w:r>
                    <w:rPr>
                      <w:rFonts w:hint="eastAsia"/>
                      <w:color w:val="auto"/>
                      <w:highlight w:val="none"/>
                      <w:lang w:val="en-US" w:eastAsia="zh-CN"/>
                    </w:rPr>
                    <w:t>道路测试区域数量</w:t>
                  </w:r>
                </w:p>
              </w:tc>
            </w:tr>
            <w:tr w14:paraId="1F46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853BAFD">
                  <w:pPr>
                    <w:jc w:val="center"/>
                    <w:rPr>
                      <w:rFonts w:hint="eastAsia"/>
                      <w:color w:val="auto"/>
                      <w:highlight w:val="none"/>
                      <w:lang w:val="en-US" w:eastAsia="zh-CN"/>
                    </w:rPr>
                  </w:pPr>
                  <w:r>
                    <w:rPr>
                      <w:rFonts w:hint="eastAsia"/>
                      <w:color w:val="auto"/>
                      <w:highlight w:val="none"/>
                      <w:lang w:val="en-US" w:eastAsia="zh-CN"/>
                    </w:rPr>
                    <w:t>6</w:t>
                  </w:r>
                </w:p>
              </w:tc>
              <w:tc>
                <w:tcPr>
                  <w:tcW w:w="809" w:type="pct"/>
                  <w:vMerge w:val="continue"/>
                  <w:tcBorders>
                    <w:top w:val="single" w:color="000000" w:sz="4" w:space="0"/>
                    <w:bottom w:val="single" w:color="000000" w:sz="4" w:space="0"/>
                    <w:right w:val="single" w:color="000000" w:sz="4" w:space="0"/>
                  </w:tcBorders>
                  <w:noWrap/>
                  <w:vAlign w:val="center"/>
                </w:tcPr>
                <w:p w14:paraId="7D52F1FB">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02BC7D18">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3FB75F2">
                  <w:pPr>
                    <w:jc w:val="center"/>
                    <w:rPr>
                      <w:rFonts w:hint="eastAsia"/>
                      <w:color w:val="auto"/>
                      <w:highlight w:val="none"/>
                      <w:lang w:val="en-US" w:eastAsia="zh-CN"/>
                    </w:rPr>
                  </w:pPr>
                  <w:r>
                    <w:rPr>
                      <w:rFonts w:hint="eastAsia"/>
                      <w:color w:val="auto"/>
                      <w:highlight w:val="none"/>
                      <w:lang w:val="en-US" w:eastAsia="zh-CN"/>
                    </w:rPr>
                    <w:t>道路测试区域面积</w:t>
                  </w:r>
                </w:p>
              </w:tc>
            </w:tr>
            <w:tr w14:paraId="13C7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CE1FA51">
                  <w:pPr>
                    <w:jc w:val="center"/>
                    <w:rPr>
                      <w:rFonts w:hint="eastAsia"/>
                      <w:color w:val="auto"/>
                      <w:highlight w:val="none"/>
                      <w:lang w:val="en-US" w:eastAsia="zh-CN"/>
                    </w:rPr>
                  </w:pPr>
                  <w:r>
                    <w:rPr>
                      <w:rFonts w:hint="eastAsia"/>
                      <w:color w:val="auto"/>
                      <w:highlight w:val="none"/>
                      <w:lang w:val="en-US" w:eastAsia="zh-CN"/>
                    </w:rPr>
                    <w:t>7</w:t>
                  </w:r>
                </w:p>
              </w:tc>
              <w:tc>
                <w:tcPr>
                  <w:tcW w:w="809" w:type="pct"/>
                  <w:vMerge w:val="continue"/>
                  <w:tcBorders>
                    <w:top w:val="single" w:color="000000" w:sz="4" w:space="0"/>
                    <w:bottom w:val="single" w:color="000000" w:sz="4" w:space="0"/>
                    <w:right w:val="single" w:color="000000" w:sz="4" w:space="0"/>
                  </w:tcBorders>
                  <w:noWrap/>
                  <w:vAlign w:val="center"/>
                </w:tcPr>
                <w:p w14:paraId="0D96D215">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6041B1A8">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0C09C96D">
                  <w:pPr>
                    <w:jc w:val="center"/>
                    <w:rPr>
                      <w:rFonts w:hint="eastAsia"/>
                      <w:color w:val="auto"/>
                      <w:highlight w:val="none"/>
                      <w:lang w:val="en-US" w:eastAsia="zh-CN"/>
                    </w:rPr>
                  </w:pPr>
                  <w:r>
                    <w:rPr>
                      <w:rFonts w:hint="eastAsia"/>
                      <w:color w:val="auto"/>
                      <w:highlight w:val="none"/>
                      <w:lang w:val="en-US" w:eastAsia="zh-CN"/>
                    </w:rPr>
                    <w:t>商业应用区域数量</w:t>
                  </w:r>
                </w:p>
              </w:tc>
            </w:tr>
            <w:tr w14:paraId="1698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767EE635">
                  <w:pPr>
                    <w:jc w:val="center"/>
                    <w:rPr>
                      <w:rFonts w:hint="eastAsia"/>
                      <w:color w:val="auto"/>
                      <w:highlight w:val="none"/>
                      <w:lang w:val="en-US" w:eastAsia="zh-CN"/>
                    </w:rPr>
                  </w:pPr>
                  <w:r>
                    <w:rPr>
                      <w:rFonts w:hint="eastAsia"/>
                      <w:color w:val="auto"/>
                      <w:highlight w:val="none"/>
                      <w:lang w:val="en-US" w:eastAsia="zh-CN"/>
                    </w:rPr>
                    <w:t>8</w:t>
                  </w:r>
                </w:p>
              </w:tc>
              <w:tc>
                <w:tcPr>
                  <w:tcW w:w="809" w:type="pct"/>
                  <w:vMerge w:val="continue"/>
                  <w:tcBorders>
                    <w:top w:val="single" w:color="000000" w:sz="4" w:space="0"/>
                    <w:bottom w:val="single" w:color="000000" w:sz="4" w:space="0"/>
                    <w:right w:val="single" w:color="000000" w:sz="4" w:space="0"/>
                  </w:tcBorders>
                  <w:noWrap/>
                  <w:vAlign w:val="center"/>
                </w:tcPr>
                <w:p w14:paraId="2D00FEAB">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180B5CF6">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1A2EF910">
                  <w:pPr>
                    <w:jc w:val="center"/>
                    <w:rPr>
                      <w:rFonts w:hint="eastAsia"/>
                      <w:color w:val="auto"/>
                      <w:highlight w:val="none"/>
                      <w:lang w:val="en-US" w:eastAsia="zh-CN"/>
                    </w:rPr>
                  </w:pPr>
                  <w:r>
                    <w:rPr>
                      <w:rFonts w:hint="eastAsia"/>
                      <w:color w:val="auto"/>
                      <w:highlight w:val="none"/>
                      <w:lang w:val="en-US" w:eastAsia="zh-CN"/>
                    </w:rPr>
                    <w:t>商业应用区域面积</w:t>
                  </w:r>
                </w:p>
              </w:tc>
            </w:tr>
            <w:tr w14:paraId="640B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4787092D">
                  <w:pPr>
                    <w:jc w:val="center"/>
                    <w:rPr>
                      <w:rFonts w:hint="eastAsia"/>
                      <w:color w:val="auto"/>
                      <w:highlight w:val="none"/>
                      <w:lang w:val="en-US" w:eastAsia="zh-CN"/>
                    </w:rPr>
                  </w:pPr>
                  <w:r>
                    <w:rPr>
                      <w:rFonts w:hint="eastAsia"/>
                      <w:color w:val="auto"/>
                      <w:highlight w:val="none"/>
                      <w:lang w:val="en-US" w:eastAsia="zh-CN"/>
                    </w:rPr>
                    <w:t>9</w:t>
                  </w:r>
                </w:p>
              </w:tc>
              <w:tc>
                <w:tcPr>
                  <w:tcW w:w="809" w:type="pct"/>
                  <w:vMerge w:val="continue"/>
                  <w:tcBorders>
                    <w:top w:val="single" w:color="000000" w:sz="4" w:space="0"/>
                    <w:bottom w:val="single" w:color="000000" w:sz="4" w:space="0"/>
                    <w:right w:val="single" w:color="000000" w:sz="4" w:space="0"/>
                  </w:tcBorders>
                  <w:noWrap/>
                  <w:vAlign w:val="center"/>
                </w:tcPr>
                <w:p w14:paraId="7CAE7DB1">
                  <w:pPr>
                    <w:jc w:val="center"/>
                    <w:rPr>
                      <w:rFonts w:hint="eastAsia"/>
                      <w:color w:val="auto"/>
                      <w:highlight w:val="none"/>
                      <w:lang w:val="en-US" w:eastAsia="zh-CN"/>
                    </w:rPr>
                  </w:pPr>
                </w:p>
              </w:tc>
              <w:tc>
                <w:tcPr>
                  <w:tcW w:w="1205" w:type="pct"/>
                  <w:vMerge w:val="restart"/>
                  <w:tcBorders>
                    <w:left w:val="single" w:color="000000" w:sz="4" w:space="0"/>
                    <w:right w:val="single" w:color="000000" w:sz="4" w:space="0"/>
                  </w:tcBorders>
                  <w:noWrap/>
                  <w:vAlign w:val="center"/>
                </w:tcPr>
                <w:p w14:paraId="6C477E1D">
                  <w:pPr>
                    <w:jc w:val="center"/>
                    <w:rPr>
                      <w:rFonts w:hint="eastAsia"/>
                      <w:color w:val="auto"/>
                      <w:highlight w:val="none"/>
                      <w:lang w:val="en-US" w:eastAsia="zh-CN"/>
                    </w:rPr>
                  </w:pPr>
                  <w:r>
                    <w:rPr>
                      <w:rFonts w:hint="eastAsia"/>
                      <w:color w:val="auto"/>
                      <w:highlight w:val="none"/>
                      <w:lang w:val="en-US" w:eastAsia="zh-CN"/>
                    </w:rPr>
                    <w:t>重点交通路段情况</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D10B6BF">
                  <w:pPr>
                    <w:jc w:val="center"/>
                    <w:rPr>
                      <w:rFonts w:hint="eastAsia"/>
                      <w:color w:val="auto"/>
                      <w:highlight w:val="none"/>
                      <w:lang w:val="en-US" w:eastAsia="zh-CN"/>
                    </w:rPr>
                  </w:pPr>
                  <w:r>
                    <w:rPr>
                      <w:rFonts w:hint="eastAsia"/>
                      <w:color w:val="auto"/>
                      <w:highlight w:val="none"/>
                      <w:lang w:val="en-US" w:eastAsia="zh-CN"/>
                    </w:rPr>
                    <w:t>重点交通路段数量</w:t>
                  </w:r>
                </w:p>
              </w:tc>
            </w:tr>
            <w:tr w14:paraId="084B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883F24A">
                  <w:pPr>
                    <w:jc w:val="center"/>
                    <w:rPr>
                      <w:rFonts w:hint="eastAsia"/>
                      <w:color w:val="auto"/>
                      <w:highlight w:val="none"/>
                      <w:lang w:val="en-US" w:eastAsia="zh-CN"/>
                    </w:rPr>
                  </w:pPr>
                  <w:r>
                    <w:rPr>
                      <w:rFonts w:hint="eastAsia"/>
                      <w:color w:val="auto"/>
                      <w:highlight w:val="none"/>
                      <w:lang w:val="en-US" w:eastAsia="zh-CN"/>
                    </w:rPr>
                    <w:t>10</w:t>
                  </w:r>
                </w:p>
              </w:tc>
              <w:tc>
                <w:tcPr>
                  <w:tcW w:w="809" w:type="pct"/>
                  <w:vMerge w:val="continue"/>
                  <w:tcBorders>
                    <w:top w:val="single" w:color="000000" w:sz="4" w:space="0"/>
                    <w:bottom w:val="single" w:color="000000" w:sz="4" w:space="0"/>
                    <w:right w:val="single" w:color="000000" w:sz="4" w:space="0"/>
                  </w:tcBorders>
                  <w:noWrap/>
                  <w:vAlign w:val="center"/>
                </w:tcPr>
                <w:p w14:paraId="5EFC563E">
                  <w:pPr>
                    <w:jc w:val="center"/>
                    <w:rPr>
                      <w:rFonts w:hint="eastAsia"/>
                      <w:color w:val="auto"/>
                      <w:highlight w:val="none"/>
                      <w:lang w:val="en-US" w:eastAsia="zh-CN"/>
                    </w:rPr>
                  </w:pPr>
                </w:p>
              </w:tc>
              <w:tc>
                <w:tcPr>
                  <w:tcW w:w="1205" w:type="pct"/>
                  <w:vMerge w:val="continue"/>
                  <w:tcBorders>
                    <w:left w:val="single" w:color="000000" w:sz="4" w:space="0"/>
                    <w:right w:val="single" w:color="000000" w:sz="4" w:space="0"/>
                  </w:tcBorders>
                  <w:noWrap/>
                  <w:vAlign w:val="center"/>
                </w:tcPr>
                <w:p w14:paraId="3A97375F">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3999A285">
                  <w:pPr>
                    <w:jc w:val="center"/>
                    <w:rPr>
                      <w:rFonts w:hint="eastAsia"/>
                      <w:color w:val="auto"/>
                      <w:highlight w:val="none"/>
                      <w:lang w:val="en-US" w:eastAsia="zh-CN"/>
                    </w:rPr>
                  </w:pPr>
                  <w:r>
                    <w:rPr>
                      <w:rFonts w:hint="eastAsia"/>
                      <w:color w:val="auto"/>
                      <w:highlight w:val="none"/>
                      <w:lang w:val="en-US" w:eastAsia="zh-CN"/>
                    </w:rPr>
                    <w:t>重点交通路段长度</w:t>
                  </w:r>
                </w:p>
              </w:tc>
            </w:tr>
            <w:tr w14:paraId="2188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00B2270">
                  <w:pPr>
                    <w:jc w:val="center"/>
                    <w:rPr>
                      <w:rFonts w:hint="eastAsia"/>
                      <w:color w:val="auto"/>
                      <w:highlight w:val="none"/>
                      <w:lang w:val="en-US" w:eastAsia="zh-CN"/>
                    </w:rPr>
                  </w:pPr>
                  <w:r>
                    <w:rPr>
                      <w:rFonts w:hint="eastAsia"/>
                      <w:color w:val="auto"/>
                      <w:highlight w:val="none"/>
                      <w:lang w:val="en-US" w:eastAsia="zh-CN"/>
                    </w:rPr>
                    <w:t>11</w:t>
                  </w:r>
                </w:p>
              </w:tc>
              <w:tc>
                <w:tcPr>
                  <w:tcW w:w="809" w:type="pct"/>
                  <w:vMerge w:val="continue"/>
                  <w:tcBorders>
                    <w:top w:val="single" w:color="000000" w:sz="4" w:space="0"/>
                    <w:bottom w:val="single" w:color="000000" w:sz="4" w:space="0"/>
                    <w:right w:val="single" w:color="000000" w:sz="4" w:space="0"/>
                  </w:tcBorders>
                  <w:noWrap/>
                  <w:vAlign w:val="center"/>
                </w:tcPr>
                <w:p w14:paraId="6582E6DE">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175ABFB6">
                  <w:pPr>
                    <w:jc w:val="center"/>
                    <w:rPr>
                      <w:rFonts w:hint="eastAsia"/>
                      <w:color w:val="auto"/>
                      <w:highlight w:val="none"/>
                      <w:lang w:val="en-US" w:eastAsia="zh-CN"/>
                    </w:rPr>
                  </w:pPr>
                  <w:r>
                    <w:rPr>
                      <w:rFonts w:hint="eastAsia"/>
                      <w:color w:val="auto"/>
                      <w:highlight w:val="none"/>
                      <w:lang w:val="en-US" w:eastAsia="zh-CN"/>
                    </w:rPr>
                    <w:t>转场路段情况</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13AC402A">
                  <w:pPr>
                    <w:jc w:val="center"/>
                    <w:rPr>
                      <w:rFonts w:hint="eastAsia"/>
                      <w:color w:val="auto"/>
                      <w:highlight w:val="none"/>
                      <w:lang w:val="en-US" w:eastAsia="zh-CN"/>
                    </w:rPr>
                  </w:pPr>
                  <w:r>
                    <w:rPr>
                      <w:rFonts w:hint="eastAsia"/>
                      <w:color w:val="auto"/>
                      <w:highlight w:val="none"/>
                      <w:lang w:val="en-US" w:eastAsia="zh-CN"/>
                    </w:rPr>
                    <w:t>道路测试转场路段数量</w:t>
                  </w:r>
                </w:p>
              </w:tc>
            </w:tr>
            <w:tr w14:paraId="475E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AD29D02">
                  <w:pPr>
                    <w:jc w:val="center"/>
                    <w:rPr>
                      <w:rFonts w:hint="eastAsia"/>
                      <w:color w:val="auto"/>
                      <w:highlight w:val="none"/>
                      <w:lang w:val="en-US" w:eastAsia="zh-CN"/>
                    </w:rPr>
                  </w:pPr>
                  <w:r>
                    <w:rPr>
                      <w:rFonts w:hint="eastAsia"/>
                      <w:color w:val="auto"/>
                      <w:highlight w:val="none"/>
                      <w:lang w:val="en-US" w:eastAsia="zh-CN"/>
                    </w:rPr>
                    <w:t>12</w:t>
                  </w:r>
                </w:p>
              </w:tc>
              <w:tc>
                <w:tcPr>
                  <w:tcW w:w="809" w:type="pct"/>
                  <w:vMerge w:val="continue"/>
                  <w:tcBorders>
                    <w:top w:val="single" w:color="000000" w:sz="4" w:space="0"/>
                    <w:bottom w:val="single" w:color="000000" w:sz="4" w:space="0"/>
                    <w:right w:val="single" w:color="000000" w:sz="4" w:space="0"/>
                  </w:tcBorders>
                  <w:noWrap/>
                  <w:vAlign w:val="center"/>
                </w:tcPr>
                <w:p w14:paraId="6F5B44FC">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6CD0623B">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49691AB2">
                  <w:pPr>
                    <w:jc w:val="center"/>
                    <w:rPr>
                      <w:rFonts w:hint="eastAsia"/>
                      <w:color w:val="auto"/>
                      <w:highlight w:val="none"/>
                      <w:lang w:val="en-US" w:eastAsia="zh-CN"/>
                    </w:rPr>
                  </w:pPr>
                  <w:r>
                    <w:rPr>
                      <w:rFonts w:hint="eastAsia"/>
                      <w:color w:val="auto"/>
                      <w:highlight w:val="none"/>
                      <w:lang w:val="en-US" w:eastAsia="zh-CN"/>
                    </w:rPr>
                    <w:t>道路测试转场路段公里数</w:t>
                  </w:r>
                </w:p>
              </w:tc>
            </w:tr>
            <w:tr w14:paraId="6636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479FECD8">
                  <w:pPr>
                    <w:jc w:val="center"/>
                    <w:rPr>
                      <w:rFonts w:hint="eastAsia"/>
                      <w:color w:val="auto"/>
                      <w:highlight w:val="none"/>
                      <w:lang w:val="en-US" w:eastAsia="zh-CN"/>
                    </w:rPr>
                  </w:pPr>
                  <w:r>
                    <w:rPr>
                      <w:rFonts w:hint="eastAsia"/>
                      <w:color w:val="auto"/>
                      <w:highlight w:val="none"/>
                      <w:lang w:val="en-US" w:eastAsia="zh-CN"/>
                    </w:rPr>
                    <w:t>13</w:t>
                  </w:r>
                </w:p>
              </w:tc>
              <w:tc>
                <w:tcPr>
                  <w:tcW w:w="809" w:type="pct"/>
                  <w:vMerge w:val="continue"/>
                  <w:tcBorders>
                    <w:top w:val="single" w:color="000000" w:sz="4" w:space="0"/>
                    <w:bottom w:val="single" w:color="000000" w:sz="4" w:space="0"/>
                    <w:right w:val="single" w:color="000000" w:sz="4" w:space="0"/>
                  </w:tcBorders>
                  <w:noWrap/>
                  <w:vAlign w:val="center"/>
                </w:tcPr>
                <w:p w14:paraId="32B307C0">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172FCC82">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12AED9F">
                  <w:pPr>
                    <w:jc w:val="center"/>
                    <w:rPr>
                      <w:rFonts w:hint="eastAsia"/>
                      <w:color w:val="auto"/>
                      <w:highlight w:val="none"/>
                      <w:lang w:val="en-US" w:eastAsia="zh-CN"/>
                    </w:rPr>
                  </w:pPr>
                  <w:r>
                    <w:rPr>
                      <w:rFonts w:hint="eastAsia"/>
                      <w:color w:val="auto"/>
                      <w:highlight w:val="none"/>
                      <w:lang w:val="en-US" w:eastAsia="zh-CN"/>
                    </w:rPr>
                    <w:t>商业应用转场路段数量</w:t>
                  </w:r>
                </w:p>
              </w:tc>
            </w:tr>
            <w:tr w14:paraId="53A3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26507DDE">
                  <w:pPr>
                    <w:jc w:val="center"/>
                    <w:rPr>
                      <w:rFonts w:hint="eastAsia"/>
                      <w:color w:val="auto"/>
                      <w:highlight w:val="none"/>
                      <w:lang w:val="en-US" w:eastAsia="zh-CN"/>
                    </w:rPr>
                  </w:pPr>
                  <w:r>
                    <w:rPr>
                      <w:rFonts w:hint="eastAsia"/>
                      <w:color w:val="auto"/>
                      <w:highlight w:val="none"/>
                      <w:lang w:val="en-US" w:eastAsia="zh-CN"/>
                    </w:rPr>
                    <w:t>14</w:t>
                  </w:r>
                </w:p>
              </w:tc>
              <w:tc>
                <w:tcPr>
                  <w:tcW w:w="809" w:type="pct"/>
                  <w:vMerge w:val="continue"/>
                  <w:tcBorders>
                    <w:top w:val="single" w:color="000000" w:sz="4" w:space="0"/>
                    <w:bottom w:val="single" w:color="000000" w:sz="4" w:space="0"/>
                    <w:right w:val="single" w:color="000000" w:sz="4" w:space="0"/>
                  </w:tcBorders>
                  <w:noWrap/>
                  <w:vAlign w:val="center"/>
                </w:tcPr>
                <w:p w14:paraId="19924214">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28CD3028">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5D4AA61">
                  <w:pPr>
                    <w:jc w:val="center"/>
                    <w:rPr>
                      <w:rFonts w:hint="eastAsia"/>
                      <w:color w:val="auto"/>
                      <w:highlight w:val="none"/>
                      <w:lang w:val="en-US" w:eastAsia="zh-CN"/>
                    </w:rPr>
                  </w:pPr>
                  <w:r>
                    <w:rPr>
                      <w:rFonts w:hint="eastAsia"/>
                      <w:color w:val="auto"/>
                      <w:highlight w:val="none"/>
                      <w:lang w:val="en-US" w:eastAsia="zh-CN"/>
                    </w:rPr>
                    <w:t>商业应用转场路段公里数</w:t>
                  </w:r>
                </w:p>
              </w:tc>
            </w:tr>
            <w:tr w14:paraId="4CEB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4BDA7F65">
                  <w:pPr>
                    <w:jc w:val="center"/>
                    <w:rPr>
                      <w:rFonts w:hint="eastAsia"/>
                      <w:color w:val="auto"/>
                      <w:highlight w:val="none"/>
                      <w:lang w:val="en-US" w:eastAsia="zh-CN"/>
                    </w:rPr>
                  </w:pPr>
                  <w:r>
                    <w:rPr>
                      <w:rFonts w:hint="eastAsia"/>
                      <w:color w:val="auto"/>
                      <w:highlight w:val="none"/>
                      <w:lang w:val="en-US" w:eastAsia="zh-CN"/>
                    </w:rPr>
                    <w:t>15</w:t>
                  </w:r>
                </w:p>
              </w:tc>
              <w:tc>
                <w:tcPr>
                  <w:tcW w:w="809" w:type="pct"/>
                  <w:vMerge w:val="continue"/>
                  <w:tcBorders>
                    <w:top w:val="single" w:color="000000" w:sz="4" w:space="0"/>
                    <w:bottom w:val="single" w:color="000000" w:sz="4" w:space="0"/>
                    <w:right w:val="single" w:color="000000" w:sz="4" w:space="0"/>
                  </w:tcBorders>
                  <w:noWrap/>
                  <w:vAlign w:val="center"/>
                </w:tcPr>
                <w:p w14:paraId="282D2CC8">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67BF2448">
                  <w:pPr>
                    <w:jc w:val="center"/>
                    <w:rPr>
                      <w:rFonts w:hint="eastAsia"/>
                      <w:color w:val="auto"/>
                      <w:highlight w:val="none"/>
                      <w:lang w:val="en-US" w:eastAsia="zh-CN"/>
                    </w:rPr>
                  </w:pPr>
                  <w:r>
                    <w:rPr>
                      <w:rFonts w:hint="eastAsia"/>
                      <w:color w:val="auto"/>
                      <w:highlight w:val="none"/>
                      <w:lang w:val="en-US" w:eastAsia="zh-CN"/>
                    </w:rPr>
                    <w:t>停车场情况</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43A58121">
                  <w:pPr>
                    <w:jc w:val="center"/>
                    <w:rPr>
                      <w:rFonts w:hint="eastAsia"/>
                      <w:color w:val="auto"/>
                      <w:highlight w:val="none"/>
                      <w:lang w:val="en-US" w:eastAsia="zh-CN"/>
                    </w:rPr>
                  </w:pPr>
                  <w:r>
                    <w:rPr>
                      <w:rFonts w:hint="eastAsia"/>
                      <w:color w:val="auto"/>
                      <w:highlight w:val="none"/>
                      <w:lang w:val="en-US" w:eastAsia="zh-CN"/>
                    </w:rPr>
                    <w:t>道路测试停车场数量</w:t>
                  </w:r>
                </w:p>
              </w:tc>
            </w:tr>
            <w:tr w14:paraId="6C47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3E2B6F06">
                  <w:pPr>
                    <w:jc w:val="center"/>
                    <w:rPr>
                      <w:rFonts w:hint="eastAsia"/>
                      <w:color w:val="auto"/>
                      <w:highlight w:val="none"/>
                      <w:lang w:val="en-US" w:eastAsia="zh-CN"/>
                    </w:rPr>
                  </w:pPr>
                  <w:r>
                    <w:rPr>
                      <w:rFonts w:hint="eastAsia"/>
                      <w:color w:val="auto"/>
                      <w:highlight w:val="none"/>
                      <w:lang w:val="en-US" w:eastAsia="zh-CN"/>
                    </w:rPr>
                    <w:t>16</w:t>
                  </w:r>
                </w:p>
              </w:tc>
              <w:tc>
                <w:tcPr>
                  <w:tcW w:w="809" w:type="pct"/>
                  <w:vMerge w:val="continue"/>
                  <w:tcBorders>
                    <w:top w:val="single" w:color="000000" w:sz="4" w:space="0"/>
                    <w:bottom w:val="single" w:color="000000" w:sz="4" w:space="0"/>
                    <w:right w:val="single" w:color="000000" w:sz="4" w:space="0"/>
                  </w:tcBorders>
                  <w:noWrap/>
                  <w:vAlign w:val="center"/>
                </w:tcPr>
                <w:p w14:paraId="6518B28A">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54021EE1">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18C0632">
                  <w:pPr>
                    <w:jc w:val="center"/>
                    <w:rPr>
                      <w:rFonts w:hint="eastAsia"/>
                      <w:color w:val="auto"/>
                      <w:highlight w:val="none"/>
                      <w:lang w:val="en-US" w:eastAsia="zh-CN"/>
                    </w:rPr>
                  </w:pPr>
                  <w:r>
                    <w:rPr>
                      <w:rFonts w:hint="eastAsia"/>
                      <w:color w:val="auto"/>
                      <w:highlight w:val="none"/>
                      <w:lang w:val="en-US" w:eastAsia="zh-CN"/>
                    </w:rPr>
                    <w:t>商业应用停车场数量</w:t>
                  </w:r>
                </w:p>
              </w:tc>
            </w:tr>
            <w:tr w14:paraId="4928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EFF9C89">
                  <w:pPr>
                    <w:jc w:val="center"/>
                    <w:rPr>
                      <w:rFonts w:hint="eastAsia"/>
                      <w:color w:val="auto"/>
                      <w:highlight w:val="none"/>
                      <w:lang w:val="en-US" w:eastAsia="zh-CN"/>
                    </w:rPr>
                  </w:pPr>
                  <w:r>
                    <w:rPr>
                      <w:rFonts w:hint="eastAsia"/>
                      <w:color w:val="auto"/>
                      <w:highlight w:val="none"/>
                      <w:lang w:val="en-US" w:eastAsia="zh-CN"/>
                    </w:rPr>
                    <w:t>17</w:t>
                  </w:r>
                </w:p>
              </w:tc>
              <w:tc>
                <w:tcPr>
                  <w:tcW w:w="809" w:type="pct"/>
                  <w:vMerge w:val="restart"/>
                  <w:tcBorders>
                    <w:top w:val="single" w:color="000000" w:sz="4" w:space="0"/>
                    <w:right w:val="single" w:color="000000" w:sz="4" w:space="0"/>
                  </w:tcBorders>
                  <w:noWrap/>
                  <w:vAlign w:val="center"/>
                </w:tcPr>
                <w:p w14:paraId="7FF9F174">
                  <w:pPr>
                    <w:jc w:val="center"/>
                    <w:rPr>
                      <w:rFonts w:hint="eastAsia"/>
                      <w:color w:val="auto"/>
                      <w:highlight w:val="none"/>
                      <w:lang w:val="en-US" w:eastAsia="zh-CN"/>
                    </w:rPr>
                  </w:pPr>
                  <w:r>
                    <w:rPr>
                      <w:rFonts w:hint="eastAsia"/>
                      <w:color w:val="auto"/>
                      <w:highlight w:val="none"/>
                      <w:lang w:val="en-US" w:eastAsia="zh-CN"/>
                    </w:rPr>
                    <w:t>主体监管信息</w:t>
                  </w:r>
                </w:p>
              </w:tc>
              <w:tc>
                <w:tcPr>
                  <w:tcW w:w="1205" w:type="pct"/>
                  <w:vMerge w:val="restart"/>
                  <w:tcBorders>
                    <w:top w:val="single" w:color="000000" w:sz="4" w:space="0"/>
                    <w:left w:val="single" w:color="000000" w:sz="4" w:space="0"/>
                    <w:right w:val="single" w:color="000000" w:sz="4" w:space="0"/>
                  </w:tcBorders>
                  <w:noWrap/>
                  <w:vAlign w:val="center"/>
                </w:tcPr>
                <w:p w14:paraId="607DEC5E">
                  <w:pPr>
                    <w:jc w:val="center"/>
                    <w:rPr>
                      <w:rFonts w:hint="eastAsia"/>
                      <w:color w:val="auto"/>
                      <w:highlight w:val="none"/>
                      <w:lang w:val="en-US" w:eastAsia="zh-CN"/>
                    </w:rPr>
                  </w:pPr>
                  <w:r>
                    <w:rPr>
                      <w:rFonts w:hint="eastAsia"/>
                      <w:color w:val="auto"/>
                      <w:highlight w:val="none"/>
                      <w:lang w:val="en-US" w:eastAsia="zh-CN"/>
                    </w:rPr>
                    <w:t>车辆数量</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04F2E8E">
                  <w:pPr>
                    <w:jc w:val="center"/>
                    <w:rPr>
                      <w:rFonts w:hint="eastAsia"/>
                      <w:color w:val="auto"/>
                      <w:highlight w:val="none"/>
                      <w:lang w:val="en-US" w:eastAsia="zh-CN"/>
                    </w:rPr>
                  </w:pPr>
                  <w:r>
                    <w:rPr>
                      <w:rFonts w:hint="eastAsia"/>
                      <w:color w:val="auto"/>
                      <w:highlight w:val="none"/>
                      <w:lang w:val="en-US" w:eastAsia="zh-CN"/>
                    </w:rPr>
                    <w:t>五区管辖道路测试车辆总数</w:t>
                  </w:r>
                </w:p>
              </w:tc>
            </w:tr>
            <w:tr w14:paraId="61C0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0293F0F">
                  <w:pPr>
                    <w:jc w:val="center"/>
                    <w:rPr>
                      <w:rFonts w:hint="eastAsia"/>
                      <w:color w:val="auto"/>
                      <w:highlight w:val="none"/>
                      <w:lang w:val="en-US" w:eastAsia="zh-CN"/>
                    </w:rPr>
                  </w:pPr>
                  <w:r>
                    <w:rPr>
                      <w:rFonts w:hint="eastAsia"/>
                      <w:color w:val="auto"/>
                      <w:highlight w:val="none"/>
                      <w:lang w:val="en-US" w:eastAsia="zh-CN"/>
                    </w:rPr>
                    <w:t>18</w:t>
                  </w:r>
                </w:p>
              </w:tc>
              <w:tc>
                <w:tcPr>
                  <w:tcW w:w="809" w:type="pct"/>
                  <w:vMerge w:val="continue"/>
                  <w:tcBorders>
                    <w:top w:val="single" w:color="000000" w:sz="4" w:space="0"/>
                    <w:right w:val="single" w:color="000000" w:sz="4" w:space="0"/>
                  </w:tcBorders>
                  <w:noWrap/>
                  <w:vAlign w:val="center"/>
                </w:tcPr>
                <w:p w14:paraId="7667B923">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4EC96CD8">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1F30D0E">
                  <w:pPr>
                    <w:jc w:val="center"/>
                    <w:rPr>
                      <w:rFonts w:hint="eastAsia"/>
                      <w:color w:val="auto"/>
                      <w:highlight w:val="none"/>
                      <w:lang w:val="en-US" w:eastAsia="zh-CN"/>
                    </w:rPr>
                  </w:pPr>
                  <w:r>
                    <w:rPr>
                      <w:rFonts w:hint="eastAsia"/>
                      <w:color w:val="auto"/>
                      <w:highlight w:val="none"/>
                      <w:lang w:val="en-US" w:eastAsia="zh-CN"/>
                    </w:rPr>
                    <w:t>主体接入道路测试车辆总数</w:t>
                  </w:r>
                </w:p>
              </w:tc>
            </w:tr>
            <w:tr w14:paraId="52AC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338E841">
                  <w:pPr>
                    <w:jc w:val="center"/>
                    <w:rPr>
                      <w:rFonts w:hint="eastAsia"/>
                      <w:color w:val="auto"/>
                      <w:highlight w:val="none"/>
                      <w:lang w:val="en-US" w:eastAsia="zh-CN"/>
                    </w:rPr>
                  </w:pPr>
                  <w:r>
                    <w:rPr>
                      <w:rFonts w:hint="eastAsia"/>
                      <w:color w:val="auto"/>
                      <w:highlight w:val="none"/>
                      <w:lang w:val="en-US" w:eastAsia="zh-CN"/>
                    </w:rPr>
                    <w:t>19</w:t>
                  </w:r>
                </w:p>
              </w:tc>
              <w:tc>
                <w:tcPr>
                  <w:tcW w:w="809" w:type="pct"/>
                  <w:vMerge w:val="continue"/>
                  <w:tcBorders>
                    <w:top w:val="single" w:color="000000" w:sz="4" w:space="0"/>
                    <w:right w:val="single" w:color="000000" w:sz="4" w:space="0"/>
                  </w:tcBorders>
                  <w:noWrap/>
                  <w:vAlign w:val="center"/>
                </w:tcPr>
                <w:p w14:paraId="6D5AAC5F">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4617D9B9">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55FDF6B6">
                  <w:pPr>
                    <w:jc w:val="center"/>
                    <w:rPr>
                      <w:rFonts w:hint="eastAsia"/>
                      <w:color w:val="auto"/>
                      <w:highlight w:val="none"/>
                      <w:lang w:val="en-US" w:eastAsia="zh-CN"/>
                    </w:rPr>
                  </w:pPr>
                  <w:r>
                    <w:rPr>
                      <w:rFonts w:hint="eastAsia"/>
                      <w:color w:val="auto"/>
                      <w:highlight w:val="none"/>
                      <w:lang w:val="en-US" w:eastAsia="zh-CN"/>
                    </w:rPr>
                    <w:t>五区管辖商业应用车辆总数</w:t>
                  </w:r>
                </w:p>
              </w:tc>
            </w:tr>
            <w:tr w14:paraId="0049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7A9B8BCF">
                  <w:pPr>
                    <w:jc w:val="center"/>
                    <w:rPr>
                      <w:rFonts w:hint="eastAsia"/>
                      <w:color w:val="auto"/>
                      <w:highlight w:val="none"/>
                      <w:lang w:val="en-US" w:eastAsia="zh-CN"/>
                    </w:rPr>
                  </w:pPr>
                  <w:r>
                    <w:rPr>
                      <w:rFonts w:hint="eastAsia"/>
                      <w:color w:val="auto"/>
                      <w:highlight w:val="none"/>
                      <w:lang w:val="en-US" w:eastAsia="zh-CN"/>
                    </w:rPr>
                    <w:t>20</w:t>
                  </w:r>
                </w:p>
              </w:tc>
              <w:tc>
                <w:tcPr>
                  <w:tcW w:w="809" w:type="pct"/>
                  <w:vMerge w:val="continue"/>
                  <w:tcBorders>
                    <w:top w:val="single" w:color="000000" w:sz="4" w:space="0"/>
                    <w:right w:val="single" w:color="000000" w:sz="4" w:space="0"/>
                  </w:tcBorders>
                  <w:noWrap/>
                  <w:vAlign w:val="center"/>
                </w:tcPr>
                <w:p w14:paraId="4132313B">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184989CF">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54DD48FA">
                  <w:pPr>
                    <w:jc w:val="center"/>
                    <w:rPr>
                      <w:rFonts w:hint="eastAsia"/>
                      <w:color w:val="auto"/>
                      <w:highlight w:val="none"/>
                      <w:lang w:val="en-US" w:eastAsia="zh-CN"/>
                    </w:rPr>
                  </w:pPr>
                  <w:r>
                    <w:rPr>
                      <w:rFonts w:hint="eastAsia"/>
                      <w:color w:val="auto"/>
                      <w:highlight w:val="none"/>
                      <w:lang w:val="en-US" w:eastAsia="zh-CN"/>
                    </w:rPr>
                    <w:t>主体接入商业应用车辆总数</w:t>
                  </w:r>
                </w:p>
              </w:tc>
            </w:tr>
            <w:tr w14:paraId="09C6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3544D46C">
                  <w:pPr>
                    <w:jc w:val="center"/>
                    <w:rPr>
                      <w:rFonts w:hint="eastAsia"/>
                      <w:color w:val="auto"/>
                      <w:highlight w:val="none"/>
                      <w:lang w:val="en-US" w:eastAsia="zh-CN"/>
                    </w:rPr>
                  </w:pPr>
                  <w:r>
                    <w:rPr>
                      <w:rFonts w:hint="eastAsia"/>
                      <w:color w:val="auto"/>
                      <w:highlight w:val="none"/>
                      <w:lang w:val="en-US" w:eastAsia="zh-CN"/>
                    </w:rPr>
                    <w:t>21</w:t>
                  </w:r>
                </w:p>
              </w:tc>
              <w:tc>
                <w:tcPr>
                  <w:tcW w:w="809" w:type="pct"/>
                  <w:vMerge w:val="continue"/>
                  <w:tcBorders>
                    <w:top w:val="single" w:color="000000" w:sz="4" w:space="0"/>
                    <w:right w:val="single" w:color="000000" w:sz="4" w:space="0"/>
                  </w:tcBorders>
                  <w:noWrap/>
                  <w:vAlign w:val="center"/>
                </w:tcPr>
                <w:p w14:paraId="0F44516A">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06BBA88E">
                  <w:pPr>
                    <w:jc w:val="center"/>
                    <w:rPr>
                      <w:rFonts w:hint="eastAsia"/>
                      <w:color w:val="auto"/>
                      <w:highlight w:val="none"/>
                      <w:lang w:val="en-US" w:eastAsia="zh-CN"/>
                    </w:rPr>
                  </w:pPr>
                  <w:r>
                    <w:rPr>
                      <w:rFonts w:hint="eastAsia"/>
                      <w:color w:val="auto"/>
                      <w:highlight w:val="none"/>
                      <w:lang w:val="en-US" w:eastAsia="zh-CN"/>
                    </w:rPr>
                    <w:t>安全员数量及配比</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6D97B188">
                  <w:pPr>
                    <w:jc w:val="center"/>
                    <w:rPr>
                      <w:rFonts w:hint="eastAsia"/>
                      <w:color w:val="auto"/>
                      <w:highlight w:val="none"/>
                      <w:lang w:val="en-US" w:eastAsia="zh-CN"/>
                    </w:rPr>
                  </w:pPr>
                  <w:r>
                    <w:rPr>
                      <w:rFonts w:hint="eastAsia"/>
                      <w:color w:val="auto"/>
                      <w:highlight w:val="none"/>
                      <w:lang w:val="en-US" w:eastAsia="zh-CN"/>
                    </w:rPr>
                    <w:t>主体安全员总数</w:t>
                  </w:r>
                </w:p>
              </w:tc>
            </w:tr>
            <w:tr w14:paraId="613E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C0C01EC">
                  <w:pPr>
                    <w:jc w:val="center"/>
                    <w:rPr>
                      <w:rFonts w:hint="eastAsia"/>
                      <w:color w:val="auto"/>
                      <w:highlight w:val="none"/>
                      <w:lang w:val="en-US" w:eastAsia="zh-CN"/>
                    </w:rPr>
                  </w:pPr>
                  <w:r>
                    <w:rPr>
                      <w:rFonts w:hint="eastAsia"/>
                      <w:color w:val="auto"/>
                      <w:highlight w:val="none"/>
                      <w:lang w:val="en-US" w:eastAsia="zh-CN"/>
                    </w:rPr>
                    <w:t>22</w:t>
                  </w:r>
                </w:p>
              </w:tc>
              <w:tc>
                <w:tcPr>
                  <w:tcW w:w="809" w:type="pct"/>
                  <w:vMerge w:val="continue"/>
                  <w:tcBorders>
                    <w:top w:val="single" w:color="000000" w:sz="4" w:space="0"/>
                    <w:right w:val="single" w:color="000000" w:sz="4" w:space="0"/>
                  </w:tcBorders>
                  <w:noWrap/>
                  <w:vAlign w:val="center"/>
                </w:tcPr>
                <w:p w14:paraId="7995B1D1">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162178B4">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321CADF4">
                  <w:pPr>
                    <w:jc w:val="center"/>
                    <w:rPr>
                      <w:rFonts w:hint="eastAsia"/>
                      <w:color w:val="auto"/>
                      <w:highlight w:val="none"/>
                      <w:lang w:val="en-US" w:eastAsia="zh-CN"/>
                    </w:rPr>
                  </w:pPr>
                  <w:r>
                    <w:rPr>
                      <w:rFonts w:hint="eastAsia"/>
                      <w:color w:val="auto"/>
                      <w:highlight w:val="none"/>
                      <w:lang w:val="en-US" w:eastAsia="zh-CN"/>
                    </w:rPr>
                    <w:t>主体安全员配比率</w:t>
                  </w:r>
                </w:p>
              </w:tc>
            </w:tr>
            <w:tr w14:paraId="6A5B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26A17234">
                  <w:pPr>
                    <w:jc w:val="center"/>
                    <w:rPr>
                      <w:rFonts w:hint="eastAsia"/>
                      <w:color w:val="auto"/>
                      <w:highlight w:val="none"/>
                      <w:lang w:val="en-US" w:eastAsia="zh-CN"/>
                    </w:rPr>
                  </w:pPr>
                  <w:r>
                    <w:rPr>
                      <w:rFonts w:hint="eastAsia"/>
                      <w:color w:val="auto"/>
                      <w:highlight w:val="none"/>
                      <w:lang w:val="en-US" w:eastAsia="zh-CN"/>
                    </w:rPr>
                    <w:t>23</w:t>
                  </w:r>
                </w:p>
              </w:tc>
              <w:tc>
                <w:tcPr>
                  <w:tcW w:w="809" w:type="pct"/>
                  <w:vMerge w:val="continue"/>
                  <w:tcBorders>
                    <w:top w:val="single" w:color="000000" w:sz="4" w:space="0"/>
                    <w:right w:val="single" w:color="000000" w:sz="4" w:space="0"/>
                  </w:tcBorders>
                  <w:noWrap/>
                  <w:vAlign w:val="center"/>
                </w:tcPr>
                <w:p w14:paraId="7BAAB270">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15E156C8">
                  <w:pPr>
                    <w:jc w:val="center"/>
                    <w:rPr>
                      <w:rFonts w:hint="eastAsia"/>
                      <w:color w:val="auto"/>
                      <w:highlight w:val="none"/>
                      <w:lang w:val="en-US" w:eastAsia="zh-CN"/>
                    </w:rPr>
                  </w:pPr>
                  <w:r>
                    <w:rPr>
                      <w:rFonts w:hint="eastAsia"/>
                      <w:color w:val="auto"/>
                      <w:highlight w:val="none"/>
                      <w:lang w:val="en-US" w:eastAsia="zh-CN"/>
                    </w:rPr>
                    <w:t>有效里程和时长</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1D92687C">
                  <w:pPr>
                    <w:jc w:val="center"/>
                    <w:rPr>
                      <w:rFonts w:hint="eastAsia"/>
                      <w:color w:val="auto"/>
                      <w:highlight w:val="none"/>
                      <w:lang w:val="en-US" w:eastAsia="zh-CN"/>
                    </w:rPr>
                  </w:pPr>
                  <w:r>
                    <w:rPr>
                      <w:rFonts w:hint="eastAsia"/>
                      <w:color w:val="auto"/>
                      <w:highlight w:val="none"/>
                      <w:lang w:val="en-US" w:eastAsia="zh-CN"/>
                    </w:rPr>
                    <w:t>车辆每日有效行驶里程</w:t>
                  </w:r>
                </w:p>
              </w:tc>
            </w:tr>
            <w:tr w14:paraId="5C90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7189164">
                  <w:pPr>
                    <w:jc w:val="center"/>
                    <w:rPr>
                      <w:rFonts w:hint="eastAsia"/>
                      <w:color w:val="auto"/>
                      <w:highlight w:val="none"/>
                      <w:lang w:val="en-US" w:eastAsia="zh-CN"/>
                    </w:rPr>
                  </w:pPr>
                  <w:r>
                    <w:rPr>
                      <w:rFonts w:hint="eastAsia"/>
                      <w:color w:val="auto"/>
                      <w:highlight w:val="none"/>
                      <w:lang w:val="en-US" w:eastAsia="zh-CN"/>
                    </w:rPr>
                    <w:t>24</w:t>
                  </w:r>
                </w:p>
              </w:tc>
              <w:tc>
                <w:tcPr>
                  <w:tcW w:w="809" w:type="pct"/>
                  <w:vMerge w:val="continue"/>
                  <w:tcBorders>
                    <w:top w:val="single" w:color="000000" w:sz="4" w:space="0"/>
                    <w:right w:val="single" w:color="000000" w:sz="4" w:space="0"/>
                  </w:tcBorders>
                  <w:noWrap/>
                  <w:vAlign w:val="center"/>
                </w:tcPr>
                <w:p w14:paraId="606621AA">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76880CA8">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5A890DB4">
                  <w:pPr>
                    <w:jc w:val="center"/>
                    <w:rPr>
                      <w:rFonts w:hint="eastAsia"/>
                      <w:color w:val="auto"/>
                      <w:highlight w:val="none"/>
                      <w:lang w:val="en-US" w:eastAsia="zh-CN"/>
                    </w:rPr>
                  </w:pPr>
                  <w:r>
                    <w:rPr>
                      <w:rFonts w:hint="eastAsia"/>
                      <w:color w:val="auto"/>
                      <w:highlight w:val="none"/>
                      <w:lang w:val="en-US" w:eastAsia="zh-CN"/>
                    </w:rPr>
                    <w:t>车辆每日有效行驶时长</w:t>
                  </w:r>
                </w:p>
              </w:tc>
            </w:tr>
            <w:tr w14:paraId="2B10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8A2C095">
                  <w:pPr>
                    <w:jc w:val="center"/>
                    <w:rPr>
                      <w:rFonts w:hint="eastAsia"/>
                      <w:color w:val="auto"/>
                      <w:highlight w:val="none"/>
                      <w:lang w:val="en-US" w:eastAsia="zh-CN"/>
                    </w:rPr>
                  </w:pPr>
                  <w:r>
                    <w:rPr>
                      <w:rFonts w:hint="eastAsia"/>
                      <w:color w:val="auto"/>
                      <w:highlight w:val="none"/>
                      <w:lang w:val="en-US" w:eastAsia="zh-CN"/>
                    </w:rPr>
                    <w:t>25</w:t>
                  </w:r>
                </w:p>
              </w:tc>
              <w:tc>
                <w:tcPr>
                  <w:tcW w:w="809" w:type="pct"/>
                  <w:vMerge w:val="continue"/>
                  <w:tcBorders>
                    <w:top w:val="single" w:color="000000" w:sz="4" w:space="0"/>
                    <w:right w:val="single" w:color="000000" w:sz="4" w:space="0"/>
                  </w:tcBorders>
                  <w:noWrap/>
                  <w:vAlign w:val="center"/>
                </w:tcPr>
                <w:p w14:paraId="6A62F1EC">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0C208E55">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D686FAD">
                  <w:pPr>
                    <w:jc w:val="center"/>
                    <w:rPr>
                      <w:rFonts w:hint="eastAsia"/>
                      <w:color w:val="auto"/>
                      <w:highlight w:val="none"/>
                      <w:lang w:val="en-US" w:eastAsia="zh-CN"/>
                    </w:rPr>
                  </w:pPr>
                  <w:r>
                    <w:rPr>
                      <w:rFonts w:hint="eastAsia"/>
                      <w:color w:val="auto"/>
                      <w:highlight w:val="none"/>
                      <w:lang w:val="en-US" w:eastAsia="zh-CN"/>
                    </w:rPr>
                    <w:t>道路测试主体有效行驶总里程</w:t>
                  </w:r>
                </w:p>
              </w:tc>
            </w:tr>
            <w:tr w14:paraId="1967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1D97301A">
                  <w:pPr>
                    <w:jc w:val="center"/>
                    <w:rPr>
                      <w:rFonts w:hint="eastAsia"/>
                      <w:color w:val="auto"/>
                      <w:highlight w:val="none"/>
                      <w:lang w:val="en-US" w:eastAsia="zh-CN"/>
                    </w:rPr>
                  </w:pPr>
                  <w:r>
                    <w:rPr>
                      <w:rFonts w:hint="eastAsia"/>
                      <w:color w:val="auto"/>
                      <w:highlight w:val="none"/>
                      <w:lang w:val="en-US" w:eastAsia="zh-CN"/>
                    </w:rPr>
                    <w:t>26</w:t>
                  </w:r>
                </w:p>
              </w:tc>
              <w:tc>
                <w:tcPr>
                  <w:tcW w:w="809" w:type="pct"/>
                  <w:vMerge w:val="continue"/>
                  <w:tcBorders>
                    <w:top w:val="single" w:color="000000" w:sz="4" w:space="0"/>
                    <w:right w:val="single" w:color="000000" w:sz="4" w:space="0"/>
                  </w:tcBorders>
                  <w:noWrap/>
                  <w:vAlign w:val="center"/>
                </w:tcPr>
                <w:p w14:paraId="7B7A5BF2">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5C724CF1">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03DE96B3">
                  <w:pPr>
                    <w:jc w:val="center"/>
                    <w:rPr>
                      <w:rFonts w:hint="eastAsia"/>
                      <w:color w:val="auto"/>
                      <w:highlight w:val="none"/>
                      <w:lang w:val="en-US" w:eastAsia="zh-CN"/>
                    </w:rPr>
                  </w:pPr>
                  <w:r>
                    <w:rPr>
                      <w:rFonts w:hint="eastAsia"/>
                      <w:color w:val="auto"/>
                      <w:highlight w:val="none"/>
                      <w:lang w:val="en-US" w:eastAsia="zh-CN"/>
                    </w:rPr>
                    <w:t>道路测试主体有效行驶总时长</w:t>
                  </w:r>
                </w:p>
              </w:tc>
            </w:tr>
            <w:tr w14:paraId="6CF5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2FAE99A">
                  <w:pPr>
                    <w:jc w:val="center"/>
                    <w:rPr>
                      <w:rFonts w:hint="eastAsia"/>
                      <w:color w:val="auto"/>
                      <w:highlight w:val="none"/>
                      <w:lang w:val="en-US" w:eastAsia="zh-CN"/>
                    </w:rPr>
                  </w:pPr>
                  <w:r>
                    <w:rPr>
                      <w:rFonts w:hint="eastAsia"/>
                      <w:color w:val="auto"/>
                      <w:highlight w:val="none"/>
                      <w:lang w:val="en-US" w:eastAsia="zh-CN"/>
                    </w:rPr>
                    <w:t>27</w:t>
                  </w:r>
                </w:p>
              </w:tc>
              <w:tc>
                <w:tcPr>
                  <w:tcW w:w="809" w:type="pct"/>
                  <w:vMerge w:val="continue"/>
                  <w:tcBorders>
                    <w:top w:val="single" w:color="000000" w:sz="4" w:space="0"/>
                    <w:right w:val="single" w:color="000000" w:sz="4" w:space="0"/>
                  </w:tcBorders>
                  <w:noWrap/>
                  <w:vAlign w:val="center"/>
                </w:tcPr>
                <w:p w14:paraId="2BD1933D">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4E7EB223">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2139F56">
                  <w:pPr>
                    <w:jc w:val="center"/>
                    <w:rPr>
                      <w:rFonts w:hint="eastAsia"/>
                      <w:color w:val="auto"/>
                      <w:highlight w:val="none"/>
                      <w:lang w:val="en-US" w:eastAsia="zh-CN"/>
                    </w:rPr>
                  </w:pPr>
                  <w:r>
                    <w:rPr>
                      <w:rFonts w:hint="eastAsia"/>
                      <w:color w:val="auto"/>
                      <w:highlight w:val="none"/>
                      <w:lang w:val="en-US" w:eastAsia="zh-CN"/>
                    </w:rPr>
                    <w:t>商业应用主体有效行驶总里程</w:t>
                  </w:r>
                </w:p>
              </w:tc>
            </w:tr>
            <w:tr w14:paraId="3F4C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738ABC76">
                  <w:pPr>
                    <w:jc w:val="center"/>
                    <w:rPr>
                      <w:rFonts w:hint="eastAsia"/>
                      <w:color w:val="auto"/>
                      <w:highlight w:val="none"/>
                      <w:lang w:val="en-US" w:eastAsia="zh-CN"/>
                    </w:rPr>
                  </w:pPr>
                  <w:r>
                    <w:rPr>
                      <w:rFonts w:hint="eastAsia"/>
                      <w:color w:val="auto"/>
                      <w:highlight w:val="none"/>
                      <w:lang w:val="en-US" w:eastAsia="zh-CN"/>
                    </w:rPr>
                    <w:t>28</w:t>
                  </w:r>
                </w:p>
              </w:tc>
              <w:tc>
                <w:tcPr>
                  <w:tcW w:w="809" w:type="pct"/>
                  <w:vMerge w:val="continue"/>
                  <w:tcBorders>
                    <w:top w:val="single" w:color="000000" w:sz="4" w:space="0"/>
                    <w:right w:val="single" w:color="000000" w:sz="4" w:space="0"/>
                  </w:tcBorders>
                  <w:noWrap/>
                  <w:vAlign w:val="center"/>
                </w:tcPr>
                <w:p w14:paraId="4783C2A3">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21626A35">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8B4ED55">
                  <w:pPr>
                    <w:jc w:val="center"/>
                    <w:rPr>
                      <w:rFonts w:hint="eastAsia"/>
                      <w:color w:val="auto"/>
                      <w:highlight w:val="none"/>
                      <w:lang w:val="en-US" w:eastAsia="zh-CN"/>
                    </w:rPr>
                  </w:pPr>
                  <w:r>
                    <w:rPr>
                      <w:rFonts w:hint="eastAsia"/>
                      <w:color w:val="auto"/>
                      <w:highlight w:val="none"/>
                      <w:lang w:val="en-US" w:eastAsia="zh-CN"/>
                    </w:rPr>
                    <w:t>商业应用主体有效行驶总时长</w:t>
                  </w:r>
                </w:p>
              </w:tc>
            </w:tr>
            <w:tr w14:paraId="2262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7103523D">
                  <w:pPr>
                    <w:jc w:val="center"/>
                    <w:rPr>
                      <w:rFonts w:hint="eastAsia"/>
                      <w:color w:val="auto"/>
                      <w:highlight w:val="none"/>
                      <w:lang w:val="en-US" w:eastAsia="zh-CN"/>
                    </w:rPr>
                  </w:pPr>
                  <w:r>
                    <w:rPr>
                      <w:rFonts w:hint="eastAsia"/>
                      <w:color w:val="auto"/>
                      <w:highlight w:val="none"/>
                      <w:lang w:val="en-US" w:eastAsia="zh-CN"/>
                    </w:rPr>
                    <w:t>29</w:t>
                  </w:r>
                </w:p>
              </w:tc>
              <w:tc>
                <w:tcPr>
                  <w:tcW w:w="809" w:type="pct"/>
                  <w:vMerge w:val="continue"/>
                  <w:tcBorders>
                    <w:top w:val="single" w:color="000000" w:sz="4" w:space="0"/>
                    <w:right w:val="single" w:color="000000" w:sz="4" w:space="0"/>
                  </w:tcBorders>
                  <w:noWrap/>
                  <w:vAlign w:val="center"/>
                </w:tcPr>
                <w:p w14:paraId="502FB79E">
                  <w:pPr>
                    <w:jc w:val="center"/>
                    <w:rPr>
                      <w:rFonts w:hint="eastAsia"/>
                      <w:color w:val="auto"/>
                      <w:highlight w:val="none"/>
                      <w:lang w:val="en-US" w:eastAsia="zh-CN"/>
                    </w:rPr>
                  </w:pPr>
                </w:p>
              </w:tc>
              <w:tc>
                <w:tcPr>
                  <w:tcW w:w="1205" w:type="pct"/>
                  <w:vMerge w:val="restart"/>
                  <w:tcBorders>
                    <w:top w:val="single" w:color="000000" w:sz="4" w:space="0"/>
                    <w:left w:val="single" w:color="000000" w:sz="4" w:space="0"/>
                    <w:right w:val="single" w:color="000000" w:sz="4" w:space="0"/>
                  </w:tcBorders>
                  <w:noWrap/>
                  <w:vAlign w:val="center"/>
                </w:tcPr>
                <w:p w14:paraId="1AEA31E4">
                  <w:pPr>
                    <w:jc w:val="center"/>
                    <w:rPr>
                      <w:rFonts w:hint="eastAsia"/>
                      <w:color w:val="auto"/>
                      <w:highlight w:val="none"/>
                      <w:lang w:val="en-US" w:eastAsia="zh-CN"/>
                    </w:rPr>
                  </w:pPr>
                  <w:r>
                    <w:rPr>
                      <w:rFonts w:hint="eastAsia"/>
                      <w:color w:val="auto"/>
                      <w:highlight w:val="none"/>
                      <w:lang w:val="en-US" w:eastAsia="zh-CN"/>
                    </w:rPr>
                    <w:t>自动驾驶里程和时长</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42861A33">
                  <w:pPr>
                    <w:jc w:val="center"/>
                    <w:rPr>
                      <w:rFonts w:hint="eastAsia"/>
                      <w:color w:val="auto"/>
                      <w:highlight w:val="none"/>
                      <w:lang w:val="en-US" w:eastAsia="zh-CN"/>
                    </w:rPr>
                  </w:pPr>
                  <w:r>
                    <w:rPr>
                      <w:rFonts w:hint="eastAsia"/>
                      <w:color w:val="auto"/>
                      <w:highlight w:val="none"/>
                      <w:lang w:val="en-US" w:eastAsia="zh-CN"/>
                    </w:rPr>
                    <w:t>车辆每日自动驾驶里程</w:t>
                  </w:r>
                </w:p>
              </w:tc>
            </w:tr>
            <w:tr w14:paraId="21DB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0070ED7">
                  <w:pPr>
                    <w:jc w:val="center"/>
                    <w:rPr>
                      <w:rFonts w:hint="eastAsia"/>
                      <w:color w:val="auto"/>
                      <w:highlight w:val="none"/>
                      <w:lang w:val="en-US" w:eastAsia="zh-CN"/>
                    </w:rPr>
                  </w:pPr>
                  <w:r>
                    <w:rPr>
                      <w:rFonts w:hint="eastAsia"/>
                      <w:color w:val="auto"/>
                      <w:highlight w:val="none"/>
                      <w:lang w:val="en-US" w:eastAsia="zh-CN"/>
                    </w:rPr>
                    <w:t>30</w:t>
                  </w:r>
                </w:p>
              </w:tc>
              <w:tc>
                <w:tcPr>
                  <w:tcW w:w="809" w:type="pct"/>
                  <w:vMerge w:val="continue"/>
                  <w:tcBorders>
                    <w:top w:val="single" w:color="000000" w:sz="4" w:space="0"/>
                    <w:right w:val="single" w:color="000000" w:sz="4" w:space="0"/>
                  </w:tcBorders>
                  <w:noWrap/>
                  <w:vAlign w:val="center"/>
                </w:tcPr>
                <w:p w14:paraId="56C787E2">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6D25CDF3">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4CF383E2">
                  <w:pPr>
                    <w:jc w:val="center"/>
                    <w:rPr>
                      <w:rFonts w:hint="eastAsia"/>
                      <w:color w:val="auto"/>
                      <w:highlight w:val="none"/>
                      <w:lang w:val="en-US" w:eastAsia="zh-CN"/>
                    </w:rPr>
                  </w:pPr>
                  <w:r>
                    <w:rPr>
                      <w:rFonts w:hint="eastAsia"/>
                      <w:color w:val="auto"/>
                      <w:highlight w:val="none"/>
                      <w:lang w:val="en-US" w:eastAsia="zh-CN"/>
                    </w:rPr>
                    <w:t>车辆每日自动驾驶时长</w:t>
                  </w:r>
                </w:p>
              </w:tc>
            </w:tr>
            <w:tr w14:paraId="1F78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9B13AE1">
                  <w:pPr>
                    <w:jc w:val="center"/>
                    <w:rPr>
                      <w:rFonts w:hint="eastAsia"/>
                      <w:color w:val="auto"/>
                      <w:highlight w:val="none"/>
                      <w:lang w:val="en-US" w:eastAsia="zh-CN"/>
                    </w:rPr>
                  </w:pPr>
                  <w:r>
                    <w:rPr>
                      <w:rFonts w:hint="eastAsia"/>
                      <w:color w:val="auto"/>
                      <w:highlight w:val="none"/>
                      <w:lang w:val="en-US" w:eastAsia="zh-CN"/>
                    </w:rPr>
                    <w:t>31</w:t>
                  </w:r>
                </w:p>
              </w:tc>
              <w:tc>
                <w:tcPr>
                  <w:tcW w:w="809" w:type="pct"/>
                  <w:vMerge w:val="continue"/>
                  <w:tcBorders>
                    <w:top w:val="single" w:color="000000" w:sz="4" w:space="0"/>
                    <w:right w:val="single" w:color="000000" w:sz="4" w:space="0"/>
                  </w:tcBorders>
                  <w:noWrap/>
                  <w:vAlign w:val="center"/>
                </w:tcPr>
                <w:p w14:paraId="4B9826E2">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7D649BF0">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D44D02D">
                  <w:pPr>
                    <w:jc w:val="center"/>
                    <w:rPr>
                      <w:rFonts w:hint="eastAsia"/>
                      <w:color w:val="auto"/>
                      <w:highlight w:val="none"/>
                      <w:lang w:val="en-US" w:eastAsia="zh-CN"/>
                    </w:rPr>
                  </w:pPr>
                  <w:r>
                    <w:rPr>
                      <w:rFonts w:hint="eastAsia"/>
                      <w:color w:val="auto"/>
                      <w:highlight w:val="none"/>
                      <w:lang w:val="en-US" w:eastAsia="zh-CN"/>
                    </w:rPr>
                    <w:t>道路测试主体自动驾驶里程</w:t>
                  </w:r>
                </w:p>
              </w:tc>
            </w:tr>
            <w:tr w14:paraId="6A7F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78F6E7F5">
                  <w:pPr>
                    <w:jc w:val="center"/>
                    <w:rPr>
                      <w:rFonts w:hint="eastAsia"/>
                      <w:color w:val="auto"/>
                      <w:highlight w:val="none"/>
                      <w:lang w:val="en-US" w:eastAsia="zh-CN"/>
                    </w:rPr>
                  </w:pPr>
                  <w:r>
                    <w:rPr>
                      <w:rFonts w:hint="eastAsia"/>
                      <w:color w:val="auto"/>
                      <w:highlight w:val="none"/>
                      <w:lang w:val="en-US" w:eastAsia="zh-CN"/>
                    </w:rPr>
                    <w:t>32</w:t>
                  </w:r>
                </w:p>
              </w:tc>
              <w:tc>
                <w:tcPr>
                  <w:tcW w:w="809" w:type="pct"/>
                  <w:vMerge w:val="continue"/>
                  <w:tcBorders>
                    <w:top w:val="single" w:color="000000" w:sz="4" w:space="0"/>
                    <w:right w:val="single" w:color="000000" w:sz="4" w:space="0"/>
                  </w:tcBorders>
                  <w:noWrap/>
                  <w:vAlign w:val="center"/>
                </w:tcPr>
                <w:p w14:paraId="2E1AE4C3">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7EB06BE6">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30088CC3">
                  <w:pPr>
                    <w:jc w:val="center"/>
                    <w:rPr>
                      <w:rFonts w:hint="eastAsia"/>
                      <w:color w:val="auto"/>
                      <w:highlight w:val="none"/>
                      <w:lang w:val="en-US" w:eastAsia="zh-CN"/>
                    </w:rPr>
                  </w:pPr>
                  <w:r>
                    <w:rPr>
                      <w:rFonts w:hint="eastAsia"/>
                      <w:color w:val="auto"/>
                      <w:highlight w:val="none"/>
                      <w:lang w:val="en-US" w:eastAsia="zh-CN"/>
                    </w:rPr>
                    <w:t>道路测试主体自动驾驶时长</w:t>
                  </w:r>
                </w:p>
              </w:tc>
            </w:tr>
            <w:tr w14:paraId="199F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F168ACB">
                  <w:pPr>
                    <w:jc w:val="center"/>
                    <w:rPr>
                      <w:rFonts w:hint="eastAsia"/>
                      <w:color w:val="auto"/>
                      <w:highlight w:val="none"/>
                      <w:lang w:val="en-US" w:eastAsia="zh-CN"/>
                    </w:rPr>
                  </w:pPr>
                  <w:r>
                    <w:rPr>
                      <w:rFonts w:hint="eastAsia"/>
                      <w:color w:val="auto"/>
                      <w:highlight w:val="none"/>
                      <w:lang w:val="en-US" w:eastAsia="zh-CN"/>
                    </w:rPr>
                    <w:t>33</w:t>
                  </w:r>
                </w:p>
              </w:tc>
              <w:tc>
                <w:tcPr>
                  <w:tcW w:w="809" w:type="pct"/>
                  <w:vMerge w:val="continue"/>
                  <w:tcBorders>
                    <w:top w:val="single" w:color="000000" w:sz="4" w:space="0"/>
                    <w:right w:val="single" w:color="000000" w:sz="4" w:space="0"/>
                  </w:tcBorders>
                  <w:noWrap/>
                  <w:vAlign w:val="center"/>
                </w:tcPr>
                <w:p w14:paraId="7610E390">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40745EA1">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6AAEB193">
                  <w:pPr>
                    <w:jc w:val="center"/>
                    <w:rPr>
                      <w:rFonts w:hint="eastAsia"/>
                      <w:color w:val="auto"/>
                      <w:highlight w:val="none"/>
                      <w:lang w:val="en-US" w:eastAsia="zh-CN"/>
                    </w:rPr>
                  </w:pPr>
                  <w:r>
                    <w:rPr>
                      <w:rFonts w:hint="eastAsia"/>
                      <w:color w:val="auto"/>
                      <w:highlight w:val="none"/>
                      <w:lang w:val="en-US" w:eastAsia="zh-CN"/>
                    </w:rPr>
                    <w:t>商业应用主体自动驾驶总里程</w:t>
                  </w:r>
                </w:p>
              </w:tc>
            </w:tr>
            <w:tr w14:paraId="2995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0FDFF421">
                  <w:pPr>
                    <w:jc w:val="center"/>
                    <w:rPr>
                      <w:rFonts w:hint="eastAsia"/>
                      <w:color w:val="auto"/>
                      <w:highlight w:val="none"/>
                      <w:lang w:val="en-US" w:eastAsia="zh-CN"/>
                    </w:rPr>
                  </w:pPr>
                  <w:r>
                    <w:rPr>
                      <w:rFonts w:hint="eastAsia"/>
                      <w:color w:val="auto"/>
                      <w:highlight w:val="none"/>
                      <w:lang w:val="en-US" w:eastAsia="zh-CN"/>
                    </w:rPr>
                    <w:t>34</w:t>
                  </w:r>
                </w:p>
              </w:tc>
              <w:tc>
                <w:tcPr>
                  <w:tcW w:w="809" w:type="pct"/>
                  <w:vMerge w:val="continue"/>
                  <w:tcBorders>
                    <w:top w:val="single" w:color="000000" w:sz="4" w:space="0"/>
                    <w:right w:val="single" w:color="000000" w:sz="4" w:space="0"/>
                  </w:tcBorders>
                  <w:noWrap/>
                  <w:vAlign w:val="center"/>
                </w:tcPr>
                <w:p w14:paraId="522B5BF5">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4CD570EF">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E44B1FE">
                  <w:pPr>
                    <w:jc w:val="center"/>
                    <w:rPr>
                      <w:rFonts w:hint="eastAsia"/>
                      <w:color w:val="auto"/>
                      <w:highlight w:val="none"/>
                      <w:lang w:val="en-US" w:eastAsia="zh-CN"/>
                    </w:rPr>
                  </w:pPr>
                  <w:r>
                    <w:rPr>
                      <w:rFonts w:hint="eastAsia"/>
                      <w:color w:val="auto"/>
                      <w:highlight w:val="none"/>
                      <w:lang w:val="en-US" w:eastAsia="zh-CN"/>
                    </w:rPr>
                    <w:t>商业应用主体自动驾驶总时长</w:t>
                  </w:r>
                </w:p>
              </w:tc>
            </w:tr>
            <w:tr w14:paraId="4396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B7E7870">
                  <w:pPr>
                    <w:jc w:val="center"/>
                    <w:rPr>
                      <w:rFonts w:hint="eastAsia"/>
                      <w:color w:val="auto"/>
                      <w:highlight w:val="none"/>
                      <w:lang w:val="en-US" w:eastAsia="zh-CN"/>
                    </w:rPr>
                  </w:pPr>
                  <w:r>
                    <w:rPr>
                      <w:rFonts w:hint="eastAsia"/>
                      <w:color w:val="auto"/>
                      <w:highlight w:val="none"/>
                      <w:lang w:val="en-US" w:eastAsia="zh-CN"/>
                    </w:rPr>
                    <w:t>35</w:t>
                  </w:r>
                </w:p>
              </w:tc>
              <w:tc>
                <w:tcPr>
                  <w:tcW w:w="809" w:type="pct"/>
                  <w:vMerge w:val="restart"/>
                  <w:tcBorders>
                    <w:top w:val="single" w:color="000000" w:sz="4" w:space="0"/>
                    <w:bottom w:val="single" w:color="000000" w:sz="4" w:space="0"/>
                    <w:right w:val="single" w:color="000000" w:sz="4" w:space="0"/>
                  </w:tcBorders>
                  <w:noWrap/>
                  <w:vAlign w:val="center"/>
                </w:tcPr>
                <w:p w14:paraId="621F3E8A">
                  <w:pPr>
                    <w:jc w:val="center"/>
                    <w:rPr>
                      <w:rFonts w:hint="eastAsia"/>
                      <w:color w:val="auto"/>
                      <w:highlight w:val="none"/>
                      <w:lang w:val="en-US" w:eastAsia="zh-CN"/>
                    </w:rPr>
                  </w:pPr>
                  <w:r>
                    <w:rPr>
                      <w:rFonts w:hint="eastAsia"/>
                      <w:color w:val="auto"/>
                      <w:highlight w:val="none"/>
                      <w:lang w:val="en-US" w:eastAsia="zh-CN"/>
                    </w:rPr>
                    <w:t>动态监测信息</w:t>
                  </w: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4D47570D">
                  <w:pPr>
                    <w:jc w:val="center"/>
                    <w:rPr>
                      <w:rFonts w:hint="eastAsia"/>
                      <w:color w:val="auto"/>
                      <w:highlight w:val="none"/>
                      <w:lang w:val="en-US" w:eastAsia="zh-CN"/>
                    </w:rPr>
                  </w:pPr>
                  <w:r>
                    <w:rPr>
                      <w:rFonts w:hint="eastAsia"/>
                      <w:color w:val="auto"/>
                      <w:highlight w:val="none"/>
                      <w:lang w:val="en-US" w:eastAsia="zh-CN"/>
                    </w:rPr>
                    <w:t>车辆上线率</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5A30575F">
                  <w:pPr>
                    <w:jc w:val="center"/>
                    <w:rPr>
                      <w:rFonts w:hint="eastAsia"/>
                      <w:color w:val="auto"/>
                      <w:highlight w:val="none"/>
                      <w:lang w:val="en-US" w:eastAsia="zh-CN"/>
                    </w:rPr>
                  </w:pPr>
                  <w:r>
                    <w:rPr>
                      <w:rFonts w:hint="eastAsia"/>
                      <w:color w:val="auto"/>
                      <w:highlight w:val="none"/>
                      <w:lang w:val="en-US" w:eastAsia="zh-CN"/>
                    </w:rPr>
                    <w:t>道路测试主体每日车辆上线率</w:t>
                  </w:r>
                </w:p>
              </w:tc>
            </w:tr>
            <w:tr w14:paraId="31D2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09ABA1A">
                  <w:pPr>
                    <w:jc w:val="center"/>
                    <w:rPr>
                      <w:rFonts w:hint="eastAsia"/>
                      <w:color w:val="auto"/>
                      <w:highlight w:val="none"/>
                      <w:lang w:val="en-US" w:eastAsia="zh-CN"/>
                    </w:rPr>
                  </w:pPr>
                  <w:r>
                    <w:rPr>
                      <w:rFonts w:hint="eastAsia"/>
                      <w:color w:val="auto"/>
                      <w:highlight w:val="none"/>
                      <w:lang w:val="en-US" w:eastAsia="zh-CN"/>
                    </w:rPr>
                    <w:t>36</w:t>
                  </w:r>
                </w:p>
              </w:tc>
              <w:tc>
                <w:tcPr>
                  <w:tcW w:w="809" w:type="pct"/>
                  <w:vMerge w:val="continue"/>
                  <w:tcBorders>
                    <w:top w:val="single" w:color="000000" w:sz="4" w:space="0"/>
                    <w:bottom w:val="single" w:color="000000" w:sz="4" w:space="0"/>
                    <w:right w:val="single" w:color="000000" w:sz="4" w:space="0"/>
                  </w:tcBorders>
                  <w:noWrap/>
                  <w:vAlign w:val="center"/>
                </w:tcPr>
                <w:p w14:paraId="5160ED7A">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6127B4F5">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16D49CD5">
                  <w:pPr>
                    <w:jc w:val="center"/>
                    <w:rPr>
                      <w:rFonts w:hint="eastAsia"/>
                      <w:color w:val="auto"/>
                      <w:highlight w:val="none"/>
                      <w:lang w:val="en-US" w:eastAsia="zh-CN"/>
                    </w:rPr>
                  </w:pPr>
                  <w:r>
                    <w:rPr>
                      <w:rFonts w:hint="eastAsia"/>
                      <w:color w:val="auto"/>
                      <w:highlight w:val="none"/>
                      <w:lang w:val="en-US" w:eastAsia="zh-CN"/>
                    </w:rPr>
                    <w:t>商业应用主体每日车辆上线率</w:t>
                  </w:r>
                </w:p>
              </w:tc>
            </w:tr>
            <w:tr w14:paraId="6124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24F5692B">
                  <w:pPr>
                    <w:jc w:val="center"/>
                    <w:rPr>
                      <w:rFonts w:hint="eastAsia"/>
                      <w:color w:val="auto"/>
                      <w:highlight w:val="none"/>
                      <w:lang w:val="en-US" w:eastAsia="zh-CN"/>
                    </w:rPr>
                  </w:pPr>
                  <w:r>
                    <w:rPr>
                      <w:rFonts w:hint="eastAsia"/>
                      <w:color w:val="auto"/>
                      <w:highlight w:val="none"/>
                      <w:lang w:val="en-US" w:eastAsia="zh-CN"/>
                    </w:rPr>
                    <w:t>37</w:t>
                  </w:r>
                </w:p>
              </w:tc>
              <w:tc>
                <w:tcPr>
                  <w:tcW w:w="809" w:type="pct"/>
                  <w:vMerge w:val="continue"/>
                  <w:tcBorders>
                    <w:top w:val="single" w:color="000000" w:sz="4" w:space="0"/>
                    <w:bottom w:val="single" w:color="000000" w:sz="4" w:space="0"/>
                    <w:right w:val="single" w:color="000000" w:sz="4" w:space="0"/>
                  </w:tcBorders>
                  <w:noWrap/>
                  <w:vAlign w:val="center"/>
                </w:tcPr>
                <w:p w14:paraId="2DFEA795">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68ED0550">
                  <w:pPr>
                    <w:jc w:val="center"/>
                    <w:rPr>
                      <w:rFonts w:hint="eastAsia"/>
                      <w:color w:val="auto"/>
                      <w:highlight w:val="none"/>
                      <w:lang w:val="en-US" w:eastAsia="zh-CN"/>
                    </w:rPr>
                  </w:pPr>
                  <w:r>
                    <w:rPr>
                      <w:rFonts w:hint="eastAsia"/>
                      <w:color w:val="auto"/>
                      <w:highlight w:val="none"/>
                      <w:lang w:val="en-US" w:eastAsia="zh-CN"/>
                    </w:rPr>
                    <w:t>车辆在线率</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27237D91">
                  <w:pPr>
                    <w:jc w:val="center"/>
                    <w:rPr>
                      <w:rFonts w:hint="eastAsia"/>
                      <w:color w:val="auto"/>
                      <w:highlight w:val="none"/>
                      <w:lang w:val="en-US" w:eastAsia="zh-CN"/>
                    </w:rPr>
                  </w:pPr>
                  <w:r>
                    <w:rPr>
                      <w:rFonts w:hint="eastAsia"/>
                      <w:color w:val="auto"/>
                      <w:highlight w:val="none"/>
                      <w:lang w:val="en-US" w:eastAsia="zh-CN"/>
                    </w:rPr>
                    <w:t>道路测试主体每日车辆在线率</w:t>
                  </w:r>
                </w:p>
              </w:tc>
            </w:tr>
            <w:tr w14:paraId="3C4D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5B97A84">
                  <w:pPr>
                    <w:jc w:val="center"/>
                    <w:rPr>
                      <w:rFonts w:hint="eastAsia"/>
                      <w:color w:val="auto"/>
                      <w:highlight w:val="none"/>
                      <w:lang w:val="en-US" w:eastAsia="zh-CN"/>
                    </w:rPr>
                  </w:pPr>
                  <w:r>
                    <w:rPr>
                      <w:rFonts w:hint="eastAsia"/>
                      <w:color w:val="auto"/>
                      <w:highlight w:val="none"/>
                      <w:lang w:val="en-US" w:eastAsia="zh-CN"/>
                    </w:rPr>
                    <w:t>38</w:t>
                  </w:r>
                </w:p>
              </w:tc>
              <w:tc>
                <w:tcPr>
                  <w:tcW w:w="809" w:type="pct"/>
                  <w:vMerge w:val="continue"/>
                  <w:tcBorders>
                    <w:top w:val="single" w:color="000000" w:sz="4" w:space="0"/>
                    <w:bottom w:val="single" w:color="000000" w:sz="4" w:space="0"/>
                    <w:right w:val="single" w:color="000000" w:sz="4" w:space="0"/>
                  </w:tcBorders>
                  <w:noWrap/>
                  <w:vAlign w:val="center"/>
                </w:tcPr>
                <w:p w14:paraId="6FF6E41C">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03E14A8D">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168D8142">
                  <w:pPr>
                    <w:jc w:val="center"/>
                    <w:rPr>
                      <w:rFonts w:hint="eastAsia"/>
                      <w:color w:val="auto"/>
                      <w:highlight w:val="none"/>
                      <w:lang w:val="en-US" w:eastAsia="zh-CN"/>
                    </w:rPr>
                  </w:pPr>
                  <w:r>
                    <w:rPr>
                      <w:rFonts w:hint="eastAsia"/>
                      <w:color w:val="auto"/>
                      <w:highlight w:val="none"/>
                      <w:lang w:val="en-US" w:eastAsia="zh-CN"/>
                    </w:rPr>
                    <w:t>商业应用主体每日车辆在线率</w:t>
                  </w:r>
                </w:p>
              </w:tc>
            </w:tr>
            <w:tr w14:paraId="67F0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5985EB9B">
                  <w:pPr>
                    <w:jc w:val="center"/>
                    <w:rPr>
                      <w:rFonts w:hint="eastAsia"/>
                      <w:color w:val="auto"/>
                      <w:highlight w:val="none"/>
                      <w:lang w:val="en-US" w:eastAsia="zh-CN"/>
                    </w:rPr>
                  </w:pPr>
                  <w:r>
                    <w:rPr>
                      <w:rFonts w:hint="eastAsia"/>
                      <w:color w:val="auto"/>
                      <w:highlight w:val="none"/>
                      <w:lang w:val="en-US" w:eastAsia="zh-CN"/>
                    </w:rPr>
                    <w:t>39</w:t>
                  </w:r>
                </w:p>
              </w:tc>
              <w:tc>
                <w:tcPr>
                  <w:tcW w:w="809" w:type="pct"/>
                  <w:vMerge w:val="continue"/>
                  <w:tcBorders>
                    <w:top w:val="single" w:color="000000" w:sz="4" w:space="0"/>
                    <w:bottom w:val="single" w:color="000000" w:sz="4" w:space="0"/>
                    <w:right w:val="single" w:color="000000" w:sz="4" w:space="0"/>
                  </w:tcBorders>
                  <w:noWrap/>
                  <w:vAlign w:val="center"/>
                </w:tcPr>
                <w:p w14:paraId="5AC6879C">
                  <w:pPr>
                    <w:jc w:val="center"/>
                    <w:rPr>
                      <w:rFonts w:hint="eastAsia"/>
                      <w:color w:val="auto"/>
                      <w:highlight w:val="none"/>
                      <w:lang w:val="en-US" w:eastAsia="zh-CN"/>
                    </w:rPr>
                  </w:pPr>
                </w:p>
              </w:tc>
              <w:tc>
                <w:tcPr>
                  <w:tcW w:w="1205" w:type="pct"/>
                  <w:vMerge w:val="restart"/>
                  <w:tcBorders>
                    <w:top w:val="single" w:color="000000" w:sz="4" w:space="0"/>
                    <w:left w:val="single" w:color="000000" w:sz="4" w:space="0"/>
                    <w:bottom w:val="single" w:color="000000" w:sz="4" w:space="0"/>
                    <w:right w:val="single" w:color="000000" w:sz="4" w:space="0"/>
                  </w:tcBorders>
                  <w:noWrap/>
                  <w:vAlign w:val="center"/>
                </w:tcPr>
                <w:p w14:paraId="36D8377B">
                  <w:pPr>
                    <w:jc w:val="center"/>
                    <w:rPr>
                      <w:rFonts w:hint="eastAsia"/>
                      <w:color w:val="auto"/>
                      <w:highlight w:val="none"/>
                      <w:lang w:val="en-US" w:eastAsia="zh-CN"/>
                    </w:rPr>
                  </w:pPr>
                  <w:r>
                    <w:rPr>
                      <w:rFonts w:hint="eastAsia"/>
                      <w:color w:val="auto"/>
                      <w:highlight w:val="none"/>
                      <w:lang w:val="en-US" w:eastAsia="zh-CN"/>
                    </w:rPr>
                    <w:t>车辆点位漂移率</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00654B32">
                  <w:pPr>
                    <w:jc w:val="center"/>
                    <w:rPr>
                      <w:rFonts w:hint="eastAsia"/>
                      <w:color w:val="auto"/>
                      <w:highlight w:val="none"/>
                      <w:lang w:val="en-US" w:eastAsia="zh-CN"/>
                    </w:rPr>
                  </w:pPr>
                  <w:r>
                    <w:rPr>
                      <w:rFonts w:hint="eastAsia"/>
                      <w:color w:val="auto"/>
                      <w:highlight w:val="none"/>
                      <w:lang w:val="en-US" w:eastAsia="zh-CN"/>
                    </w:rPr>
                    <w:t>道路测试车辆点位漂移率</w:t>
                  </w:r>
                </w:p>
              </w:tc>
            </w:tr>
            <w:tr w14:paraId="4477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1C74CB2D">
                  <w:pPr>
                    <w:jc w:val="center"/>
                    <w:rPr>
                      <w:rFonts w:hint="eastAsia"/>
                      <w:color w:val="auto"/>
                      <w:highlight w:val="none"/>
                      <w:lang w:val="en-US" w:eastAsia="zh-CN"/>
                    </w:rPr>
                  </w:pPr>
                  <w:r>
                    <w:rPr>
                      <w:rFonts w:hint="eastAsia"/>
                      <w:color w:val="auto"/>
                      <w:highlight w:val="none"/>
                      <w:lang w:val="en-US" w:eastAsia="zh-CN"/>
                    </w:rPr>
                    <w:t>40</w:t>
                  </w:r>
                </w:p>
              </w:tc>
              <w:tc>
                <w:tcPr>
                  <w:tcW w:w="809" w:type="pct"/>
                  <w:vMerge w:val="continue"/>
                  <w:tcBorders>
                    <w:top w:val="single" w:color="000000" w:sz="4" w:space="0"/>
                    <w:bottom w:val="single" w:color="000000" w:sz="4" w:space="0"/>
                    <w:right w:val="single" w:color="000000" w:sz="4" w:space="0"/>
                  </w:tcBorders>
                  <w:noWrap/>
                  <w:vAlign w:val="center"/>
                </w:tcPr>
                <w:p w14:paraId="51E8594C">
                  <w:pPr>
                    <w:jc w:val="center"/>
                    <w:rPr>
                      <w:rFonts w:hint="eastAsia"/>
                      <w:color w:val="auto"/>
                      <w:highlight w:val="none"/>
                      <w:lang w:val="en-US" w:eastAsia="zh-CN"/>
                    </w:rPr>
                  </w:pPr>
                </w:p>
              </w:tc>
              <w:tc>
                <w:tcPr>
                  <w:tcW w:w="1205" w:type="pct"/>
                  <w:vMerge w:val="continue"/>
                  <w:tcBorders>
                    <w:top w:val="single" w:color="000000" w:sz="4" w:space="0"/>
                    <w:left w:val="single" w:color="000000" w:sz="4" w:space="0"/>
                    <w:bottom w:val="single" w:color="000000" w:sz="4" w:space="0"/>
                    <w:right w:val="single" w:color="000000" w:sz="4" w:space="0"/>
                  </w:tcBorders>
                  <w:noWrap/>
                  <w:vAlign w:val="center"/>
                </w:tcPr>
                <w:p w14:paraId="6E2B92E8">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D3FAE4C">
                  <w:pPr>
                    <w:jc w:val="center"/>
                    <w:rPr>
                      <w:rFonts w:hint="eastAsia"/>
                      <w:color w:val="auto"/>
                      <w:highlight w:val="none"/>
                      <w:lang w:val="en-US" w:eastAsia="zh-CN"/>
                    </w:rPr>
                  </w:pPr>
                  <w:r>
                    <w:rPr>
                      <w:rFonts w:hint="eastAsia"/>
                      <w:color w:val="auto"/>
                      <w:highlight w:val="none"/>
                      <w:lang w:val="en-US" w:eastAsia="zh-CN"/>
                    </w:rPr>
                    <w:t>商业应用车辆点位漂移率</w:t>
                  </w:r>
                </w:p>
              </w:tc>
            </w:tr>
            <w:tr w14:paraId="7135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E95392A">
                  <w:pPr>
                    <w:jc w:val="center"/>
                    <w:rPr>
                      <w:rFonts w:hint="eastAsia"/>
                      <w:color w:val="auto"/>
                      <w:highlight w:val="none"/>
                      <w:lang w:val="en-US" w:eastAsia="zh-CN"/>
                    </w:rPr>
                  </w:pPr>
                  <w:r>
                    <w:rPr>
                      <w:rFonts w:hint="eastAsia"/>
                      <w:color w:val="auto"/>
                      <w:highlight w:val="none"/>
                      <w:lang w:val="en-US" w:eastAsia="zh-CN"/>
                    </w:rPr>
                    <w:t>41</w:t>
                  </w:r>
                </w:p>
              </w:tc>
              <w:tc>
                <w:tcPr>
                  <w:tcW w:w="809" w:type="pct"/>
                  <w:vMerge w:val="continue"/>
                  <w:tcBorders>
                    <w:top w:val="single" w:color="000000" w:sz="4" w:space="0"/>
                    <w:bottom w:val="single" w:color="000000" w:sz="4" w:space="0"/>
                    <w:right w:val="single" w:color="000000" w:sz="4" w:space="0"/>
                  </w:tcBorders>
                  <w:noWrap/>
                  <w:vAlign w:val="center"/>
                </w:tcPr>
                <w:p w14:paraId="59B3D163">
                  <w:pPr>
                    <w:jc w:val="center"/>
                    <w:rPr>
                      <w:rFonts w:hint="eastAsia"/>
                      <w:color w:val="auto"/>
                      <w:highlight w:val="none"/>
                      <w:lang w:val="en-US" w:eastAsia="zh-CN"/>
                    </w:rPr>
                  </w:pPr>
                </w:p>
              </w:tc>
              <w:tc>
                <w:tcPr>
                  <w:tcW w:w="1205" w:type="pct"/>
                  <w:vMerge w:val="restart"/>
                  <w:tcBorders>
                    <w:top w:val="single" w:color="000000" w:sz="4" w:space="0"/>
                    <w:left w:val="single" w:color="000000" w:sz="4" w:space="0"/>
                    <w:right w:val="single" w:color="000000" w:sz="4" w:space="0"/>
                  </w:tcBorders>
                  <w:noWrap/>
                  <w:vAlign w:val="center"/>
                </w:tcPr>
                <w:p w14:paraId="64512D76">
                  <w:pPr>
                    <w:jc w:val="center"/>
                    <w:rPr>
                      <w:rFonts w:hint="eastAsia"/>
                      <w:color w:val="auto"/>
                      <w:highlight w:val="none"/>
                      <w:lang w:val="en-US" w:eastAsia="zh-CN"/>
                    </w:rPr>
                  </w:pPr>
                  <w:r>
                    <w:rPr>
                      <w:rFonts w:hint="eastAsia"/>
                      <w:color w:val="auto"/>
                      <w:highlight w:val="none"/>
                      <w:lang w:val="en-US" w:eastAsia="zh-CN"/>
                    </w:rPr>
                    <w:t>车辆轨迹完整率</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414F44CD">
                  <w:pPr>
                    <w:jc w:val="center"/>
                    <w:rPr>
                      <w:rFonts w:hint="eastAsia"/>
                      <w:color w:val="auto"/>
                      <w:highlight w:val="none"/>
                      <w:lang w:val="en-US" w:eastAsia="zh-CN"/>
                    </w:rPr>
                  </w:pPr>
                  <w:r>
                    <w:rPr>
                      <w:rFonts w:hint="eastAsia"/>
                      <w:color w:val="auto"/>
                      <w:highlight w:val="none"/>
                      <w:lang w:val="en-US" w:eastAsia="zh-CN"/>
                    </w:rPr>
                    <w:t>道路测试车辆轨迹完整率</w:t>
                  </w:r>
                </w:p>
              </w:tc>
            </w:tr>
            <w:tr w14:paraId="37C7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1C9FEE10">
                  <w:pPr>
                    <w:jc w:val="center"/>
                    <w:rPr>
                      <w:rFonts w:hint="eastAsia"/>
                      <w:color w:val="auto"/>
                      <w:highlight w:val="none"/>
                      <w:lang w:val="en-US" w:eastAsia="zh-CN"/>
                    </w:rPr>
                  </w:pPr>
                  <w:r>
                    <w:rPr>
                      <w:rFonts w:hint="eastAsia"/>
                      <w:color w:val="auto"/>
                      <w:highlight w:val="none"/>
                      <w:lang w:val="en-US" w:eastAsia="zh-CN"/>
                    </w:rPr>
                    <w:t>42</w:t>
                  </w:r>
                </w:p>
              </w:tc>
              <w:tc>
                <w:tcPr>
                  <w:tcW w:w="809" w:type="pct"/>
                  <w:vMerge w:val="continue"/>
                  <w:tcBorders>
                    <w:top w:val="single" w:color="000000" w:sz="4" w:space="0"/>
                    <w:bottom w:val="single" w:color="000000" w:sz="4" w:space="0"/>
                    <w:right w:val="single" w:color="000000" w:sz="4" w:space="0"/>
                  </w:tcBorders>
                  <w:noWrap/>
                  <w:vAlign w:val="center"/>
                </w:tcPr>
                <w:p w14:paraId="0835A4BB">
                  <w:pPr>
                    <w:jc w:val="center"/>
                    <w:rPr>
                      <w:rFonts w:hint="eastAsia"/>
                      <w:color w:val="auto"/>
                      <w:highlight w:val="none"/>
                      <w:lang w:val="en-US" w:eastAsia="zh-CN"/>
                    </w:rPr>
                  </w:pPr>
                </w:p>
              </w:tc>
              <w:tc>
                <w:tcPr>
                  <w:tcW w:w="1205" w:type="pct"/>
                  <w:vMerge w:val="continue"/>
                  <w:tcBorders>
                    <w:top w:val="single" w:color="000000" w:sz="4" w:space="0"/>
                    <w:left w:val="single" w:color="000000" w:sz="4" w:space="0"/>
                    <w:right w:val="single" w:color="000000" w:sz="4" w:space="0"/>
                  </w:tcBorders>
                  <w:noWrap/>
                  <w:vAlign w:val="center"/>
                </w:tcPr>
                <w:p w14:paraId="0F731D6D">
                  <w:pPr>
                    <w:jc w:val="center"/>
                    <w:rPr>
                      <w:rFonts w:hint="eastAsia"/>
                      <w:color w:val="auto"/>
                      <w:highlight w:val="none"/>
                      <w:lang w:val="en-US" w:eastAsia="zh-CN"/>
                    </w:rPr>
                  </w:pP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7CEB480C">
                  <w:pPr>
                    <w:jc w:val="center"/>
                    <w:rPr>
                      <w:rFonts w:hint="eastAsia"/>
                      <w:color w:val="auto"/>
                      <w:highlight w:val="none"/>
                      <w:lang w:val="en-US" w:eastAsia="zh-CN"/>
                    </w:rPr>
                  </w:pPr>
                  <w:r>
                    <w:rPr>
                      <w:rFonts w:hint="eastAsia"/>
                      <w:color w:val="auto"/>
                      <w:highlight w:val="none"/>
                      <w:lang w:val="en-US" w:eastAsia="zh-CN"/>
                    </w:rPr>
                    <w:t>商业应用车辆轨迹完整率</w:t>
                  </w:r>
                </w:p>
              </w:tc>
            </w:tr>
            <w:tr w14:paraId="4EF9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6ABDB0BE">
                  <w:pPr>
                    <w:jc w:val="center"/>
                    <w:rPr>
                      <w:rFonts w:hint="eastAsia"/>
                      <w:color w:val="auto"/>
                      <w:highlight w:val="none"/>
                      <w:lang w:val="en-US" w:eastAsia="zh-CN"/>
                    </w:rPr>
                  </w:pPr>
                  <w:r>
                    <w:rPr>
                      <w:rFonts w:hint="eastAsia"/>
                      <w:color w:val="auto"/>
                      <w:highlight w:val="none"/>
                      <w:lang w:val="en-US" w:eastAsia="zh-CN"/>
                    </w:rPr>
                    <w:t>43</w:t>
                  </w:r>
                </w:p>
              </w:tc>
              <w:tc>
                <w:tcPr>
                  <w:tcW w:w="809" w:type="pct"/>
                  <w:vMerge w:val="continue"/>
                  <w:tcBorders>
                    <w:top w:val="single" w:color="000000" w:sz="4" w:space="0"/>
                    <w:bottom w:val="single" w:color="000000" w:sz="4" w:space="0"/>
                    <w:right w:val="single" w:color="000000" w:sz="4" w:space="0"/>
                  </w:tcBorders>
                  <w:noWrap/>
                  <w:vAlign w:val="center"/>
                </w:tcPr>
                <w:p w14:paraId="7D6726D2">
                  <w:pPr>
                    <w:jc w:val="center"/>
                    <w:rPr>
                      <w:rFonts w:hint="eastAsia"/>
                      <w:color w:val="auto"/>
                      <w:highlight w:val="none"/>
                      <w:lang w:val="en-US" w:eastAsia="zh-CN"/>
                    </w:rPr>
                  </w:pPr>
                </w:p>
              </w:tc>
              <w:tc>
                <w:tcPr>
                  <w:tcW w:w="1205" w:type="pct"/>
                  <w:tcBorders>
                    <w:top w:val="single" w:color="000000" w:sz="4" w:space="0"/>
                    <w:left w:val="single" w:color="000000" w:sz="4" w:space="0"/>
                    <w:right w:val="single" w:color="000000" w:sz="4" w:space="0"/>
                  </w:tcBorders>
                  <w:noWrap/>
                  <w:vAlign w:val="center"/>
                </w:tcPr>
                <w:p w14:paraId="5B1A7406">
                  <w:pPr>
                    <w:jc w:val="center"/>
                    <w:rPr>
                      <w:rFonts w:hint="eastAsia"/>
                      <w:color w:val="auto"/>
                      <w:highlight w:val="none"/>
                      <w:lang w:val="en-US" w:eastAsia="zh-CN"/>
                    </w:rPr>
                  </w:pPr>
                  <w:r>
                    <w:rPr>
                      <w:rFonts w:hint="eastAsia"/>
                      <w:color w:val="auto"/>
                      <w:highlight w:val="none"/>
                      <w:lang w:val="en-US" w:eastAsia="zh-CN"/>
                    </w:rPr>
                    <w:t>安全员监测</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6B317A4F">
                  <w:pPr>
                    <w:jc w:val="center"/>
                    <w:rPr>
                      <w:rFonts w:hint="eastAsia"/>
                      <w:color w:val="auto"/>
                      <w:highlight w:val="none"/>
                      <w:lang w:val="en-US" w:eastAsia="zh-CN"/>
                    </w:rPr>
                  </w:pPr>
                  <w:r>
                    <w:rPr>
                      <w:rFonts w:hint="eastAsia"/>
                      <w:color w:val="auto"/>
                      <w:highlight w:val="none"/>
                      <w:lang w:val="en-US" w:eastAsia="zh-CN"/>
                    </w:rPr>
                    <w:t>安全员驾照有效率</w:t>
                  </w:r>
                </w:p>
              </w:tc>
            </w:tr>
            <w:tr w14:paraId="21A9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14:paraId="43C24121">
                  <w:pPr>
                    <w:jc w:val="center"/>
                    <w:rPr>
                      <w:rFonts w:hint="eastAsia"/>
                      <w:color w:val="auto"/>
                      <w:highlight w:val="none"/>
                      <w:lang w:val="en-US" w:eastAsia="zh-CN"/>
                    </w:rPr>
                  </w:pPr>
                  <w:r>
                    <w:rPr>
                      <w:rFonts w:hint="eastAsia"/>
                      <w:color w:val="auto"/>
                      <w:highlight w:val="none"/>
                      <w:lang w:val="en-US" w:eastAsia="zh-CN"/>
                    </w:rPr>
                    <w:t>44</w:t>
                  </w:r>
                </w:p>
              </w:tc>
              <w:tc>
                <w:tcPr>
                  <w:tcW w:w="809" w:type="pct"/>
                  <w:vMerge w:val="continue"/>
                  <w:tcBorders>
                    <w:top w:val="single" w:color="000000" w:sz="4" w:space="0"/>
                    <w:bottom w:val="single" w:color="000000" w:sz="4" w:space="0"/>
                    <w:right w:val="single" w:color="000000" w:sz="4" w:space="0"/>
                  </w:tcBorders>
                  <w:noWrap/>
                  <w:vAlign w:val="center"/>
                </w:tcPr>
                <w:p w14:paraId="1F865026">
                  <w:pPr>
                    <w:jc w:val="center"/>
                    <w:rPr>
                      <w:rFonts w:hint="eastAsia"/>
                      <w:color w:val="auto"/>
                      <w:highlight w:val="none"/>
                      <w:lang w:val="en-US" w:eastAsia="zh-CN"/>
                    </w:rPr>
                  </w:pPr>
                </w:p>
              </w:tc>
              <w:tc>
                <w:tcPr>
                  <w:tcW w:w="1205" w:type="pct"/>
                  <w:tcBorders>
                    <w:top w:val="single" w:color="000000" w:sz="4" w:space="0"/>
                    <w:left w:val="single" w:color="000000" w:sz="4" w:space="0"/>
                    <w:bottom w:val="single" w:color="000000" w:sz="4" w:space="0"/>
                    <w:right w:val="single" w:color="000000" w:sz="4" w:space="0"/>
                  </w:tcBorders>
                  <w:noWrap/>
                  <w:vAlign w:val="center"/>
                </w:tcPr>
                <w:p w14:paraId="4138505D">
                  <w:pPr>
                    <w:jc w:val="center"/>
                    <w:rPr>
                      <w:rFonts w:hint="eastAsia"/>
                      <w:color w:val="auto"/>
                      <w:highlight w:val="none"/>
                      <w:lang w:val="en-US" w:eastAsia="zh-CN"/>
                    </w:rPr>
                  </w:pPr>
                  <w:r>
                    <w:rPr>
                      <w:rFonts w:hint="eastAsia"/>
                      <w:color w:val="auto"/>
                      <w:highlight w:val="none"/>
                      <w:lang w:val="en-US" w:eastAsia="zh-CN"/>
                    </w:rPr>
                    <w:t>主体监测</w:t>
                  </w:r>
                </w:p>
              </w:tc>
              <w:tc>
                <w:tcPr>
                  <w:tcW w:w="2501" w:type="pct"/>
                  <w:tcBorders>
                    <w:top w:val="single" w:color="000000" w:sz="4" w:space="0"/>
                    <w:left w:val="single" w:color="000000" w:sz="4" w:space="0"/>
                    <w:bottom w:val="single" w:color="000000" w:sz="4" w:space="0"/>
                    <w:right w:val="single" w:color="000000" w:sz="4" w:space="0"/>
                  </w:tcBorders>
                  <w:noWrap/>
                  <w:vAlign w:val="center"/>
                </w:tcPr>
                <w:p w14:paraId="1DED1AA4">
                  <w:pPr>
                    <w:jc w:val="center"/>
                    <w:rPr>
                      <w:rFonts w:hint="eastAsia"/>
                      <w:color w:val="auto"/>
                      <w:highlight w:val="none"/>
                      <w:lang w:val="en-US" w:eastAsia="zh-CN"/>
                    </w:rPr>
                  </w:pPr>
                  <w:r>
                    <w:rPr>
                      <w:rFonts w:hint="eastAsia"/>
                      <w:color w:val="auto"/>
                      <w:highlight w:val="none"/>
                      <w:lang w:val="en-US" w:eastAsia="zh-CN"/>
                    </w:rPr>
                    <w:t>道路测试主体车辆年检通过率</w:t>
                  </w:r>
                </w:p>
              </w:tc>
            </w:tr>
          </w:tbl>
          <w:p w14:paraId="04D153F9">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②指标展示设计</w:t>
            </w:r>
          </w:p>
          <w:p w14:paraId="039E6609">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遵循佛山市功能型无人车服务平台及佛山市交通运输综合管理系统整体框架要求，通过静态设计、原型搭建等方式，明确指标展示的总体布局、呈现形式与细节规范。</w:t>
            </w:r>
          </w:p>
          <w:p w14:paraId="035B5012">
            <w:pPr>
              <w:keepNext w:val="0"/>
              <w:keepLines w:val="0"/>
              <w:widowControl/>
              <w:suppressLineNumbers w:val="0"/>
              <w:wordWrap/>
              <w:spacing w:line="240" w:lineRule="auto"/>
              <w:ind w:firstLine="420" w:firstLineChars="200"/>
              <w:jc w:val="left"/>
              <w:textAlignment w:val="center"/>
              <w:rPr>
                <w:rFonts w:hint="default" w:eastAsia="宋体" w:cs="Times New Roman"/>
                <w:color w:val="auto"/>
                <w:highlight w:val="none"/>
                <w:lang w:val="en-US" w:eastAsia="zh-CN"/>
              </w:rPr>
            </w:pPr>
            <w:r>
              <w:rPr>
                <w:rFonts w:hint="eastAsia" w:eastAsia="宋体" w:cs="Times New Roman"/>
                <w:color w:val="auto"/>
                <w:highlight w:val="none"/>
                <w:lang w:val="en-US" w:eastAsia="zh-CN"/>
              </w:rPr>
              <w:t>③指标展示开发</w:t>
            </w:r>
          </w:p>
          <w:p w14:paraId="0FB40269">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基于展示设计方案，开展三大维度业务指标可视化开发，实现数据成果的直观呈现。</w:t>
            </w:r>
          </w:p>
          <w:p w14:paraId="314B20DD">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路权开发信息展示。聚焦无人车路权管理场景，对道路测试、商业应用开放路段进行全域管控。以可视化图表（柱状图、地图标注等）呈现开放路段数据，区分展示道路测试、商业应用两类开放路段的数量、公里数，同步在地图上标注路段分布，助力快速掌握路权资源配置与空间布局。</w:t>
            </w:r>
          </w:p>
          <w:p w14:paraId="6769124A">
            <w:pPr>
              <w:keepNext w:val="0"/>
              <w:keepLines w:val="0"/>
              <w:widowControl/>
              <w:suppressLineNumbers w:val="0"/>
              <w:wordWrap/>
              <w:spacing w:line="240" w:lineRule="auto"/>
              <w:ind w:firstLine="420" w:firstLineChars="200"/>
              <w:jc w:val="left"/>
              <w:textAlignment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主体监管信息展示。围绕道路测试、商业应用主体，构建多维度监管画像。从规模维度，统计各区、企业车辆总数、安全员总数，计算安全员配比率；运营维度，汇总主体及车辆行驶里程、时长数据；合规维度，呈现违规违章事件数量及趋势；安全维度，追踪交通事故数量变化，多指标联动，全面反映主体运营与合规状况。</w:t>
            </w:r>
          </w:p>
          <w:p w14:paraId="2DF47904">
            <w:pPr>
              <w:keepNext w:val="0"/>
              <w:keepLines w:val="0"/>
              <w:widowControl/>
              <w:suppressLineNumbers w:val="0"/>
              <w:wordWrap/>
              <w:spacing w:line="240" w:lineRule="auto"/>
              <w:ind w:firstLine="420" w:firstLineChars="200"/>
              <w:jc w:val="left"/>
              <w:textAlignment w:val="center"/>
              <w:rPr>
                <w:rFonts w:hint="default" w:eastAsia="宋体" w:cs="Times New Roman"/>
                <w:b/>
                <w:color w:val="auto"/>
                <w:sz w:val="21"/>
                <w:highlight w:val="none"/>
                <w:lang w:val="en-US" w:eastAsia="zh-CN"/>
              </w:rPr>
            </w:pPr>
            <w:r>
              <w:rPr>
                <w:rFonts w:hint="eastAsia" w:eastAsia="宋体" w:cs="Times New Roman"/>
                <w:color w:val="auto"/>
                <w:highlight w:val="none"/>
                <w:lang w:val="en-US" w:eastAsia="zh-CN"/>
              </w:rPr>
              <w:t>动态监测信息展示。针对车辆、安全员、主体三类对象实施动态监测：车辆监测结合上线率、在线率、点位漂移率评估稳定性，重点捕捉速度超限、路线偏离、区域偏离、设备故障、突发事故等异常行为；安全员监测聚焦驾照有效期、人车匹配率，防控资质与岗位风险；主体监测以车辆年检通过率为核心，保障运营车辆技术合规，多对象协同守护无人车运行安全。</w:t>
            </w:r>
          </w:p>
        </w:tc>
      </w:tr>
    </w:tbl>
    <w:p w14:paraId="66F2A497">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A7528"/>
    <w:multiLevelType w:val="multilevel"/>
    <w:tmpl w:val="57FA7528"/>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55F09"/>
    <w:rsid w:val="293F0394"/>
    <w:rsid w:val="3A6E09A6"/>
    <w:rsid w:val="62355F09"/>
    <w:rsid w:val="7EDC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numPr>
        <w:ilvl w:val="1"/>
        <w:numId w:val="1"/>
      </w:numPr>
      <w:spacing w:line="360" w:lineRule="auto"/>
      <w:outlineLvl w:val="1"/>
    </w:pPr>
    <w:rPr>
      <w:rFonts w:ascii="黑体" w:hAnsi="黑体" w:eastAsia="黑体" w:cs="Times New Roman"/>
      <w:b/>
      <w:bCs/>
      <w:sz w:val="32"/>
      <w:szCs w:val="32"/>
    </w:rPr>
  </w:style>
  <w:style w:type="paragraph" w:styleId="4">
    <w:name w:val="heading 3"/>
    <w:basedOn w:val="1"/>
    <w:next w:val="1"/>
    <w:qFormat/>
    <w:uiPriority w:val="9"/>
    <w:pPr>
      <w:keepNext/>
      <w:keepLines/>
      <w:numPr>
        <w:ilvl w:val="2"/>
        <w:numId w:val="1"/>
      </w:numPr>
      <w:spacing w:line="360" w:lineRule="auto"/>
      <w:outlineLvl w:val="2"/>
    </w:pPr>
    <w:rPr>
      <w:rFonts w:ascii="Times New Roman" w:hAnsi="Times New Roman" w:eastAsia="黑体"/>
      <w:b/>
      <w:bCs/>
      <w:sz w:val="32"/>
      <w:szCs w:val="28"/>
    </w:rPr>
  </w:style>
  <w:style w:type="paragraph" w:styleId="5">
    <w:name w:val="heading 4"/>
    <w:basedOn w:val="1"/>
    <w:next w:val="1"/>
    <w:qFormat/>
    <w:uiPriority w:val="9"/>
    <w:pPr>
      <w:keepNext/>
      <w:keepLines/>
      <w:numPr>
        <w:ilvl w:val="3"/>
        <w:numId w:val="1"/>
      </w:numPr>
      <w:spacing w:line="360" w:lineRule="auto"/>
      <w:outlineLvl w:val="3"/>
    </w:pPr>
    <w:rPr>
      <w:rFonts w:ascii="Times New Roman" w:hAnsi="Times New Roman" w:eastAsia="宋体" w:cs="Times New Roman"/>
      <w:b/>
      <w:bCs/>
      <w:sz w:val="28"/>
      <w:szCs w:val="28"/>
    </w:rPr>
  </w:style>
  <w:style w:type="paragraph" w:styleId="6">
    <w:name w:val="heading 5"/>
    <w:basedOn w:val="1"/>
    <w:next w:val="1"/>
    <w:qFormat/>
    <w:uiPriority w:val="9"/>
    <w:pPr>
      <w:keepNext/>
      <w:keepLines/>
      <w:numPr>
        <w:ilvl w:val="4"/>
        <w:numId w:val="1"/>
      </w:numPr>
      <w:spacing w:line="360" w:lineRule="auto"/>
      <w:outlineLvl w:val="4"/>
    </w:pPr>
    <w:rPr>
      <w:rFonts w:ascii="Times New Roman" w:hAnsi="Times New Roman"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widowControl/>
      <w:ind w:firstLine="480" w:firstLineChars="200"/>
      <w:contextualSpacing/>
      <w:jc w:val="left"/>
    </w:pPr>
    <w:rPr>
      <w:rFonts w:ascii="Calibri" w:hAnsi="Calibri" w:cs="Times New Roman"/>
      <w:sz w:val="28"/>
      <w:szCs w:val="28"/>
    </w:rPr>
  </w:style>
  <w:style w:type="paragraph" w:styleId="7">
    <w:name w:val="Normal Indent"/>
    <w:basedOn w:val="1"/>
    <w:unhideWhenUsed/>
    <w:qFormat/>
    <w:uiPriority w:val="0"/>
    <w:pPr>
      <w:ind w:firstLine="420" w:firstLineChars="200"/>
    </w:pPr>
    <w:rPr>
      <w:rFonts w:ascii="Calibri" w:hAnsi="Calibri" w:cs="Times New Roman"/>
      <w:szCs w:val="24"/>
    </w:rPr>
  </w:style>
  <w:style w:type="paragraph" w:styleId="8">
    <w:name w:val="annotation text"/>
    <w:basedOn w:val="1"/>
    <w:unhideWhenUsed/>
    <w:qFormat/>
    <w:uiPriority w:val="99"/>
    <w:pPr>
      <w:jc w:val="left"/>
    </w:pPr>
  </w:style>
  <w:style w:type="paragraph" w:customStyle="1" w:styleId="11">
    <w:name w:val="_Style 3"/>
    <w:basedOn w:val="1"/>
    <w:qFormat/>
    <w:uiPriority w:val="0"/>
    <w:pPr>
      <w:suppressAutoHyphens/>
      <w:ind w:firstLine="420"/>
    </w:pPr>
    <w:rPr>
      <w:kern w:val="1"/>
      <w:lang w:eastAsia="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方案正文"/>
    <w:basedOn w:val="1"/>
    <w:qFormat/>
    <w:uiPriority w:val="0"/>
    <w:pPr>
      <w:widowControl/>
      <w:adjustRightInd w:val="0"/>
      <w:snapToGrid w:val="0"/>
      <w:ind w:firstLine="480" w:firstLineChars="200"/>
      <w:contextualSpacing/>
    </w:pPr>
    <w:rPr>
      <w:rFonts w:ascii="宋体" w:hAnsi="宋体" w:cs="宋体"/>
      <w:color w:val="00000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1625</Words>
  <Characters>1644</Characters>
  <Lines>0</Lines>
  <Paragraphs>0</Paragraphs>
  <TotalTime>0</TotalTime>
  <ScaleCrop>false</ScaleCrop>
  <LinksUpToDate>false</LinksUpToDate>
  <CharactersWithSpaces>1648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2025-08-27T02:59:00Z</dcterms:created>
  <dc:creator>刚刚好</dc:creator>
  <cp:lastModifiedBy>刚刚好</cp:lastModifiedBy>
  <dcterms:modified xsi:type="dcterms:W3CDTF">2026-04-24T06:52:41Z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E593A4D835784B0FB72AADBF263A1DC4_11</vt:lpwstr>
  </property>
  <property fmtid="{D5CDD505-2E9C-101B-9397-08002B2CF9AE}" pid="4" name="KSOTemplateDocerSaveRecord">
    <vt:lpwstr>eyJoZGlkIjoiOTRmZTQ5MmU0YzE5N2YwOWI0YjI4MjZjZGYyMzQ4OWIiLCJ1c2VySWQiOiIxMTIzMTkwMTkwIn0=</vt:lpwstr>
  </property>
</Properties>
</file>