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9E7CB">
      <w:pPr>
        <w:pStyle w:val="11"/>
        <w:jc w:val="center"/>
        <w:outlineLvl w:val="1"/>
        <w:rPr>
          <w:color w:val="auto"/>
        </w:rPr>
      </w:pPr>
      <w:r>
        <w:rPr>
          <w:b/>
          <w:color w:val="auto"/>
          <w:sz w:val="36"/>
        </w:rPr>
        <w:t>采购需求</w:t>
      </w:r>
    </w:p>
    <w:p w14:paraId="7EE419AA">
      <w:pPr>
        <w:pStyle w:val="11"/>
        <w:outlineLvl w:val="2"/>
        <w:rPr>
          <w:color w:val="auto"/>
        </w:rPr>
      </w:pPr>
      <w:r>
        <w:rPr>
          <w:b/>
          <w:color w:val="auto"/>
          <w:sz w:val="28"/>
        </w:rPr>
        <w:t>一、项目概况：</w:t>
      </w:r>
    </w:p>
    <w:p w14:paraId="561EDF27">
      <w:pPr>
        <w:pStyle w:val="11"/>
        <w:ind w:firstLine="420" w:firstLineChars="200"/>
        <w:rPr>
          <w:rFonts w:hint="default" w:eastAsiaTheme="minorEastAsia"/>
          <w:color w:val="auto"/>
          <w:lang w:val="en-US" w:eastAsia="zh-CN"/>
        </w:rPr>
      </w:pPr>
      <w:r>
        <w:rPr>
          <w:rFonts w:hint="eastAsia"/>
          <w:color w:val="auto"/>
          <w:sz w:val="21"/>
        </w:rPr>
        <w:t>随着佛山市政务信息化智能化的发展、智能交通信息化的日新月异，以及车联网、自动驾驶技术的普及和革新，智能交通领域的网络信息安全形势越来越严峻，落实做好各项网络信息安全工作越来越系统化专业化，在此背景下，系统化开展网络信息安全防护服务项目工作便显得十分必要</w:t>
      </w:r>
      <w:r>
        <w:rPr>
          <w:rFonts w:hint="eastAsia"/>
          <w:color w:val="auto"/>
          <w:sz w:val="21"/>
          <w:lang w:val="en-US" w:eastAsia="zh-CN"/>
        </w:rPr>
        <w:t>。</w:t>
      </w:r>
      <w:r>
        <w:rPr>
          <w:rFonts w:hint="eastAsia"/>
          <w:color w:val="auto"/>
        </w:rPr>
        <w:t>项目依据《广东省数字政府网络安全指数指标体系》、《广东省数字政府网络安全指数评估报告指导要求》和佛山市数字政府网络安全体系建设</w:t>
      </w:r>
      <w:r>
        <w:rPr>
          <w:color w:val="auto"/>
        </w:rPr>
        <w:t>2022专项工作方案，通过网络安全管理、网络安全建设、网络安全运营和网络安全效果四个维度的建设，全面提升佛山市交通运输局网络安全保障能力，满足国家以及部、省相关网络安全监管要求。</w:t>
      </w:r>
    </w:p>
    <w:p w14:paraId="46A46495">
      <w:pPr>
        <w:pStyle w:val="11"/>
        <w:rPr>
          <w:color w:val="auto"/>
        </w:rPr>
      </w:pPr>
      <w:r>
        <w:rPr>
          <w:b/>
          <w:color w:val="auto"/>
        </w:rPr>
        <w:t>1.主要商务要求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9"/>
        <w:gridCol w:w="6287"/>
      </w:tblGrid>
      <w:tr w14:paraId="641D1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center"/>
          </w:tcPr>
          <w:p w14:paraId="7A5C6D16">
            <w:pPr>
              <w:pStyle w:val="11"/>
              <w:jc w:val="center"/>
              <w:rPr>
                <w:color w:val="auto"/>
              </w:rPr>
            </w:pPr>
            <w:r>
              <w:rPr>
                <w:color w:val="auto"/>
              </w:rPr>
              <w:t>标的提供的时间</w:t>
            </w:r>
          </w:p>
        </w:tc>
        <w:tc>
          <w:tcPr>
            <w:tcW w:w="6287" w:type="dxa"/>
          </w:tcPr>
          <w:p w14:paraId="41F033FD">
            <w:pPr>
              <w:pStyle w:val="11"/>
              <w:rPr>
                <w:color w:val="auto"/>
              </w:rPr>
            </w:pPr>
            <w:r>
              <w:rPr>
                <w:color w:val="auto"/>
              </w:rPr>
              <w:t>自合同签订生效后1年。</w:t>
            </w:r>
          </w:p>
        </w:tc>
      </w:tr>
      <w:tr w14:paraId="05828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center"/>
          </w:tcPr>
          <w:p w14:paraId="763F55C5">
            <w:pPr>
              <w:pStyle w:val="11"/>
              <w:jc w:val="center"/>
              <w:rPr>
                <w:color w:val="auto"/>
              </w:rPr>
            </w:pPr>
            <w:r>
              <w:rPr>
                <w:color w:val="auto"/>
              </w:rPr>
              <w:t>标的提供的地点</w:t>
            </w:r>
          </w:p>
        </w:tc>
        <w:tc>
          <w:tcPr>
            <w:tcW w:w="6287" w:type="dxa"/>
          </w:tcPr>
          <w:p w14:paraId="27530532">
            <w:pPr>
              <w:pStyle w:val="11"/>
              <w:rPr>
                <w:color w:val="auto"/>
              </w:rPr>
            </w:pPr>
            <w:r>
              <w:rPr>
                <w:color w:val="auto"/>
              </w:rPr>
              <w:t>采购人指定地点。</w:t>
            </w:r>
          </w:p>
        </w:tc>
      </w:tr>
      <w:tr w14:paraId="40AA6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center"/>
          </w:tcPr>
          <w:p w14:paraId="7B8EE71B">
            <w:pPr>
              <w:pStyle w:val="11"/>
              <w:jc w:val="center"/>
              <w:rPr>
                <w:color w:val="auto"/>
              </w:rPr>
            </w:pPr>
            <w:r>
              <w:rPr>
                <w:color w:val="auto"/>
              </w:rPr>
              <w:t>付款方式</w:t>
            </w:r>
          </w:p>
        </w:tc>
        <w:tc>
          <w:tcPr>
            <w:tcW w:w="6287" w:type="dxa"/>
          </w:tcPr>
          <w:p w14:paraId="628FCC85">
            <w:pPr>
              <w:pStyle w:val="11"/>
              <w:rPr>
                <w:rFonts w:hint="eastAsia" w:eastAsiaTheme="minorEastAsia"/>
                <w:color w:val="auto"/>
                <w:lang w:eastAsia="zh-CN"/>
              </w:rPr>
            </w:pPr>
            <w:r>
              <w:rPr>
                <w:color w:val="auto"/>
              </w:rPr>
              <w:t>1期：支付比例</w:t>
            </w:r>
            <w:r>
              <w:rPr>
                <w:rFonts w:hint="eastAsia"/>
                <w:color w:val="auto"/>
                <w:lang w:val="en-US" w:eastAsia="zh-CN"/>
              </w:rPr>
              <w:t>4</w:t>
            </w:r>
            <w:r>
              <w:rPr>
                <w:color w:val="auto"/>
              </w:rPr>
              <w:t>0%,</w:t>
            </w:r>
            <w:r>
              <w:rPr>
                <w:rFonts w:hint="eastAsia"/>
                <w:color w:val="auto"/>
                <w:lang w:val="en-US" w:eastAsia="zh-CN"/>
              </w:rPr>
              <w:t xml:space="preserve">  </w:t>
            </w:r>
            <w:r>
              <w:rPr>
                <w:color w:val="auto"/>
              </w:rPr>
              <w:t>合同签订生效后，采购人向成交供应商支付合同总价的</w:t>
            </w:r>
            <w:r>
              <w:rPr>
                <w:rFonts w:hint="eastAsia"/>
                <w:color w:val="auto"/>
                <w:lang w:val="en-US" w:eastAsia="zh-CN"/>
              </w:rPr>
              <w:t>4</w:t>
            </w:r>
            <w:r>
              <w:rPr>
                <w:color w:val="auto"/>
              </w:rPr>
              <w:t>0%；</w:t>
            </w:r>
          </w:p>
          <w:p w14:paraId="500D905C">
            <w:pPr>
              <w:pStyle w:val="11"/>
              <w:rPr>
                <w:color w:val="auto"/>
              </w:rPr>
            </w:pPr>
            <w:r>
              <w:rPr>
                <w:color w:val="auto"/>
              </w:rPr>
              <w:t>2期：支付比例</w:t>
            </w:r>
            <w:r>
              <w:rPr>
                <w:rFonts w:hint="eastAsia"/>
                <w:color w:val="auto"/>
                <w:lang w:val="en-US" w:eastAsia="zh-CN"/>
              </w:rPr>
              <w:t>3</w:t>
            </w:r>
            <w:r>
              <w:rPr>
                <w:color w:val="auto"/>
              </w:rPr>
              <w:t>0%,</w:t>
            </w:r>
            <w:r>
              <w:rPr>
                <w:rFonts w:hint="eastAsia"/>
                <w:color w:val="auto"/>
                <w:lang w:val="en-US" w:eastAsia="zh-CN"/>
              </w:rPr>
              <w:t xml:space="preserve">  </w:t>
            </w:r>
            <w:r>
              <w:rPr>
                <w:rFonts w:hint="eastAsia"/>
                <w:color w:val="auto"/>
                <w:lang w:eastAsia="zh-CN"/>
              </w:rPr>
              <w:t>2025年12月15日</w:t>
            </w:r>
            <w:r>
              <w:rPr>
                <w:color w:val="auto"/>
              </w:rPr>
              <w:t>前，成交供应商向采购人提交项目阶段实施报告，采购人确认后10个工作日内向成交供应商支付合同总价的</w:t>
            </w:r>
            <w:r>
              <w:rPr>
                <w:rFonts w:hint="eastAsia"/>
                <w:color w:val="auto"/>
                <w:lang w:val="en-US" w:eastAsia="zh-CN"/>
              </w:rPr>
              <w:t>3</w:t>
            </w:r>
            <w:r>
              <w:rPr>
                <w:color w:val="auto"/>
              </w:rPr>
              <w:t>0%；</w:t>
            </w:r>
          </w:p>
          <w:p w14:paraId="710D140F">
            <w:pPr>
              <w:pStyle w:val="11"/>
              <w:rPr>
                <w:color w:val="auto"/>
              </w:rPr>
            </w:pPr>
            <w:r>
              <w:rPr>
                <w:color w:val="auto"/>
              </w:rPr>
              <w:t>3期：支付比例30%,</w:t>
            </w:r>
            <w:r>
              <w:rPr>
                <w:rFonts w:hint="eastAsia"/>
                <w:color w:val="auto"/>
                <w:lang w:val="en-US" w:eastAsia="zh-CN"/>
              </w:rPr>
              <w:t xml:space="preserve">  </w:t>
            </w:r>
            <w:r>
              <w:rPr>
                <w:color w:val="auto"/>
              </w:rPr>
              <w:t>项目实施完毕并通过验收后，采购人向成交供应商支付合同总价的30%。</w:t>
            </w:r>
          </w:p>
          <w:p w14:paraId="72BE233F">
            <w:pPr>
              <w:pStyle w:val="11"/>
              <w:rPr>
                <w:color w:val="auto"/>
              </w:rPr>
            </w:pPr>
            <w:r>
              <w:rPr>
                <w:color w:val="auto"/>
              </w:rPr>
              <w:t>如项目发生合同融资，采购人应当将合同款项支付到合同约定收款账户。</w:t>
            </w:r>
          </w:p>
        </w:tc>
      </w:tr>
      <w:tr w14:paraId="73124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center"/>
          </w:tcPr>
          <w:p w14:paraId="5283E1DD">
            <w:pPr>
              <w:pStyle w:val="11"/>
              <w:jc w:val="center"/>
              <w:rPr>
                <w:color w:val="auto"/>
              </w:rPr>
            </w:pPr>
            <w:r>
              <w:rPr>
                <w:color w:val="auto"/>
              </w:rPr>
              <w:t>验收要求</w:t>
            </w:r>
          </w:p>
        </w:tc>
        <w:tc>
          <w:tcPr>
            <w:tcW w:w="6287" w:type="dxa"/>
          </w:tcPr>
          <w:p w14:paraId="0C7FA583">
            <w:pPr>
              <w:pStyle w:val="11"/>
              <w:rPr>
                <w:color w:val="auto"/>
              </w:rPr>
            </w:pPr>
            <w:r>
              <w:rPr>
                <w:color w:val="auto"/>
              </w:rPr>
              <w:t>1期：</w:t>
            </w:r>
          </w:p>
          <w:p w14:paraId="1BC35DA8">
            <w:pPr>
              <w:pStyle w:val="11"/>
              <w:rPr>
                <w:color w:val="auto"/>
              </w:rPr>
            </w:pPr>
            <w:r>
              <w:rPr>
                <w:color w:val="auto"/>
              </w:rPr>
              <w:t>1）合同期满，收到成交供应商项目验收建议之日起7个工作日内按照合同的约定对履约情况进行验收，成交供应商需为验收提供必需的一切条件及相关费用，并提供本项目的相关文档和验收所需资料，积极配合采购人完成验收工作。</w:t>
            </w:r>
          </w:p>
          <w:p w14:paraId="4AA79379">
            <w:pPr>
              <w:pStyle w:val="11"/>
              <w:rPr>
                <w:color w:val="auto"/>
              </w:rPr>
            </w:pPr>
            <w:r>
              <w:rPr>
                <w:color w:val="auto"/>
              </w:rPr>
              <w:t xml:space="preserve">2）由采购人组织相关专家进行评审验收（验收地点：佛山市）（费用由成交供应商支付）。 </w:t>
            </w:r>
          </w:p>
          <w:p w14:paraId="7BE5E6A6">
            <w:pPr>
              <w:pStyle w:val="11"/>
              <w:rPr>
                <w:color w:val="auto"/>
              </w:rPr>
            </w:pPr>
            <w:r>
              <w:rPr>
                <w:color w:val="auto"/>
              </w:rPr>
              <w:t>3）验收通过后，</w:t>
            </w:r>
            <w:r>
              <w:rPr>
                <w:rFonts w:hint="eastAsia"/>
                <w:color w:val="auto"/>
                <w:lang w:eastAsia="zh-CN"/>
              </w:rPr>
              <w:t>向佛山市政务服务数据管理局申请符合性验收，并最终通过验收</w:t>
            </w:r>
            <w:r>
              <w:rPr>
                <w:color w:val="auto"/>
              </w:rPr>
              <w:t xml:space="preserve">。 </w:t>
            </w:r>
          </w:p>
          <w:p w14:paraId="56B85DD9">
            <w:pPr>
              <w:pStyle w:val="11"/>
              <w:rPr>
                <w:color w:val="auto"/>
              </w:rPr>
            </w:pPr>
            <w:r>
              <w:rPr>
                <w:color w:val="auto"/>
              </w:rPr>
              <w:t xml:space="preserve">4）验收标准：磋商文件中约定的所有内容。 </w:t>
            </w:r>
          </w:p>
          <w:p w14:paraId="48DE0656">
            <w:pPr>
              <w:pStyle w:val="11"/>
              <w:rPr>
                <w:color w:val="auto"/>
              </w:rPr>
            </w:pPr>
            <w:r>
              <w:rPr>
                <w:color w:val="auto"/>
              </w:rPr>
              <w:t>5）成交供应商应于验收后向采购人提供验收报告、技术文档的归纳、整理、提交，并提供完整的技术资料。</w:t>
            </w:r>
          </w:p>
        </w:tc>
      </w:tr>
      <w:tr w14:paraId="37072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center"/>
          </w:tcPr>
          <w:p w14:paraId="21A6E875">
            <w:pPr>
              <w:pStyle w:val="11"/>
              <w:jc w:val="center"/>
              <w:rPr>
                <w:color w:val="auto"/>
              </w:rPr>
            </w:pPr>
            <w:r>
              <w:rPr>
                <w:color w:val="auto"/>
              </w:rPr>
              <w:t>履约保证金</w:t>
            </w:r>
          </w:p>
        </w:tc>
        <w:tc>
          <w:tcPr>
            <w:tcW w:w="6287" w:type="dxa"/>
          </w:tcPr>
          <w:p w14:paraId="6BA80EA2">
            <w:pPr>
              <w:pStyle w:val="11"/>
              <w:rPr>
                <w:color w:val="auto"/>
              </w:rPr>
            </w:pPr>
            <w:r>
              <w:rPr>
                <w:color w:val="auto"/>
              </w:rPr>
              <w:t>不收取</w:t>
            </w:r>
          </w:p>
        </w:tc>
      </w:tr>
      <w:tr w14:paraId="097C7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9" w:type="dxa"/>
            <w:vAlign w:val="center"/>
          </w:tcPr>
          <w:p w14:paraId="2D5A96D1">
            <w:pPr>
              <w:pStyle w:val="11"/>
              <w:jc w:val="center"/>
              <w:rPr>
                <w:color w:val="auto"/>
              </w:rPr>
            </w:pPr>
            <w:r>
              <w:rPr>
                <w:color w:val="auto"/>
              </w:rPr>
              <w:t>其他</w:t>
            </w:r>
          </w:p>
        </w:tc>
        <w:tc>
          <w:tcPr>
            <w:tcW w:w="6287" w:type="dxa"/>
          </w:tcPr>
          <w:p w14:paraId="10B07B4D">
            <w:pPr>
              <w:pStyle w:val="11"/>
              <w:rPr>
                <w:color w:val="auto"/>
              </w:rPr>
            </w:pPr>
          </w:p>
        </w:tc>
      </w:tr>
    </w:tbl>
    <w:p w14:paraId="6DF04AC0">
      <w:pPr>
        <w:pStyle w:val="11"/>
        <w:rPr>
          <w:color w:val="auto"/>
        </w:rPr>
      </w:pPr>
      <w:r>
        <w:rPr>
          <w:color w:val="auto"/>
        </w:rPr>
        <w:t>其他商务需求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8"/>
        <w:gridCol w:w="657"/>
        <w:gridCol w:w="1109"/>
        <w:gridCol w:w="5900"/>
        <w:gridCol w:w="3"/>
      </w:tblGrid>
      <w:tr w14:paraId="4E944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638" w:type="dxa"/>
            <w:vAlign w:val="center"/>
          </w:tcPr>
          <w:p w14:paraId="6FA6AEA2">
            <w:pPr>
              <w:pStyle w:val="11"/>
              <w:jc w:val="center"/>
              <w:rPr>
                <w:color w:val="auto"/>
              </w:rPr>
            </w:pPr>
            <w:r>
              <w:rPr>
                <w:color w:val="auto"/>
              </w:rPr>
              <w:t>参数性质</w:t>
            </w:r>
          </w:p>
        </w:tc>
        <w:tc>
          <w:tcPr>
            <w:tcW w:w="657" w:type="dxa"/>
            <w:vAlign w:val="center"/>
          </w:tcPr>
          <w:p w14:paraId="50211F34">
            <w:pPr>
              <w:pStyle w:val="11"/>
              <w:jc w:val="center"/>
              <w:rPr>
                <w:color w:val="auto"/>
              </w:rPr>
            </w:pPr>
            <w:r>
              <w:rPr>
                <w:color w:val="auto"/>
              </w:rPr>
              <w:t>编号</w:t>
            </w:r>
          </w:p>
        </w:tc>
        <w:tc>
          <w:tcPr>
            <w:tcW w:w="1109" w:type="dxa"/>
            <w:vAlign w:val="center"/>
          </w:tcPr>
          <w:p w14:paraId="5F40F788">
            <w:pPr>
              <w:pStyle w:val="11"/>
              <w:jc w:val="center"/>
              <w:rPr>
                <w:color w:val="auto"/>
              </w:rPr>
            </w:pPr>
            <w:r>
              <w:rPr>
                <w:color w:val="auto"/>
              </w:rPr>
              <w:t>内容明细</w:t>
            </w:r>
          </w:p>
        </w:tc>
        <w:tc>
          <w:tcPr>
            <w:tcW w:w="5900" w:type="dxa"/>
            <w:vAlign w:val="center"/>
          </w:tcPr>
          <w:p w14:paraId="3EDD5BE8">
            <w:pPr>
              <w:pStyle w:val="11"/>
              <w:jc w:val="center"/>
              <w:rPr>
                <w:color w:val="auto"/>
              </w:rPr>
            </w:pPr>
            <w:r>
              <w:rPr>
                <w:color w:val="auto"/>
              </w:rPr>
              <w:t>内容说明</w:t>
            </w:r>
          </w:p>
        </w:tc>
      </w:tr>
      <w:tr w14:paraId="1759D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638" w:type="dxa"/>
            <w:vAlign w:val="center"/>
          </w:tcPr>
          <w:p w14:paraId="686BE40C">
            <w:pPr>
              <w:jc w:val="center"/>
              <w:rPr>
                <w:color w:val="auto"/>
              </w:rPr>
            </w:pPr>
          </w:p>
        </w:tc>
        <w:tc>
          <w:tcPr>
            <w:tcW w:w="657" w:type="dxa"/>
            <w:vAlign w:val="center"/>
          </w:tcPr>
          <w:p w14:paraId="5A04E316">
            <w:pPr>
              <w:pStyle w:val="11"/>
              <w:jc w:val="center"/>
              <w:rPr>
                <w:color w:val="auto"/>
              </w:rPr>
            </w:pPr>
            <w:r>
              <w:rPr>
                <w:color w:val="auto"/>
              </w:rPr>
              <w:t>1</w:t>
            </w:r>
          </w:p>
        </w:tc>
        <w:tc>
          <w:tcPr>
            <w:tcW w:w="1109" w:type="dxa"/>
            <w:vAlign w:val="center"/>
          </w:tcPr>
          <w:p w14:paraId="75A0616C">
            <w:pPr>
              <w:pStyle w:val="11"/>
              <w:jc w:val="center"/>
              <w:rPr>
                <w:color w:val="auto"/>
              </w:rPr>
            </w:pPr>
            <w:r>
              <w:rPr>
                <w:color w:val="auto"/>
              </w:rPr>
              <w:t>报价要求</w:t>
            </w:r>
          </w:p>
        </w:tc>
        <w:tc>
          <w:tcPr>
            <w:tcW w:w="5900" w:type="dxa"/>
          </w:tcPr>
          <w:p w14:paraId="04672189">
            <w:pPr>
              <w:pStyle w:val="11"/>
              <w:jc w:val="left"/>
              <w:rPr>
                <w:color w:val="auto"/>
              </w:rPr>
            </w:pPr>
            <w:r>
              <w:rPr>
                <w:color w:val="auto"/>
              </w:rPr>
              <w:t xml:space="preserve">1）本项目报价为广东省佛山市目的地交付验收价。 </w:t>
            </w:r>
          </w:p>
          <w:p w14:paraId="713070CC">
            <w:pPr>
              <w:pStyle w:val="11"/>
              <w:jc w:val="left"/>
              <w:rPr>
                <w:color w:val="auto"/>
              </w:rPr>
            </w:pPr>
            <w:r>
              <w:rPr>
                <w:color w:val="auto"/>
              </w:rPr>
              <w:t xml:space="preserve">2）响应报价指供应商为完成本项目所收取的全部费用，包含但不限于以下费用： 【本项目内容深化、项目实施所需费用、相关授权及证书的购置、雇员费用、交通差旅费用、培训、验收（含专家验收所涉及的相关费用）、质保期服务、售后服务、各种税费、规费及合同实施过程中的不可预见费用等全部费用，如涉及软件许可使用或技术指导、人员培训的，还应包括软件许可费以及一切技术服务费、人员培训费，并应包含本次采购的采购代理费（成交服务费）】 。 </w:t>
            </w:r>
          </w:p>
          <w:p w14:paraId="0392DE02">
            <w:pPr>
              <w:pStyle w:val="11"/>
              <w:jc w:val="left"/>
              <w:rPr>
                <w:color w:val="auto"/>
              </w:rPr>
            </w:pPr>
            <w:r>
              <w:rPr>
                <w:color w:val="auto"/>
              </w:rPr>
              <w:t xml:space="preserve">3）供应商须考虑本项目在实施期间的一切可能产生的费用。 </w:t>
            </w:r>
          </w:p>
          <w:p w14:paraId="4029FBAA">
            <w:pPr>
              <w:pStyle w:val="11"/>
              <w:jc w:val="left"/>
              <w:rPr>
                <w:color w:val="auto"/>
              </w:rPr>
            </w:pPr>
            <w:r>
              <w:rPr>
                <w:color w:val="auto"/>
              </w:rPr>
              <w:t xml:space="preserve">4）报价不得高于本项目的采购项目预算金额，否则视为无效报价，作无效响应处理。 </w:t>
            </w:r>
          </w:p>
          <w:p w14:paraId="1BFAD492">
            <w:pPr>
              <w:pStyle w:val="11"/>
              <w:jc w:val="left"/>
              <w:rPr>
                <w:color w:val="auto"/>
              </w:rPr>
            </w:pPr>
            <w:r>
              <w:rPr>
                <w:color w:val="auto"/>
              </w:rPr>
              <w:t>5）报价合理性：根据《政府采购货物和服务招标投标管理办法》第六十条的规定：评标委员会认为供应商的报价明显低于其他通过符合性审查供应商的报价，有可 能影响产品质量或者不能诚信履约的，应当要求其在评标现场合理的时间内提供书面说明，必要时提交相关证明材料；供应商不能证明其报价合理性的，评标委员会应当将其作为无效响应处理。</w:t>
            </w:r>
          </w:p>
        </w:tc>
      </w:tr>
      <w:tr w14:paraId="79984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638" w:type="dxa"/>
            <w:vAlign w:val="center"/>
          </w:tcPr>
          <w:p w14:paraId="09086453">
            <w:pPr>
              <w:jc w:val="center"/>
              <w:rPr>
                <w:color w:val="auto"/>
              </w:rPr>
            </w:pPr>
          </w:p>
        </w:tc>
        <w:tc>
          <w:tcPr>
            <w:tcW w:w="657" w:type="dxa"/>
            <w:vAlign w:val="center"/>
          </w:tcPr>
          <w:p w14:paraId="194500BB">
            <w:pPr>
              <w:pStyle w:val="11"/>
              <w:jc w:val="center"/>
              <w:rPr>
                <w:color w:val="auto"/>
              </w:rPr>
            </w:pPr>
            <w:r>
              <w:rPr>
                <w:color w:val="auto"/>
              </w:rPr>
              <w:t>2</w:t>
            </w:r>
          </w:p>
        </w:tc>
        <w:tc>
          <w:tcPr>
            <w:tcW w:w="1109" w:type="dxa"/>
            <w:vAlign w:val="center"/>
          </w:tcPr>
          <w:p w14:paraId="225C6DF8">
            <w:pPr>
              <w:pStyle w:val="11"/>
              <w:jc w:val="center"/>
              <w:rPr>
                <w:color w:val="auto"/>
              </w:rPr>
            </w:pPr>
            <w:r>
              <w:rPr>
                <w:color w:val="auto"/>
              </w:rPr>
              <w:t>付款要求</w:t>
            </w:r>
          </w:p>
        </w:tc>
        <w:tc>
          <w:tcPr>
            <w:tcW w:w="5900" w:type="dxa"/>
          </w:tcPr>
          <w:p w14:paraId="46861ABF">
            <w:pPr>
              <w:pStyle w:val="11"/>
              <w:jc w:val="left"/>
              <w:rPr>
                <w:color w:val="auto"/>
              </w:rPr>
            </w:pPr>
            <w:r>
              <w:rPr>
                <w:color w:val="auto"/>
              </w:rPr>
              <w:t xml:space="preserve">1）合同款项的支付方式：转账结算（银行转账）。 </w:t>
            </w:r>
          </w:p>
          <w:p w14:paraId="09A293C3">
            <w:pPr>
              <w:pStyle w:val="11"/>
              <w:jc w:val="left"/>
              <w:rPr>
                <w:color w:val="auto"/>
              </w:rPr>
            </w:pPr>
            <w:r>
              <w:rPr>
                <w:color w:val="auto"/>
              </w:rPr>
              <w:t xml:space="preserve">2）付款方：采购人；收款方：成交供应商。 </w:t>
            </w:r>
          </w:p>
          <w:p w14:paraId="22B9BFFE">
            <w:pPr>
              <w:pStyle w:val="11"/>
              <w:jc w:val="left"/>
              <w:rPr>
                <w:color w:val="auto"/>
              </w:rPr>
            </w:pPr>
            <w:r>
              <w:rPr>
                <w:color w:val="auto"/>
              </w:rPr>
              <w:t xml:space="preserve">3）开具发票：成交供应商收款时必须持有效发票。收款方、出具发票方、合同乙方均必须与成交供应商名称一致。 </w:t>
            </w:r>
          </w:p>
          <w:p w14:paraId="77FA2146">
            <w:pPr>
              <w:pStyle w:val="11"/>
              <w:jc w:val="left"/>
              <w:rPr>
                <w:color w:val="auto"/>
              </w:rPr>
            </w:pPr>
            <w:r>
              <w:rPr>
                <w:color w:val="auto"/>
              </w:rPr>
              <w:t xml:space="preserve">4）对于满足合同支付条件的，采购人原则上在收到发票后10个工作日内按照采购合同约定办理支付手续。采购人从中小企业采购货物、工程、服务，应当自货物、 工程、服务交付之日起30日内支付款项。 </w:t>
            </w:r>
          </w:p>
          <w:p w14:paraId="27D798A4">
            <w:pPr>
              <w:pStyle w:val="11"/>
              <w:jc w:val="left"/>
              <w:rPr>
                <w:color w:val="auto"/>
              </w:rPr>
            </w:pPr>
            <w:r>
              <w:rPr>
                <w:color w:val="auto"/>
              </w:rPr>
              <w:t>5）付款期间如因特殊情况需调整，由双方协商处理。</w:t>
            </w:r>
          </w:p>
        </w:tc>
      </w:tr>
      <w:tr w14:paraId="07108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638" w:type="dxa"/>
            <w:vAlign w:val="center"/>
          </w:tcPr>
          <w:p w14:paraId="5F47D16B">
            <w:pPr>
              <w:jc w:val="center"/>
              <w:rPr>
                <w:color w:val="auto"/>
              </w:rPr>
            </w:pPr>
          </w:p>
        </w:tc>
        <w:tc>
          <w:tcPr>
            <w:tcW w:w="657" w:type="dxa"/>
            <w:vAlign w:val="center"/>
          </w:tcPr>
          <w:p w14:paraId="7ACAD606">
            <w:pPr>
              <w:pStyle w:val="11"/>
              <w:jc w:val="center"/>
              <w:rPr>
                <w:color w:val="auto"/>
              </w:rPr>
            </w:pPr>
            <w:r>
              <w:rPr>
                <w:color w:val="auto"/>
              </w:rPr>
              <w:t>3</w:t>
            </w:r>
          </w:p>
        </w:tc>
        <w:tc>
          <w:tcPr>
            <w:tcW w:w="1109" w:type="dxa"/>
            <w:vAlign w:val="center"/>
          </w:tcPr>
          <w:p w14:paraId="3F70E4F9">
            <w:pPr>
              <w:pStyle w:val="11"/>
              <w:jc w:val="center"/>
              <w:rPr>
                <w:color w:val="auto"/>
              </w:rPr>
            </w:pPr>
            <w:r>
              <w:rPr>
                <w:color w:val="auto"/>
              </w:rPr>
              <w:t>人员管理</w:t>
            </w:r>
          </w:p>
        </w:tc>
        <w:tc>
          <w:tcPr>
            <w:tcW w:w="5900" w:type="dxa"/>
          </w:tcPr>
          <w:p w14:paraId="00524CFD">
            <w:pPr>
              <w:pStyle w:val="11"/>
              <w:jc w:val="left"/>
              <w:rPr>
                <w:color w:val="auto"/>
              </w:rPr>
            </w:pPr>
            <w:r>
              <w:rPr>
                <w:color w:val="auto"/>
              </w:rPr>
              <w:t xml:space="preserve">1）本项目需设一个相对固定的项目团队，包含项目经理、技术负责人及项目团队人员。供应商应根据项目开展要求，提供信息系统安全、网络安全等信息化类相关的专业技术人员，以确保项目的顺利开展。 </w:t>
            </w:r>
          </w:p>
          <w:p w14:paraId="0F509A04">
            <w:pPr>
              <w:pStyle w:val="11"/>
              <w:jc w:val="left"/>
              <w:rPr>
                <w:color w:val="auto"/>
              </w:rPr>
            </w:pPr>
            <w:r>
              <w:rPr>
                <w:color w:val="auto"/>
              </w:rPr>
              <w:t xml:space="preserve">2）成交供应商在响应文件中承诺提供的项目团队人员必须按要求投入到本项目中，在合同期内不得擅自更换。成交供应商如因工作安排或其它原因，需要更换项目团队人员时，应事前向采购人书面提出书面申请，未经采购人同意，不得更换人员。 </w:t>
            </w:r>
          </w:p>
          <w:p w14:paraId="0A54B465">
            <w:pPr>
              <w:pStyle w:val="11"/>
              <w:jc w:val="left"/>
              <w:rPr>
                <w:color w:val="auto"/>
              </w:rPr>
            </w:pPr>
            <w:r>
              <w:rPr>
                <w:color w:val="auto"/>
              </w:rPr>
              <w:t xml:space="preserve">3）除须按采购人的要求对人员作出调整外，如成交供应商未经采购人书面同意擅自更换项目组人员，采购人有权终止合同，由此引致的经济损失，成交供应商须全额赔偿，采购人保留追究成交供应商相关责任的权利。 </w:t>
            </w:r>
          </w:p>
          <w:p w14:paraId="7BF2A71E">
            <w:pPr>
              <w:pStyle w:val="11"/>
              <w:jc w:val="left"/>
              <w:rPr>
                <w:color w:val="auto"/>
              </w:rPr>
            </w:pPr>
            <w:r>
              <w:rPr>
                <w:color w:val="auto"/>
              </w:rPr>
              <w:t xml:space="preserve">4）采购人有权以书面形式要求成交供应商更换不能按规定履行合同的人员。 </w:t>
            </w:r>
          </w:p>
          <w:p w14:paraId="1C97B122">
            <w:pPr>
              <w:pStyle w:val="11"/>
              <w:jc w:val="left"/>
              <w:rPr>
                <w:color w:val="auto"/>
              </w:rPr>
            </w:pPr>
            <w:r>
              <w:rPr>
                <w:color w:val="auto"/>
              </w:rPr>
              <w:t>5）即使是采购人要求或同意更换的人员，其代替人员的资质仍应得到采购人的认可，且其资历和经验均不低于被更换人员。由此而产生的费用由成交供应商承担。</w:t>
            </w:r>
          </w:p>
          <w:p w14:paraId="41A4DFFD">
            <w:pPr>
              <w:pStyle w:val="11"/>
              <w:jc w:val="left"/>
              <w:rPr>
                <w:color w:val="auto"/>
              </w:rPr>
            </w:pPr>
            <w:r>
              <w:rPr>
                <w:color w:val="auto"/>
              </w:rPr>
              <w:t>6）成交供应商对其雇员的人身安全负全部责任。</w:t>
            </w:r>
          </w:p>
        </w:tc>
      </w:tr>
      <w:tr w14:paraId="51BDE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638" w:type="dxa"/>
            <w:vAlign w:val="center"/>
          </w:tcPr>
          <w:p w14:paraId="1C5A2F23">
            <w:pPr>
              <w:jc w:val="center"/>
              <w:rPr>
                <w:color w:val="auto"/>
              </w:rPr>
            </w:pPr>
          </w:p>
        </w:tc>
        <w:tc>
          <w:tcPr>
            <w:tcW w:w="657" w:type="dxa"/>
            <w:vAlign w:val="center"/>
          </w:tcPr>
          <w:p w14:paraId="3DF3A26E">
            <w:pPr>
              <w:pStyle w:val="11"/>
              <w:jc w:val="center"/>
              <w:rPr>
                <w:color w:val="auto"/>
              </w:rPr>
            </w:pPr>
            <w:r>
              <w:rPr>
                <w:color w:val="auto"/>
              </w:rPr>
              <w:t>4</w:t>
            </w:r>
          </w:p>
        </w:tc>
        <w:tc>
          <w:tcPr>
            <w:tcW w:w="1109" w:type="dxa"/>
            <w:vAlign w:val="center"/>
          </w:tcPr>
          <w:p w14:paraId="3D3EEC64">
            <w:pPr>
              <w:pStyle w:val="11"/>
              <w:jc w:val="center"/>
              <w:rPr>
                <w:color w:val="auto"/>
              </w:rPr>
            </w:pPr>
            <w:r>
              <w:rPr>
                <w:color w:val="auto"/>
              </w:rPr>
              <w:t>保密要求</w:t>
            </w:r>
          </w:p>
        </w:tc>
        <w:tc>
          <w:tcPr>
            <w:tcW w:w="5900" w:type="dxa"/>
          </w:tcPr>
          <w:p w14:paraId="4F42BCA8">
            <w:pPr>
              <w:pStyle w:val="11"/>
              <w:jc w:val="left"/>
              <w:rPr>
                <w:color w:val="auto"/>
              </w:rPr>
            </w:pPr>
            <w:r>
              <w:rPr>
                <w:color w:val="auto"/>
              </w:rPr>
              <w:t>遵守《中华人民共和国保密法》，成交供应商须遵守以下保密要求： 1）实施和维护人员在上岗前应签署保密协议书，并负责约束有关人员的保密工作。 2）实施人员应严格遵守有关法律法规和采购人内部规章制度，不得擅自翻阅、复制、传播所接触的资料或数据。 3）成交供应商现场工程师因维护服务而向采购人提供的数据资料属采购人所有，成交供应商负有保密的责任，成交供应商同意并承诺，对所有保密信息予以严格保密，未经采购人同意，不披露给任何其他人士或机构。 4）如成交供应商人员故意泄露采购人保密信息，成交供应商必须承担后果责任。 5）对蓄意破坏采购人系统或泄密事件的行为，一经查证，采购人有权中止合同，对蓄意破坏者交司法机关制裁和惩罚，成交供应商依法赔偿采购人的损失。</w:t>
            </w:r>
          </w:p>
        </w:tc>
      </w:tr>
      <w:tr w14:paraId="6A292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638" w:type="dxa"/>
            <w:vAlign w:val="center"/>
          </w:tcPr>
          <w:p w14:paraId="1E3421D2">
            <w:pPr>
              <w:jc w:val="center"/>
              <w:rPr>
                <w:color w:val="auto"/>
              </w:rPr>
            </w:pPr>
          </w:p>
        </w:tc>
        <w:tc>
          <w:tcPr>
            <w:tcW w:w="657" w:type="dxa"/>
            <w:vAlign w:val="center"/>
          </w:tcPr>
          <w:p w14:paraId="4598A68C">
            <w:pPr>
              <w:pStyle w:val="11"/>
              <w:jc w:val="center"/>
              <w:rPr>
                <w:color w:val="auto"/>
              </w:rPr>
            </w:pPr>
            <w:r>
              <w:rPr>
                <w:color w:val="auto"/>
              </w:rPr>
              <w:t>5</w:t>
            </w:r>
          </w:p>
        </w:tc>
        <w:tc>
          <w:tcPr>
            <w:tcW w:w="1109" w:type="dxa"/>
            <w:vAlign w:val="center"/>
          </w:tcPr>
          <w:p w14:paraId="04CF7AF7">
            <w:pPr>
              <w:pStyle w:val="11"/>
              <w:jc w:val="center"/>
              <w:rPr>
                <w:color w:val="auto"/>
              </w:rPr>
            </w:pPr>
            <w:r>
              <w:rPr>
                <w:color w:val="auto"/>
              </w:rPr>
              <w:t>其他要求</w:t>
            </w:r>
          </w:p>
        </w:tc>
        <w:tc>
          <w:tcPr>
            <w:tcW w:w="5900" w:type="dxa"/>
          </w:tcPr>
          <w:p w14:paraId="3F34DF09">
            <w:pPr>
              <w:pStyle w:val="11"/>
              <w:jc w:val="left"/>
              <w:rPr>
                <w:color w:val="auto"/>
              </w:rPr>
            </w:pPr>
            <w:r>
              <w:rPr>
                <w:color w:val="auto"/>
              </w:rPr>
              <w:t>1）成交供应商在项目实施过程中须接受采购人（包括采购人聘请的专家）和监理单位（如有）的管理和监督，采购人有权对项目的进度及工作内容等进行合理规划和分配。 2）项目实施过程中，成交供应商必须采用正版测评工具，如因版权问题导致实施计划延误，或受到来自第三方关于侵犯专利权及其他知识产权的法律指控时，成交供应商须承担由此而引起的一切责任和费用。</w:t>
            </w:r>
          </w:p>
        </w:tc>
      </w:tr>
      <w:tr w14:paraId="185D4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4" w:type="dxa"/>
            <w:gridSpan w:val="3"/>
            <w:vAlign w:val="center"/>
          </w:tcPr>
          <w:p w14:paraId="2CA8F18E">
            <w:pPr>
              <w:pStyle w:val="11"/>
              <w:jc w:val="center"/>
              <w:rPr>
                <w:color w:val="auto"/>
              </w:rPr>
            </w:pPr>
            <w:r>
              <w:rPr>
                <w:color w:val="auto"/>
              </w:rPr>
              <w:t>说明</w:t>
            </w:r>
          </w:p>
        </w:tc>
        <w:tc>
          <w:tcPr>
            <w:tcW w:w="5903" w:type="dxa"/>
            <w:gridSpan w:val="2"/>
          </w:tcPr>
          <w:p w14:paraId="326792F6">
            <w:pPr>
              <w:pStyle w:val="11"/>
              <w:jc w:val="left"/>
              <w:rPr>
                <w:color w:val="auto"/>
              </w:rPr>
            </w:pPr>
            <w:r>
              <w:rPr>
                <w:color w:val="auto"/>
              </w:rPr>
              <w:t xml:space="preserve"> 打“★”号条款为实质性条款，若有任何一条负偏离或不满足则导致投标（响应）无效。 </w:t>
            </w:r>
            <w:r>
              <w:rPr>
                <w:color w:val="auto"/>
              </w:rPr>
              <w:br w:type="textWrapping"/>
            </w:r>
            <w:r>
              <w:rPr>
                <w:color w:val="auto"/>
              </w:rPr>
              <w:t>打“▲”号条款为重要参数（如有），若有部分“▲”条款未响应或不满足，将根据评审要求影响其得分，但不作为无效投标（响应）条款。</w:t>
            </w:r>
          </w:p>
        </w:tc>
      </w:tr>
    </w:tbl>
    <w:p w14:paraId="1AC70261">
      <w:pPr>
        <w:pStyle w:val="11"/>
        <w:rPr>
          <w:color w:val="auto"/>
        </w:rPr>
      </w:pPr>
      <w:r>
        <w:rPr>
          <w:b/>
          <w:color w:val="auto"/>
        </w:rPr>
        <w:t>2.技术标准与要求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14:paraId="0787C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vAlign w:val="center"/>
          </w:tcPr>
          <w:p w14:paraId="20ECDB48">
            <w:pPr>
              <w:pStyle w:val="11"/>
              <w:jc w:val="center"/>
              <w:rPr>
                <w:color w:val="auto"/>
              </w:rPr>
            </w:pPr>
            <w:r>
              <w:rPr>
                <w:color w:val="auto"/>
              </w:rPr>
              <w:t>序号</w:t>
            </w:r>
          </w:p>
        </w:tc>
        <w:tc>
          <w:tcPr>
            <w:tcW w:w="933" w:type="dxa"/>
            <w:vAlign w:val="center"/>
          </w:tcPr>
          <w:p w14:paraId="7C7C476D">
            <w:pPr>
              <w:pStyle w:val="11"/>
              <w:jc w:val="center"/>
              <w:rPr>
                <w:color w:val="auto"/>
              </w:rPr>
            </w:pPr>
            <w:r>
              <w:rPr>
                <w:color w:val="auto"/>
              </w:rPr>
              <w:t>品目名称</w:t>
            </w:r>
          </w:p>
        </w:tc>
        <w:tc>
          <w:tcPr>
            <w:tcW w:w="933" w:type="dxa"/>
            <w:vAlign w:val="center"/>
          </w:tcPr>
          <w:p w14:paraId="3BABD4EC">
            <w:pPr>
              <w:pStyle w:val="11"/>
              <w:jc w:val="center"/>
              <w:rPr>
                <w:color w:val="auto"/>
              </w:rPr>
            </w:pPr>
            <w:r>
              <w:rPr>
                <w:color w:val="auto"/>
              </w:rPr>
              <w:t>标的名称</w:t>
            </w:r>
          </w:p>
        </w:tc>
        <w:tc>
          <w:tcPr>
            <w:tcW w:w="933" w:type="dxa"/>
            <w:vAlign w:val="center"/>
          </w:tcPr>
          <w:p w14:paraId="25A902EF">
            <w:pPr>
              <w:pStyle w:val="11"/>
              <w:jc w:val="center"/>
              <w:rPr>
                <w:color w:val="auto"/>
              </w:rPr>
            </w:pPr>
            <w:r>
              <w:rPr>
                <w:color w:val="auto"/>
              </w:rPr>
              <w:t>单位</w:t>
            </w:r>
          </w:p>
        </w:tc>
        <w:tc>
          <w:tcPr>
            <w:tcW w:w="933" w:type="dxa"/>
            <w:vAlign w:val="center"/>
          </w:tcPr>
          <w:p w14:paraId="1609365B">
            <w:pPr>
              <w:pStyle w:val="11"/>
              <w:jc w:val="center"/>
              <w:rPr>
                <w:color w:val="auto"/>
              </w:rPr>
            </w:pPr>
            <w:r>
              <w:rPr>
                <w:color w:val="auto"/>
              </w:rPr>
              <w:t>数量</w:t>
            </w:r>
          </w:p>
        </w:tc>
        <w:tc>
          <w:tcPr>
            <w:tcW w:w="933" w:type="dxa"/>
            <w:vAlign w:val="center"/>
          </w:tcPr>
          <w:p w14:paraId="51B81A2D">
            <w:pPr>
              <w:pStyle w:val="11"/>
              <w:jc w:val="center"/>
              <w:rPr>
                <w:color w:val="auto"/>
              </w:rPr>
            </w:pPr>
            <w:r>
              <w:rPr>
                <w:color w:val="auto"/>
              </w:rPr>
              <w:t>分项预算单价（元）</w:t>
            </w:r>
          </w:p>
        </w:tc>
        <w:tc>
          <w:tcPr>
            <w:tcW w:w="933" w:type="dxa"/>
            <w:vAlign w:val="center"/>
          </w:tcPr>
          <w:p w14:paraId="35BEF4EA">
            <w:pPr>
              <w:pStyle w:val="11"/>
              <w:jc w:val="center"/>
              <w:rPr>
                <w:color w:val="auto"/>
              </w:rPr>
            </w:pPr>
            <w:r>
              <w:rPr>
                <w:color w:val="auto"/>
              </w:rPr>
              <w:t>分项预算总价（元）</w:t>
            </w:r>
          </w:p>
        </w:tc>
        <w:tc>
          <w:tcPr>
            <w:tcW w:w="840" w:type="dxa"/>
            <w:vAlign w:val="center"/>
          </w:tcPr>
          <w:p w14:paraId="36D7D4EF">
            <w:pPr>
              <w:pStyle w:val="11"/>
              <w:jc w:val="center"/>
              <w:rPr>
                <w:color w:val="auto"/>
              </w:rPr>
            </w:pPr>
            <w:r>
              <w:rPr>
                <w:color w:val="auto"/>
              </w:rPr>
              <w:t>所属行业</w:t>
            </w:r>
          </w:p>
        </w:tc>
        <w:tc>
          <w:tcPr>
            <w:tcW w:w="933" w:type="dxa"/>
            <w:vAlign w:val="center"/>
          </w:tcPr>
          <w:p w14:paraId="7F71F378">
            <w:pPr>
              <w:pStyle w:val="11"/>
              <w:jc w:val="center"/>
              <w:rPr>
                <w:color w:val="auto"/>
              </w:rPr>
            </w:pPr>
            <w:r>
              <w:rPr>
                <w:color w:val="auto"/>
              </w:rPr>
              <w:t>技术要求</w:t>
            </w:r>
          </w:p>
        </w:tc>
      </w:tr>
      <w:tr w14:paraId="77644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vAlign w:val="center"/>
          </w:tcPr>
          <w:p w14:paraId="08A3909E">
            <w:pPr>
              <w:pStyle w:val="11"/>
              <w:jc w:val="center"/>
              <w:rPr>
                <w:color w:val="auto"/>
              </w:rPr>
            </w:pPr>
            <w:r>
              <w:rPr>
                <w:color w:val="auto"/>
              </w:rPr>
              <w:t>1</w:t>
            </w:r>
          </w:p>
        </w:tc>
        <w:tc>
          <w:tcPr>
            <w:tcW w:w="933" w:type="dxa"/>
            <w:vAlign w:val="center"/>
          </w:tcPr>
          <w:p w14:paraId="168AB30B">
            <w:pPr>
              <w:pStyle w:val="11"/>
              <w:jc w:val="center"/>
              <w:rPr>
                <w:color w:val="auto"/>
              </w:rPr>
            </w:pPr>
            <w:r>
              <w:rPr>
                <w:color w:val="auto"/>
              </w:rPr>
              <w:t>其他服务</w:t>
            </w:r>
          </w:p>
        </w:tc>
        <w:tc>
          <w:tcPr>
            <w:tcW w:w="933" w:type="dxa"/>
            <w:vAlign w:val="center"/>
          </w:tcPr>
          <w:p w14:paraId="1A66583D">
            <w:pPr>
              <w:pStyle w:val="11"/>
              <w:jc w:val="center"/>
              <w:rPr>
                <w:color w:val="auto"/>
              </w:rPr>
            </w:pPr>
            <w:r>
              <w:rPr>
                <w:color w:val="auto"/>
              </w:rPr>
              <w:t>网络和数据安全防护服务</w:t>
            </w:r>
          </w:p>
        </w:tc>
        <w:tc>
          <w:tcPr>
            <w:tcW w:w="933" w:type="dxa"/>
            <w:vAlign w:val="center"/>
          </w:tcPr>
          <w:p w14:paraId="268D4E0B">
            <w:pPr>
              <w:pStyle w:val="11"/>
              <w:jc w:val="center"/>
              <w:rPr>
                <w:color w:val="auto"/>
              </w:rPr>
            </w:pPr>
            <w:r>
              <w:rPr>
                <w:color w:val="auto"/>
              </w:rPr>
              <w:t>项</w:t>
            </w:r>
          </w:p>
        </w:tc>
        <w:tc>
          <w:tcPr>
            <w:tcW w:w="933" w:type="dxa"/>
            <w:vAlign w:val="center"/>
          </w:tcPr>
          <w:p w14:paraId="7B50C0B6">
            <w:pPr>
              <w:pStyle w:val="11"/>
              <w:jc w:val="center"/>
              <w:rPr>
                <w:color w:val="auto"/>
              </w:rPr>
            </w:pPr>
            <w:r>
              <w:rPr>
                <w:color w:val="auto"/>
              </w:rPr>
              <w:t>1.00</w:t>
            </w:r>
          </w:p>
        </w:tc>
        <w:tc>
          <w:tcPr>
            <w:tcW w:w="933" w:type="dxa"/>
            <w:vAlign w:val="center"/>
          </w:tcPr>
          <w:p w14:paraId="6FBD57A0">
            <w:pPr>
              <w:pStyle w:val="11"/>
              <w:jc w:val="center"/>
              <w:rPr>
                <w:rFonts w:hint="eastAsia" w:eastAsiaTheme="minorEastAsia"/>
                <w:color w:val="auto"/>
                <w:lang w:eastAsia="zh-CN"/>
              </w:rPr>
            </w:pPr>
            <w:r>
              <w:rPr>
                <w:rFonts w:hint="eastAsia"/>
                <w:color w:val="auto"/>
                <w:lang w:eastAsia="zh-CN"/>
              </w:rPr>
              <w:t>1,147,100.00</w:t>
            </w:r>
          </w:p>
        </w:tc>
        <w:tc>
          <w:tcPr>
            <w:tcW w:w="933" w:type="dxa"/>
            <w:vAlign w:val="center"/>
          </w:tcPr>
          <w:p w14:paraId="249DC768">
            <w:pPr>
              <w:pStyle w:val="11"/>
              <w:jc w:val="center"/>
              <w:rPr>
                <w:rFonts w:hint="eastAsia" w:eastAsiaTheme="minorEastAsia"/>
                <w:color w:val="auto"/>
                <w:lang w:eastAsia="zh-CN"/>
              </w:rPr>
            </w:pPr>
            <w:r>
              <w:rPr>
                <w:rFonts w:hint="eastAsia"/>
                <w:color w:val="auto"/>
                <w:lang w:eastAsia="zh-CN"/>
              </w:rPr>
              <w:t>1,147,100.00</w:t>
            </w:r>
          </w:p>
        </w:tc>
        <w:tc>
          <w:tcPr>
            <w:tcW w:w="840" w:type="dxa"/>
            <w:vAlign w:val="center"/>
          </w:tcPr>
          <w:p w14:paraId="76CE3297">
            <w:pPr>
              <w:pStyle w:val="11"/>
              <w:jc w:val="center"/>
              <w:rPr>
                <w:color w:val="auto"/>
              </w:rPr>
            </w:pPr>
            <w:r>
              <w:rPr>
                <w:color w:val="auto"/>
              </w:rPr>
              <w:t>软件和信息技术服务业</w:t>
            </w:r>
          </w:p>
        </w:tc>
        <w:tc>
          <w:tcPr>
            <w:tcW w:w="933" w:type="dxa"/>
            <w:vAlign w:val="center"/>
          </w:tcPr>
          <w:p w14:paraId="2260A2AF">
            <w:pPr>
              <w:pStyle w:val="11"/>
              <w:jc w:val="center"/>
              <w:rPr>
                <w:color w:val="auto"/>
              </w:rPr>
            </w:pPr>
            <w:r>
              <w:rPr>
                <w:color w:val="auto"/>
              </w:rPr>
              <w:t>详见附表一</w:t>
            </w:r>
          </w:p>
        </w:tc>
      </w:tr>
    </w:tbl>
    <w:p w14:paraId="7D95D888">
      <w:pPr>
        <w:pStyle w:val="11"/>
        <w:rPr>
          <w:color w:val="auto"/>
        </w:rPr>
      </w:pPr>
      <w:r>
        <w:rPr>
          <w:b/>
          <w:color w:val="auto"/>
        </w:rPr>
        <w:t>附表一：网络和数据安全防护服务</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627"/>
        <w:gridCol w:w="6876"/>
      </w:tblGrid>
      <w:tr w14:paraId="36063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14:paraId="1DA0D5C1">
            <w:pPr>
              <w:pStyle w:val="11"/>
              <w:jc w:val="center"/>
              <w:rPr>
                <w:color w:val="auto"/>
              </w:rPr>
            </w:pPr>
            <w:r>
              <w:rPr>
                <w:color w:val="auto"/>
              </w:rPr>
              <w:t>参数性质</w:t>
            </w:r>
          </w:p>
        </w:tc>
        <w:tc>
          <w:tcPr>
            <w:tcW w:w="627" w:type="dxa"/>
          </w:tcPr>
          <w:p w14:paraId="34497E63">
            <w:pPr>
              <w:pStyle w:val="11"/>
              <w:jc w:val="center"/>
              <w:rPr>
                <w:color w:val="auto"/>
              </w:rPr>
            </w:pPr>
            <w:r>
              <w:rPr>
                <w:color w:val="auto"/>
              </w:rPr>
              <w:t>序号</w:t>
            </w:r>
          </w:p>
        </w:tc>
        <w:tc>
          <w:tcPr>
            <w:tcW w:w="6876" w:type="dxa"/>
          </w:tcPr>
          <w:p w14:paraId="5E208E9D">
            <w:pPr>
              <w:pStyle w:val="11"/>
              <w:jc w:val="center"/>
              <w:rPr>
                <w:color w:val="auto"/>
              </w:rPr>
            </w:pPr>
            <w:r>
              <w:rPr>
                <w:color w:val="auto"/>
              </w:rPr>
              <w:t>具体技术(参数)要求</w:t>
            </w:r>
          </w:p>
        </w:tc>
      </w:tr>
      <w:tr w14:paraId="3841C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14:paraId="57A62215">
            <w:pPr>
              <w:rPr>
                <w:color w:val="auto"/>
              </w:rPr>
            </w:pPr>
          </w:p>
        </w:tc>
        <w:tc>
          <w:tcPr>
            <w:tcW w:w="627" w:type="dxa"/>
          </w:tcPr>
          <w:p w14:paraId="71E421D1">
            <w:pPr>
              <w:pStyle w:val="11"/>
              <w:rPr>
                <w:color w:val="auto"/>
              </w:rPr>
            </w:pPr>
            <w:r>
              <w:rPr>
                <w:color w:val="auto"/>
              </w:rPr>
              <w:t>1</w:t>
            </w:r>
          </w:p>
        </w:tc>
        <w:tc>
          <w:tcPr>
            <w:tcW w:w="6876" w:type="dxa"/>
          </w:tcPr>
          <w:p w14:paraId="6B0F0980">
            <w:pPr>
              <w:pStyle w:val="11"/>
              <w:jc w:val="both"/>
              <w:rPr>
                <w:color w:val="auto"/>
              </w:rPr>
            </w:pPr>
            <w:r>
              <w:rPr>
                <w:color w:val="auto"/>
                <w:sz w:val="21"/>
              </w:rPr>
              <w:t>一、项目背景</w:t>
            </w:r>
          </w:p>
          <w:p w14:paraId="53C59060">
            <w:pPr>
              <w:pStyle w:val="11"/>
              <w:ind w:firstLine="420"/>
              <w:jc w:val="both"/>
              <w:rPr>
                <w:color w:val="auto"/>
              </w:rPr>
            </w:pPr>
            <w:r>
              <w:rPr>
                <w:rFonts w:hint="eastAsia"/>
                <w:color w:val="auto"/>
              </w:rPr>
              <w:t>本项目依据《广东省数字政府网络安全指数指标体系》、《广东省数字政府网络安全指数评估报告指导要求》和佛山市数字政府网络安全体系建设</w:t>
            </w:r>
            <w:r>
              <w:rPr>
                <w:color w:val="auto"/>
              </w:rPr>
              <w:t>2022专项工作方案，通过网络安全管理、网络安全建设、网络安全运营和网络安全效果四个维度的建设，全面提升佛山市交通运输局网络安全保障能力，满足国家以及部、省相关网络安全监管要求。</w:t>
            </w:r>
          </w:p>
          <w:p w14:paraId="2E5703A4">
            <w:pPr>
              <w:pStyle w:val="11"/>
              <w:jc w:val="both"/>
              <w:rPr>
                <w:color w:val="auto"/>
              </w:rPr>
            </w:pPr>
            <w:r>
              <w:rPr>
                <w:color w:val="auto"/>
                <w:sz w:val="21"/>
              </w:rPr>
              <w:t>二、项目目标</w:t>
            </w:r>
          </w:p>
          <w:p w14:paraId="777F9849">
            <w:pPr>
              <w:pStyle w:val="11"/>
              <w:jc w:val="both"/>
              <w:rPr>
                <w:color w:val="auto"/>
              </w:rPr>
            </w:pPr>
            <w:r>
              <w:rPr>
                <w:color w:val="auto"/>
                <w:sz w:val="21"/>
              </w:rPr>
              <w:t>1.推进安全基础设施服务能力，提升网络安全防护能力。</w:t>
            </w:r>
          </w:p>
          <w:p w14:paraId="445ECD80">
            <w:pPr>
              <w:pStyle w:val="11"/>
              <w:ind w:firstLine="420"/>
              <w:jc w:val="both"/>
              <w:rPr>
                <w:color w:val="auto"/>
              </w:rPr>
            </w:pPr>
            <w:r>
              <w:rPr>
                <w:rFonts w:hint="eastAsia"/>
                <w:color w:val="auto"/>
              </w:rPr>
              <w:t>以构建公共安全运行监管服务能力、安全基础支撑为主要方向，以提升各部门网络基础环境及信息系统的安全防护能力为目标，建立持续改进、动态协作机制，构建网络安全态势感知、泛在互信、弹性扩展、智能运营的安全能力，充分考虑长远发展需求，运用先进的安全防护理念，推进安全基础设施改造升级，提升整体网络安全防护能力。</w:t>
            </w:r>
          </w:p>
          <w:p w14:paraId="089FB64E">
            <w:pPr>
              <w:pStyle w:val="11"/>
              <w:jc w:val="both"/>
              <w:rPr>
                <w:color w:val="auto"/>
              </w:rPr>
            </w:pPr>
            <w:r>
              <w:rPr>
                <w:color w:val="auto"/>
                <w:sz w:val="21"/>
              </w:rPr>
              <w:t>2.完善安全保障体系建设，提升安全风险管控能力。</w:t>
            </w:r>
          </w:p>
          <w:p w14:paraId="594C313C">
            <w:pPr>
              <w:pStyle w:val="11"/>
              <w:ind w:firstLine="420"/>
              <w:jc w:val="both"/>
              <w:rPr>
                <w:color w:val="auto"/>
              </w:rPr>
            </w:pPr>
            <w:r>
              <w:rPr>
                <w:rFonts w:hint="eastAsia"/>
                <w:color w:val="auto"/>
              </w:rPr>
              <w:t>结合“数字政府”新思路、新架构、新机制要求，以数据为核心资产，建设主动防御、智能安全、集监控预警、安全防护、审计响应多个安全功能于一身的动态的、闭环的安全功能框架，从安全技术、安全管理、安全运行、安全监管四个维度，融合人员、流程、制度、平台于一体，构建立体化的安全保障体系，进而实现对信息系统安全的可视、可管、可信。实现交通运输发展与网络安全保障的“双翼齐展、双轮齐转”。</w:t>
            </w:r>
          </w:p>
          <w:p w14:paraId="1BAF2B5E">
            <w:pPr>
              <w:pStyle w:val="11"/>
              <w:jc w:val="both"/>
              <w:rPr>
                <w:color w:val="auto"/>
              </w:rPr>
            </w:pPr>
            <w:r>
              <w:rPr>
                <w:color w:val="auto"/>
                <w:sz w:val="21"/>
              </w:rPr>
              <w:t>3.深化监测预警机制建设，提高事件协同处置能力</w:t>
            </w:r>
            <w:r>
              <w:rPr>
                <w:rFonts w:hint="eastAsia"/>
                <w:color w:val="auto"/>
                <w:sz w:val="21"/>
              </w:rPr>
              <w:t>。</w:t>
            </w:r>
          </w:p>
          <w:p w14:paraId="640F6B34">
            <w:pPr>
              <w:pStyle w:val="11"/>
              <w:ind w:firstLine="420"/>
              <w:jc w:val="both"/>
              <w:rPr>
                <w:color w:val="auto"/>
              </w:rPr>
            </w:pPr>
            <w:r>
              <w:rPr>
                <w:rFonts w:hint="eastAsia"/>
                <w:color w:val="auto"/>
              </w:rPr>
              <w:t>采用全域智能感知监测和行业协同监测预警通报机制结合的方式，提高网络安全事件协同处置能力。发展网络空间智能态势感知技术，通过静态动态分析、对比关联等方式进行网络安全数据分析和异常检测。加强与各监管部门联动，完善行业信息通报机制，提高跨部门、跨行业的网络安全应急响应、安全事件处置协作、安全预警响应能力。</w:t>
            </w:r>
          </w:p>
          <w:p w14:paraId="57E9360A">
            <w:pPr>
              <w:pStyle w:val="11"/>
              <w:jc w:val="both"/>
              <w:rPr>
                <w:color w:val="auto"/>
              </w:rPr>
            </w:pPr>
            <w:r>
              <w:rPr>
                <w:color w:val="auto"/>
                <w:sz w:val="21"/>
              </w:rPr>
              <w:t>三、项目内容汇总</w:t>
            </w:r>
          </w:p>
          <w:tbl>
            <w:tblPr>
              <w:tblStyle w:val="8"/>
              <w:tblW w:w="0" w:type="auto"/>
              <w:tblInd w:w="15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2136"/>
              <w:gridCol w:w="3636"/>
            </w:tblGrid>
            <w:tr w14:paraId="5AD74D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96E96E">
                  <w:pPr>
                    <w:pStyle w:val="11"/>
                    <w:jc w:val="center"/>
                    <w:rPr>
                      <w:color w:val="auto"/>
                    </w:rPr>
                  </w:pPr>
                  <w:r>
                    <w:rPr>
                      <w:color w:val="auto"/>
                      <w:sz w:val="21"/>
                    </w:rPr>
                    <w:t>序号</w:t>
                  </w:r>
                </w:p>
              </w:tc>
              <w:tc>
                <w:tcPr>
                  <w:tcW w:w="21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6D8B6F">
                  <w:pPr>
                    <w:pStyle w:val="11"/>
                    <w:jc w:val="center"/>
                    <w:rPr>
                      <w:color w:val="auto"/>
                    </w:rPr>
                  </w:pPr>
                  <w:r>
                    <w:rPr>
                      <w:color w:val="auto"/>
                      <w:sz w:val="21"/>
                    </w:rPr>
                    <w:t>类别</w:t>
                  </w:r>
                </w:p>
              </w:tc>
              <w:tc>
                <w:tcPr>
                  <w:tcW w:w="36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03A7AD">
                  <w:pPr>
                    <w:pStyle w:val="11"/>
                    <w:jc w:val="center"/>
                    <w:rPr>
                      <w:color w:val="auto"/>
                    </w:rPr>
                  </w:pPr>
                  <w:r>
                    <w:rPr>
                      <w:color w:val="auto"/>
                      <w:sz w:val="21"/>
                    </w:rPr>
                    <w:t>服务内容</w:t>
                  </w:r>
                </w:p>
              </w:tc>
            </w:tr>
            <w:tr w14:paraId="630E0F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2C0FD">
                  <w:pPr>
                    <w:pStyle w:val="11"/>
                    <w:jc w:val="center"/>
                    <w:rPr>
                      <w:color w:val="auto"/>
                    </w:rPr>
                  </w:pPr>
                  <w:r>
                    <w:rPr>
                      <w:color w:val="auto"/>
                      <w:sz w:val="21"/>
                    </w:rPr>
                    <w:t>1</w:t>
                  </w:r>
                </w:p>
              </w:tc>
              <w:tc>
                <w:tcPr>
                  <w:tcW w:w="213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BE18AED">
                  <w:pPr>
                    <w:pStyle w:val="11"/>
                    <w:jc w:val="center"/>
                    <w:rPr>
                      <w:color w:val="auto"/>
                    </w:rPr>
                  </w:pPr>
                  <w:r>
                    <w:rPr>
                      <w:rFonts w:hint="eastAsia"/>
                      <w:color w:val="auto"/>
                    </w:rPr>
                    <w:t>网络安全运营服务</w:t>
                  </w:r>
                </w:p>
              </w:tc>
              <w:tc>
                <w:tcPr>
                  <w:tcW w:w="36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F0BA1">
                  <w:pPr>
                    <w:pStyle w:val="11"/>
                    <w:jc w:val="center"/>
                    <w:rPr>
                      <w:color w:val="auto"/>
                    </w:rPr>
                  </w:pPr>
                  <w:r>
                    <w:rPr>
                      <w:rFonts w:hint="eastAsia" w:ascii="宋体" w:hAnsi="宋体" w:cs="宋体"/>
                      <w:color w:val="auto"/>
                      <w:kern w:val="0"/>
                      <w:szCs w:val="24"/>
                    </w:rPr>
                    <w:t>基础网络安全防护和提升服务</w:t>
                  </w:r>
                </w:p>
              </w:tc>
            </w:tr>
            <w:tr w14:paraId="45C73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E785B">
                  <w:pPr>
                    <w:pStyle w:val="11"/>
                    <w:jc w:val="center"/>
                    <w:rPr>
                      <w:color w:val="auto"/>
                    </w:rPr>
                  </w:pPr>
                  <w:r>
                    <w:rPr>
                      <w:color w:val="auto"/>
                      <w:sz w:val="21"/>
                    </w:rPr>
                    <w:t>2</w:t>
                  </w:r>
                </w:p>
              </w:tc>
              <w:tc>
                <w:tcPr>
                  <w:tcW w:w="2136" w:type="dxa"/>
                  <w:vMerge w:val="continue"/>
                  <w:tcBorders>
                    <w:top w:val="nil"/>
                    <w:left w:val="nil"/>
                    <w:bottom w:val="single" w:color="000000" w:sz="4" w:space="0"/>
                    <w:right w:val="single" w:color="000000" w:sz="4" w:space="0"/>
                  </w:tcBorders>
                </w:tcPr>
                <w:p w14:paraId="580FDF04">
                  <w:pPr>
                    <w:rPr>
                      <w:color w:val="auto"/>
                    </w:rPr>
                  </w:pPr>
                </w:p>
              </w:tc>
              <w:tc>
                <w:tcPr>
                  <w:tcW w:w="36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45EDE">
                  <w:pPr>
                    <w:pStyle w:val="11"/>
                    <w:jc w:val="center"/>
                    <w:rPr>
                      <w:color w:val="auto"/>
                    </w:rPr>
                  </w:pPr>
                  <w:r>
                    <w:rPr>
                      <w:rFonts w:hint="eastAsia" w:ascii="宋体" w:hAnsi="宋体" w:cs="宋体"/>
                      <w:color w:val="auto"/>
                      <w:kern w:val="0"/>
                      <w:szCs w:val="24"/>
                    </w:rPr>
                    <w:t>业务系统专项安全服务</w:t>
                  </w:r>
                </w:p>
              </w:tc>
            </w:tr>
            <w:tr w14:paraId="4C72C6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32E265">
                  <w:pPr>
                    <w:pStyle w:val="11"/>
                    <w:jc w:val="center"/>
                    <w:rPr>
                      <w:color w:val="auto"/>
                    </w:rPr>
                  </w:pPr>
                  <w:r>
                    <w:rPr>
                      <w:color w:val="auto"/>
                      <w:sz w:val="21"/>
                    </w:rPr>
                    <w:t>3</w:t>
                  </w:r>
                </w:p>
              </w:tc>
              <w:tc>
                <w:tcPr>
                  <w:tcW w:w="21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23F94">
                  <w:pPr>
                    <w:pStyle w:val="11"/>
                    <w:jc w:val="center"/>
                    <w:rPr>
                      <w:color w:val="auto"/>
                    </w:rPr>
                  </w:pPr>
                  <w:r>
                    <w:rPr>
                      <w:color w:val="auto"/>
                      <w:sz w:val="21"/>
                    </w:rPr>
                    <w:t>第三方服务</w:t>
                  </w:r>
                </w:p>
              </w:tc>
              <w:tc>
                <w:tcPr>
                  <w:tcW w:w="36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4632E">
                  <w:pPr>
                    <w:pStyle w:val="11"/>
                    <w:jc w:val="center"/>
                    <w:rPr>
                      <w:color w:val="auto"/>
                    </w:rPr>
                  </w:pPr>
                  <w:r>
                    <w:rPr>
                      <w:rFonts w:hint="eastAsia" w:ascii="宋体" w:hAnsi="宋体" w:cs="宋体"/>
                      <w:color w:val="auto"/>
                      <w:kern w:val="0"/>
                      <w:szCs w:val="24"/>
                    </w:rPr>
                    <w:t>网络安全等级保护测评服务</w:t>
                  </w:r>
                </w:p>
              </w:tc>
            </w:tr>
          </w:tbl>
          <w:p w14:paraId="3298B1C6">
            <w:pPr>
              <w:pStyle w:val="11"/>
              <w:jc w:val="both"/>
              <w:rPr>
                <w:color w:val="auto"/>
              </w:rPr>
            </w:pPr>
            <w:r>
              <w:rPr>
                <w:color w:val="auto"/>
                <w:sz w:val="21"/>
              </w:rPr>
              <w:t>四、详细技术要求</w:t>
            </w:r>
          </w:p>
          <w:p w14:paraId="6656C56E">
            <w:pPr>
              <w:pStyle w:val="11"/>
              <w:jc w:val="both"/>
              <w:rPr>
                <w:color w:val="auto"/>
              </w:rPr>
            </w:pPr>
            <w:r>
              <w:rPr>
                <w:b/>
                <w:color w:val="auto"/>
                <w:sz w:val="21"/>
              </w:rPr>
              <w:t>1.基础网络安全防护和提升服务</w:t>
            </w:r>
          </w:p>
          <w:p w14:paraId="546C6FF0">
            <w:pPr>
              <w:pStyle w:val="11"/>
              <w:jc w:val="left"/>
              <w:rPr>
                <w:color w:val="auto"/>
              </w:rPr>
            </w:pPr>
            <w:r>
              <w:rPr>
                <w:color w:val="auto"/>
                <w:sz w:val="21"/>
              </w:rPr>
              <w:t>1.1服务概述</w:t>
            </w:r>
          </w:p>
          <w:p w14:paraId="5AA705C4">
            <w:pPr>
              <w:pStyle w:val="11"/>
              <w:ind w:firstLine="440"/>
              <w:jc w:val="both"/>
              <w:rPr>
                <w:color w:val="auto"/>
              </w:rPr>
            </w:pPr>
            <w:r>
              <w:rPr>
                <w:color w:val="auto"/>
                <w:sz w:val="21"/>
              </w:rPr>
              <w:t>基础网络安全防护和提升服务包括：</w:t>
            </w:r>
            <w:r>
              <w:rPr>
                <w:rFonts w:hint="eastAsia"/>
                <w:color w:val="auto"/>
                <w:sz w:val="21"/>
              </w:rPr>
              <w:t>一是</w:t>
            </w:r>
            <w:r>
              <w:rPr>
                <w:color w:val="auto"/>
                <w:sz w:val="21"/>
              </w:rPr>
              <w:t>全流量威胁管控服务。利用全流量检测设备发现攻击威胁作为线索，根据攻击线索关联到全流量取证设备进行溯源分析，可以确保有证可查，有源可溯，从而达到有效检测+取证溯源的目的。</w:t>
            </w:r>
            <w:r>
              <w:rPr>
                <w:rFonts w:hint="eastAsia"/>
                <w:color w:val="auto"/>
                <w:sz w:val="21"/>
              </w:rPr>
              <w:t>二是</w:t>
            </w:r>
            <w:r>
              <w:rPr>
                <w:color w:val="auto"/>
                <w:sz w:val="21"/>
              </w:rPr>
              <w:t>运维监控及分析管理服务。进一步强化佛山市交通运输局网络安全集中管控能力，确保单位内资产风险可控。</w:t>
            </w:r>
            <w:r>
              <w:rPr>
                <w:rFonts w:hint="eastAsia"/>
                <w:color w:val="auto"/>
                <w:sz w:val="21"/>
              </w:rPr>
              <w:t>三是</w:t>
            </w:r>
            <w:r>
              <w:rPr>
                <w:color w:val="auto"/>
                <w:sz w:val="21"/>
              </w:rPr>
              <w:t>边界防御能力升级服务。升级边界防护设备，提升网络边界设备性能，提升工作效率。</w:t>
            </w:r>
            <w:r>
              <w:rPr>
                <w:rFonts w:hint="eastAsia"/>
                <w:color w:val="auto"/>
                <w:sz w:val="21"/>
              </w:rPr>
              <w:t>四是</w:t>
            </w:r>
            <w:r>
              <w:rPr>
                <w:color w:val="auto"/>
                <w:sz w:val="21"/>
              </w:rPr>
              <w:t>全网一体化安全运营服务。优化监测能力，通过整合第三方检测能力，接入各方威胁情报，利用主动防御手段采集攻击者信息，加强防线发现和监测效果。</w:t>
            </w:r>
            <w:r>
              <w:rPr>
                <w:rFonts w:hint="eastAsia"/>
                <w:color w:val="auto"/>
                <w:sz w:val="21"/>
              </w:rPr>
              <w:t>五是</w:t>
            </w:r>
            <w:r>
              <w:rPr>
                <w:color w:val="auto"/>
                <w:sz w:val="21"/>
              </w:rPr>
              <w:t>国密证书服务。</w:t>
            </w:r>
            <w:r>
              <w:rPr>
                <w:rFonts w:hint="eastAsia"/>
                <w:color w:val="auto"/>
                <w:sz w:val="21"/>
              </w:rPr>
              <w:t>采用国密算法，提供数据加密传输，保障数据传输机密性、完整性。六是数据安全加密能力升级服务。实现业务系统全链条加密，提升业务系统的安全性，保障数据传输与存储机密性、完整性。</w:t>
            </w:r>
          </w:p>
          <w:p w14:paraId="19985FE9">
            <w:pPr>
              <w:pStyle w:val="11"/>
              <w:jc w:val="left"/>
              <w:rPr>
                <w:color w:val="auto"/>
              </w:rPr>
            </w:pPr>
            <w:r>
              <w:rPr>
                <w:color w:val="auto"/>
                <w:sz w:val="21"/>
              </w:rPr>
              <w:t>1.2服务内容汇总</w:t>
            </w:r>
          </w:p>
          <w:tbl>
            <w:tblPr>
              <w:tblStyle w:val="8"/>
              <w:tblW w:w="6579" w:type="dxa"/>
              <w:tblInd w:w="48"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3"/>
              <w:gridCol w:w="1201"/>
              <w:gridCol w:w="3627"/>
              <w:gridCol w:w="1118"/>
            </w:tblGrid>
            <w:tr w14:paraId="0E8FF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C8F6AE7">
                  <w:pPr>
                    <w:pStyle w:val="11"/>
                    <w:jc w:val="center"/>
                    <w:rPr>
                      <w:color w:val="auto"/>
                    </w:rPr>
                  </w:pPr>
                  <w:r>
                    <w:rPr>
                      <w:color w:val="auto"/>
                      <w:sz w:val="21"/>
                    </w:rPr>
                    <w:t>序号</w:t>
                  </w:r>
                </w:p>
              </w:tc>
              <w:tc>
                <w:tcPr>
                  <w:tcW w:w="12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4903797">
                  <w:pPr>
                    <w:pStyle w:val="11"/>
                    <w:jc w:val="center"/>
                    <w:rPr>
                      <w:color w:val="auto"/>
                    </w:rPr>
                  </w:pPr>
                  <w:r>
                    <w:rPr>
                      <w:color w:val="auto"/>
                      <w:sz w:val="21"/>
                    </w:rPr>
                    <w:t>服务项目</w:t>
                  </w:r>
                </w:p>
              </w:tc>
              <w:tc>
                <w:tcPr>
                  <w:tcW w:w="36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F38D951">
                  <w:pPr>
                    <w:pStyle w:val="11"/>
                    <w:jc w:val="center"/>
                    <w:rPr>
                      <w:color w:val="auto"/>
                    </w:rPr>
                  </w:pPr>
                  <w:r>
                    <w:rPr>
                      <w:color w:val="auto"/>
                      <w:sz w:val="21"/>
                    </w:rPr>
                    <w:t>服务目标及服务内容</w:t>
                  </w:r>
                </w:p>
              </w:tc>
              <w:tc>
                <w:tcPr>
                  <w:tcW w:w="11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215020A">
                  <w:pPr>
                    <w:pStyle w:val="11"/>
                    <w:jc w:val="center"/>
                    <w:rPr>
                      <w:color w:val="auto"/>
                    </w:rPr>
                  </w:pPr>
                  <w:r>
                    <w:rPr>
                      <w:color w:val="auto"/>
                      <w:sz w:val="21"/>
                    </w:rPr>
                    <w:t>服务期限</w:t>
                  </w:r>
                </w:p>
              </w:tc>
            </w:tr>
            <w:tr w14:paraId="45CA0D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7722232">
                  <w:pPr>
                    <w:pStyle w:val="11"/>
                    <w:jc w:val="center"/>
                    <w:rPr>
                      <w:color w:val="auto"/>
                    </w:rPr>
                  </w:pPr>
                  <w:r>
                    <w:rPr>
                      <w:color w:val="auto"/>
                      <w:sz w:val="21"/>
                    </w:rPr>
                    <w:t>1</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7EC2AC">
                  <w:pPr>
                    <w:pStyle w:val="11"/>
                    <w:jc w:val="center"/>
                    <w:rPr>
                      <w:color w:val="auto"/>
                    </w:rPr>
                  </w:pPr>
                  <w:r>
                    <w:rPr>
                      <w:color w:val="auto"/>
                      <w:sz w:val="21"/>
                    </w:rPr>
                    <w:t>全流量追踪溯源服务</w:t>
                  </w:r>
                </w:p>
              </w:tc>
              <w:tc>
                <w:tcPr>
                  <w:tcW w:w="36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3A310">
                  <w:pPr>
                    <w:pStyle w:val="11"/>
                    <w:jc w:val="left"/>
                    <w:rPr>
                      <w:color w:val="auto"/>
                    </w:rPr>
                  </w:pPr>
                  <w:r>
                    <w:rPr>
                      <w:rFonts w:hint="eastAsia"/>
                      <w:color w:val="auto"/>
                    </w:rPr>
                    <w:t>提供第2层到第7层的每个网络流量数据包的分类识别、记录，并对所有的网络数据建立索引，以确保能完整真实的还原网络安全事件的原始场景。</w:t>
                  </w:r>
                </w:p>
              </w:tc>
              <w:tc>
                <w:tcPr>
                  <w:tcW w:w="11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6F1BD8">
                  <w:pPr>
                    <w:pStyle w:val="11"/>
                    <w:jc w:val="center"/>
                    <w:rPr>
                      <w:color w:val="auto"/>
                    </w:rPr>
                  </w:pPr>
                  <w:r>
                    <w:rPr>
                      <w:color w:val="auto"/>
                      <w:sz w:val="21"/>
                    </w:rPr>
                    <w:t>1年</w:t>
                  </w:r>
                </w:p>
              </w:tc>
            </w:tr>
            <w:tr w14:paraId="6E852A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0D51A0E">
                  <w:pPr>
                    <w:pStyle w:val="11"/>
                    <w:jc w:val="center"/>
                    <w:rPr>
                      <w:color w:val="auto"/>
                    </w:rPr>
                  </w:pPr>
                  <w:r>
                    <w:rPr>
                      <w:color w:val="auto"/>
                      <w:sz w:val="21"/>
                    </w:rPr>
                    <w:t>2</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9BB968">
                  <w:pPr>
                    <w:pStyle w:val="11"/>
                    <w:jc w:val="center"/>
                    <w:rPr>
                      <w:color w:val="auto"/>
                      <w:sz w:val="21"/>
                    </w:rPr>
                  </w:pPr>
                  <w:r>
                    <w:rPr>
                      <w:rFonts w:hint="eastAsia"/>
                      <w:color w:val="auto"/>
                      <w:sz w:val="21"/>
                    </w:rPr>
                    <w:t>威胁检测服务</w:t>
                  </w:r>
                </w:p>
              </w:tc>
              <w:tc>
                <w:tcPr>
                  <w:tcW w:w="36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A5C060">
                  <w:pPr>
                    <w:pStyle w:val="11"/>
                    <w:jc w:val="both"/>
                    <w:rPr>
                      <w:color w:val="auto"/>
                      <w:sz w:val="21"/>
                    </w:rPr>
                  </w:pPr>
                  <w:r>
                    <w:rPr>
                      <w:rFonts w:hint="eastAsia" w:ascii="宋体" w:hAnsi="宋体"/>
                      <w:color w:val="auto"/>
                      <w:sz w:val="21"/>
                      <w:szCs w:val="21"/>
                    </w:rPr>
                    <w:t>可疑文件的进行动态检测，远控威胁具体行为分析。</w:t>
                  </w:r>
                </w:p>
              </w:tc>
              <w:tc>
                <w:tcPr>
                  <w:tcW w:w="11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9F5368">
                  <w:pPr>
                    <w:pStyle w:val="11"/>
                    <w:jc w:val="center"/>
                    <w:rPr>
                      <w:color w:val="auto"/>
                    </w:rPr>
                  </w:pPr>
                  <w:r>
                    <w:rPr>
                      <w:color w:val="auto"/>
                      <w:sz w:val="21"/>
                    </w:rPr>
                    <w:t>1年</w:t>
                  </w:r>
                </w:p>
              </w:tc>
            </w:tr>
            <w:tr w14:paraId="35586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8B5290E">
                  <w:pPr>
                    <w:pStyle w:val="11"/>
                    <w:jc w:val="center"/>
                    <w:rPr>
                      <w:color w:val="auto"/>
                    </w:rPr>
                  </w:pPr>
                  <w:r>
                    <w:rPr>
                      <w:color w:val="auto"/>
                      <w:sz w:val="21"/>
                    </w:rPr>
                    <w:t>3</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401E93">
                  <w:pPr>
                    <w:jc w:val="center"/>
                    <w:rPr>
                      <w:color w:val="auto"/>
                    </w:rPr>
                  </w:pPr>
                  <w:r>
                    <w:rPr>
                      <w:rFonts w:hint="eastAsia"/>
                      <w:color w:val="auto"/>
                      <w:sz w:val="21"/>
                      <w:szCs w:val="21"/>
                    </w:rPr>
                    <w:t>运维监控及分析管理服务</w:t>
                  </w:r>
                </w:p>
              </w:tc>
              <w:tc>
                <w:tcPr>
                  <w:tcW w:w="36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323CFD">
                  <w:pPr>
                    <w:rPr>
                      <w:color w:val="auto"/>
                    </w:rPr>
                  </w:pPr>
                  <w:r>
                    <w:rPr>
                      <w:rFonts w:ascii="宋体" w:hAnsi="宋体"/>
                      <w:color w:val="auto"/>
                      <w:sz w:val="21"/>
                      <w:szCs w:val="21"/>
                    </w:rPr>
                    <w:t>控制运维人员能运维哪些设备，执行哪些操作命令，避免运维人员非法或无意执行高危操作，并对运维人员的操作进行实时监控和事后审计。</w:t>
                  </w:r>
                </w:p>
              </w:tc>
              <w:tc>
                <w:tcPr>
                  <w:tcW w:w="11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FD9043">
                  <w:pPr>
                    <w:pStyle w:val="11"/>
                    <w:jc w:val="center"/>
                    <w:rPr>
                      <w:color w:val="auto"/>
                    </w:rPr>
                  </w:pPr>
                  <w:r>
                    <w:rPr>
                      <w:color w:val="auto"/>
                      <w:sz w:val="21"/>
                    </w:rPr>
                    <w:t>1年</w:t>
                  </w:r>
                </w:p>
              </w:tc>
            </w:tr>
            <w:tr w14:paraId="38DB33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4DBDA14">
                  <w:pPr>
                    <w:pStyle w:val="11"/>
                    <w:jc w:val="center"/>
                    <w:rPr>
                      <w:color w:val="auto"/>
                    </w:rPr>
                  </w:pPr>
                  <w:r>
                    <w:rPr>
                      <w:color w:val="auto"/>
                      <w:sz w:val="21"/>
                    </w:rPr>
                    <w:t>4</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E73075">
                  <w:pPr>
                    <w:ind w:firstLine="23" w:firstLineChars="11"/>
                    <w:jc w:val="center"/>
                    <w:rPr>
                      <w:color w:val="auto"/>
                    </w:rPr>
                  </w:pPr>
                  <w:r>
                    <w:rPr>
                      <w:rFonts w:hint="eastAsia" w:ascii="宋体" w:hAnsi="宋体"/>
                      <w:color w:val="auto"/>
                      <w:sz w:val="21"/>
                      <w:szCs w:val="21"/>
                    </w:rPr>
                    <w:t>网络边界安全防护服务</w:t>
                  </w:r>
                </w:p>
              </w:tc>
              <w:tc>
                <w:tcPr>
                  <w:tcW w:w="36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A44B76">
                  <w:pPr>
                    <w:pStyle w:val="7"/>
                    <w:ind w:firstLine="23" w:firstLineChars="11"/>
                    <w:rPr>
                      <w:rFonts w:ascii="宋体" w:hAnsi="宋体"/>
                      <w:color w:val="auto"/>
                      <w:sz w:val="21"/>
                      <w:szCs w:val="21"/>
                    </w:rPr>
                  </w:pPr>
                  <w:r>
                    <w:rPr>
                      <w:rFonts w:hint="eastAsia" w:ascii="宋体" w:hAnsi="宋体"/>
                      <w:color w:val="auto"/>
                      <w:sz w:val="21"/>
                      <w:szCs w:val="21"/>
                    </w:rPr>
                    <w:t>1、新增边界防护服务工具，进一步提升网络安全边界安全防护能力。</w:t>
                  </w:r>
                </w:p>
                <w:p w14:paraId="428470AE">
                  <w:pPr>
                    <w:pStyle w:val="7"/>
                    <w:ind w:firstLine="23" w:firstLineChars="11"/>
                    <w:rPr>
                      <w:color w:val="auto"/>
                    </w:rPr>
                  </w:pPr>
                  <w:r>
                    <w:rPr>
                      <w:rFonts w:ascii="宋体" w:hAnsi="宋体"/>
                      <w:color w:val="auto"/>
                      <w:sz w:val="21"/>
                      <w:szCs w:val="21"/>
                    </w:rPr>
                    <w:t>2</w:t>
                  </w:r>
                  <w:r>
                    <w:rPr>
                      <w:rFonts w:hint="eastAsia" w:ascii="宋体" w:hAnsi="宋体"/>
                      <w:color w:val="auto"/>
                      <w:sz w:val="21"/>
                      <w:szCs w:val="21"/>
                    </w:rPr>
                    <w:t>、通过对老旧边界防护设备升级，实现边界防护能力的提升。</w:t>
                  </w:r>
                </w:p>
              </w:tc>
              <w:tc>
                <w:tcPr>
                  <w:tcW w:w="11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E6318C5">
                  <w:pPr>
                    <w:pStyle w:val="11"/>
                    <w:jc w:val="center"/>
                    <w:rPr>
                      <w:color w:val="auto"/>
                    </w:rPr>
                  </w:pPr>
                  <w:r>
                    <w:rPr>
                      <w:color w:val="auto"/>
                      <w:sz w:val="21"/>
                    </w:rPr>
                    <w:t>1年</w:t>
                  </w:r>
                </w:p>
              </w:tc>
            </w:tr>
            <w:tr w14:paraId="234F08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A12741D">
                  <w:pPr>
                    <w:pStyle w:val="11"/>
                    <w:jc w:val="center"/>
                    <w:rPr>
                      <w:color w:val="auto"/>
                    </w:rPr>
                  </w:pPr>
                  <w:r>
                    <w:rPr>
                      <w:color w:val="auto"/>
                      <w:sz w:val="21"/>
                    </w:rPr>
                    <w:t>5</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F17B5F">
                  <w:pPr>
                    <w:ind w:firstLine="23" w:firstLineChars="11"/>
                    <w:jc w:val="center"/>
                    <w:rPr>
                      <w:color w:val="auto"/>
                    </w:rPr>
                  </w:pPr>
                  <w:r>
                    <w:rPr>
                      <w:rFonts w:hint="eastAsia" w:ascii="宋体" w:hAnsi="宋体"/>
                      <w:color w:val="auto"/>
                      <w:sz w:val="21"/>
                      <w:szCs w:val="21"/>
                    </w:rPr>
                    <w:t>全网一体化安全运营服务</w:t>
                  </w:r>
                </w:p>
              </w:tc>
              <w:tc>
                <w:tcPr>
                  <w:tcW w:w="36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648A3A">
                  <w:pPr>
                    <w:pStyle w:val="7"/>
                    <w:ind w:firstLine="23" w:firstLineChars="11"/>
                    <w:rPr>
                      <w:color w:val="auto"/>
                    </w:rPr>
                  </w:pPr>
                  <w:r>
                    <w:rPr>
                      <w:rFonts w:hint="eastAsia" w:ascii="宋体" w:hAnsi="宋体"/>
                      <w:color w:val="auto"/>
                      <w:sz w:val="21"/>
                      <w:szCs w:val="21"/>
                    </w:rPr>
                    <w:t>通过现有及待建安全子系统的对接，分析全网资产及业务运行信息、脆弱性信息、攻击行为信息、风险信息、异常流量信息。</w:t>
                  </w:r>
                </w:p>
              </w:tc>
              <w:tc>
                <w:tcPr>
                  <w:tcW w:w="11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823BCFD">
                  <w:pPr>
                    <w:pStyle w:val="11"/>
                    <w:jc w:val="center"/>
                    <w:rPr>
                      <w:color w:val="auto"/>
                    </w:rPr>
                  </w:pPr>
                  <w:r>
                    <w:rPr>
                      <w:color w:val="auto"/>
                      <w:sz w:val="21"/>
                    </w:rPr>
                    <w:t>1年</w:t>
                  </w:r>
                </w:p>
              </w:tc>
            </w:tr>
            <w:tr w14:paraId="1A27B5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71BB03B">
                  <w:pPr>
                    <w:pStyle w:val="11"/>
                    <w:jc w:val="center"/>
                    <w:rPr>
                      <w:color w:val="auto"/>
                    </w:rPr>
                  </w:pPr>
                  <w:r>
                    <w:rPr>
                      <w:color w:val="auto"/>
                      <w:sz w:val="21"/>
                    </w:rPr>
                    <w:t>6</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A13FF0E">
                  <w:pPr>
                    <w:jc w:val="center"/>
                    <w:rPr>
                      <w:color w:val="auto"/>
                    </w:rPr>
                  </w:pPr>
                  <w:r>
                    <w:rPr>
                      <w:rFonts w:hint="eastAsia" w:ascii="仿宋" w:hAnsi="仿宋" w:cs="宋体"/>
                      <w:color w:val="auto"/>
                      <w:szCs w:val="24"/>
                    </w:rPr>
                    <w:t>国密证书服务</w:t>
                  </w:r>
                </w:p>
              </w:tc>
              <w:tc>
                <w:tcPr>
                  <w:tcW w:w="36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297CE3">
                  <w:pPr>
                    <w:pStyle w:val="7"/>
                    <w:ind w:firstLine="0" w:firstLineChars="0"/>
                    <w:rPr>
                      <w:color w:val="auto"/>
                    </w:rPr>
                  </w:pPr>
                  <w:r>
                    <w:rPr>
                      <w:rFonts w:hint="eastAsia" w:ascii="宋体" w:hAnsi="宋体" w:cs="宋体"/>
                      <w:color w:val="auto"/>
                      <w:sz w:val="22"/>
                      <w:szCs w:val="22"/>
                    </w:rPr>
                    <w:t>采用国密算法，提供数据加密传输，保障数据传输机密性、完整性。</w:t>
                  </w:r>
                </w:p>
              </w:tc>
              <w:tc>
                <w:tcPr>
                  <w:tcW w:w="11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F54F97">
                  <w:pPr>
                    <w:pStyle w:val="11"/>
                    <w:jc w:val="center"/>
                    <w:rPr>
                      <w:color w:val="auto"/>
                    </w:rPr>
                  </w:pPr>
                  <w:r>
                    <w:rPr>
                      <w:color w:val="auto"/>
                      <w:sz w:val="21"/>
                    </w:rPr>
                    <w:t>1年</w:t>
                  </w:r>
                </w:p>
              </w:tc>
            </w:tr>
            <w:tr w14:paraId="462B9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B2FD50F">
                  <w:pPr>
                    <w:pStyle w:val="11"/>
                    <w:jc w:val="center"/>
                    <w:rPr>
                      <w:color w:val="auto"/>
                    </w:rPr>
                  </w:pPr>
                  <w:r>
                    <w:rPr>
                      <w:color w:val="auto"/>
                      <w:sz w:val="21"/>
                    </w:rPr>
                    <w:t>7</w:t>
                  </w:r>
                </w:p>
              </w:tc>
              <w:tc>
                <w:tcPr>
                  <w:tcW w:w="12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BC823E">
                  <w:pPr>
                    <w:jc w:val="center"/>
                    <w:rPr>
                      <w:color w:val="auto"/>
                    </w:rPr>
                  </w:pPr>
                  <w:r>
                    <w:rPr>
                      <w:rFonts w:ascii="仿宋" w:hAnsi="仿宋" w:cs="宋体"/>
                      <w:color w:val="auto"/>
                      <w:sz w:val="21"/>
                      <w:szCs w:val="21"/>
                    </w:rPr>
                    <w:t>数据安全加密能力升级</w:t>
                  </w:r>
                  <w:r>
                    <w:rPr>
                      <w:rFonts w:hint="eastAsia" w:ascii="仿宋" w:hAnsi="仿宋" w:cs="宋体"/>
                      <w:color w:val="auto"/>
                      <w:sz w:val="21"/>
                      <w:szCs w:val="21"/>
                    </w:rPr>
                    <w:t>服务</w:t>
                  </w:r>
                </w:p>
              </w:tc>
              <w:tc>
                <w:tcPr>
                  <w:tcW w:w="362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5449616">
                  <w:pPr>
                    <w:pStyle w:val="7"/>
                    <w:ind w:firstLine="0" w:firstLineChars="0"/>
                    <w:rPr>
                      <w:color w:val="auto"/>
                    </w:rPr>
                  </w:pPr>
                  <w:r>
                    <w:rPr>
                      <w:rFonts w:hint="eastAsia" w:ascii="宋体" w:hAnsi="宋体" w:cs="宋体"/>
                      <w:color w:val="auto"/>
                      <w:sz w:val="21"/>
                      <w:szCs w:val="21"/>
                    </w:rPr>
                    <w:t>实现业务系统全链条加密，提升业务系统的安全性，保障数据传输与存储机密性、完整性。</w:t>
                  </w:r>
                </w:p>
              </w:tc>
              <w:tc>
                <w:tcPr>
                  <w:tcW w:w="111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1DAD13">
                  <w:pPr>
                    <w:pStyle w:val="11"/>
                    <w:jc w:val="center"/>
                    <w:rPr>
                      <w:color w:val="auto"/>
                    </w:rPr>
                  </w:pPr>
                  <w:r>
                    <w:rPr>
                      <w:color w:val="auto"/>
                      <w:sz w:val="21"/>
                    </w:rPr>
                    <w:t>1年</w:t>
                  </w:r>
                </w:p>
              </w:tc>
            </w:tr>
          </w:tbl>
          <w:p w14:paraId="29CD67AC">
            <w:pPr>
              <w:pStyle w:val="11"/>
              <w:jc w:val="left"/>
              <w:rPr>
                <w:color w:val="auto"/>
              </w:rPr>
            </w:pPr>
            <w:r>
              <w:rPr>
                <w:color w:val="auto"/>
                <w:sz w:val="21"/>
              </w:rPr>
              <w:t>1.3详细技术要求</w:t>
            </w:r>
          </w:p>
          <w:p w14:paraId="704A31F9">
            <w:pPr>
              <w:pStyle w:val="11"/>
              <w:ind w:firstLine="0"/>
              <w:jc w:val="both"/>
              <w:rPr>
                <w:b/>
                <w:bCs/>
                <w:color w:val="auto"/>
              </w:rPr>
            </w:pPr>
            <w:r>
              <w:rPr>
                <w:b/>
                <w:bCs/>
                <w:color w:val="auto"/>
                <w:sz w:val="21"/>
              </w:rPr>
              <w:t>1.3.1 全流量追踪溯源服务</w:t>
            </w:r>
          </w:p>
          <w:p w14:paraId="0CF725F2">
            <w:pPr>
              <w:pStyle w:val="11"/>
              <w:ind w:firstLine="440"/>
              <w:jc w:val="both"/>
              <w:rPr>
                <w:color w:val="auto"/>
              </w:rPr>
            </w:pPr>
            <w:r>
              <w:rPr>
                <w:rFonts w:hint="eastAsia"/>
                <w:color w:val="auto"/>
              </w:rPr>
              <w:t>为</w:t>
            </w:r>
            <w:r>
              <w:rPr>
                <w:rFonts w:hint="eastAsia"/>
                <w:color w:val="auto"/>
                <w:lang w:val="en-US" w:eastAsia="zh-CN"/>
              </w:rPr>
              <w:t>采购人</w:t>
            </w:r>
            <w:r>
              <w:rPr>
                <w:rFonts w:hint="eastAsia"/>
                <w:color w:val="auto"/>
              </w:rPr>
              <w:t>提供建设追踪溯源安全服务，接入网络出口流量或者</w:t>
            </w:r>
            <w:r>
              <w:rPr>
                <w:color w:val="auto"/>
              </w:rPr>
              <w:t>DNS日志，利用异常行为规则分析、人工智能等先进技术，全面监控网内的网络节点，定位黑客控制的关键主机，掌握被攻击事件。在关键位置进行持续检测，特别针对APT、未知威胁攻击事件，配合外部专业安全分析服务对失陷节点进行取证溯源分析，发现隐藏在内网的威胁源头。</w:t>
            </w:r>
          </w:p>
          <w:p w14:paraId="5BFBE645">
            <w:pPr>
              <w:pStyle w:val="11"/>
              <w:ind w:firstLine="440"/>
              <w:jc w:val="both"/>
              <w:rPr>
                <w:color w:val="auto"/>
              </w:rPr>
            </w:pPr>
            <w:r>
              <w:rPr>
                <w:color w:val="auto"/>
                <w:sz w:val="21"/>
              </w:rPr>
              <w:t>（1）原始数据存储与检索</w:t>
            </w:r>
          </w:p>
          <w:p w14:paraId="567C6B8F">
            <w:pPr>
              <w:pStyle w:val="11"/>
              <w:ind w:firstLine="440"/>
              <w:jc w:val="both"/>
              <w:rPr>
                <w:color w:val="auto"/>
              </w:rPr>
            </w:pPr>
            <w:r>
              <w:rPr>
                <w:rFonts w:hint="eastAsia"/>
                <w:color w:val="auto"/>
              </w:rPr>
              <w:t>网络原始流量需要100%准确的存储和检索，这是完整真实的还原网络安全事件原始场景的基础。因此，全流量服务提供了如下关键技术：</w:t>
            </w:r>
          </w:p>
          <w:p w14:paraId="0C973562">
            <w:pPr>
              <w:pStyle w:val="11"/>
              <w:ind w:firstLine="440"/>
              <w:jc w:val="both"/>
              <w:rPr>
                <w:rFonts w:hint="eastAsia" w:eastAsiaTheme="minorEastAsia"/>
                <w:color w:val="auto"/>
                <w:sz w:val="21"/>
                <w:lang w:eastAsia="zh-CN"/>
              </w:rPr>
            </w:pPr>
            <w:r>
              <w:rPr>
                <w:color w:val="auto"/>
                <w:sz w:val="21"/>
              </w:rPr>
              <w:t>1）</w:t>
            </w:r>
            <w:r>
              <w:rPr>
                <w:rFonts w:hint="eastAsia"/>
                <w:color w:val="auto"/>
                <w:sz w:val="21"/>
              </w:rPr>
              <w:t>网络流量线速捕获与零碎片存储</w:t>
            </w:r>
            <w:r>
              <w:rPr>
                <w:rFonts w:hint="eastAsia"/>
                <w:color w:val="auto"/>
                <w:sz w:val="21"/>
                <w:lang w:eastAsia="zh-CN"/>
              </w:rPr>
              <w:t>；</w:t>
            </w:r>
          </w:p>
          <w:p w14:paraId="46C260FB">
            <w:pPr>
              <w:pStyle w:val="11"/>
              <w:ind w:firstLine="440"/>
              <w:jc w:val="both"/>
              <w:rPr>
                <w:rFonts w:hint="eastAsia" w:eastAsiaTheme="minorEastAsia"/>
                <w:color w:val="auto"/>
                <w:sz w:val="21"/>
                <w:lang w:eastAsia="zh-CN"/>
              </w:rPr>
            </w:pPr>
            <w:r>
              <w:rPr>
                <w:rFonts w:hint="eastAsia"/>
                <w:color w:val="auto"/>
                <w:sz w:val="21"/>
                <w:lang w:val="en-US" w:eastAsia="zh-CN"/>
              </w:rPr>
              <w:t>2）</w:t>
            </w:r>
            <w:r>
              <w:rPr>
                <w:rFonts w:hint="eastAsia"/>
                <w:color w:val="auto"/>
                <w:sz w:val="21"/>
              </w:rPr>
              <w:t>高精度时间戳</w:t>
            </w:r>
            <w:r>
              <w:rPr>
                <w:rFonts w:hint="eastAsia"/>
                <w:color w:val="auto"/>
                <w:sz w:val="21"/>
                <w:lang w:eastAsia="zh-CN"/>
              </w:rPr>
              <w:t>；</w:t>
            </w:r>
          </w:p>
          <w:p w14:paraId="06AB9A3D">
            <w:pPr>
              <w:pStyle w:val="11"/>
              <w:ind w:firstLine="440"/>
              <w:jc w:val="both"/>
              <w:rPr>
                <w:rFonts w:hint="eastAsia" w:eastAsiaTheme="minorEastAsia"/>
                <w:color w:val="auto"/>
                <w:sz w:val="21"/>
                <w:lang w:eastAsia="zh-CN"/>
              </w:rPr>
            </w:pPr>
            <w:r>
              <w:rPr>
                <w:rFonts w:hint="eastAsia"/>
                <w:color w:val="auto"/>
                <w:sz w:val="21"/>
                <w:lang w:val="en-US" w:eastAsia="zh-CN"/>
              </w:rPr>
              <w:t>3）</w:t>
            </w:r>
            <w:r>
              <w:rPr>
                <w:rFonts w:hint="eastAsia"/>
                <w:color w:val="auto"/>
                <w:sz w:val="21"/>
              </w:rPr>
              <w:t>高效索引</w:t>
            </w:r>
            <w:r>
              <w:rPr>
                <w:rFonts w:hint="eastAsia"/>
                <w:color w:val="auto"/>
                <w:sz w:val="21"/>
                <w:lang w:eastAsia="zh-CN"/>
              </w:rPr>
              <w:t>；</w:t>
            </w:r>
          </w:p>
          <w:p w14:paraId="30A53C60">
            <w:pPr>
              <w:pStyle w:val="11"/>
              <w:ind w:firstLine="440"/>
              <w:jc w:val="both"/>
              <w:rPr>
                <w:rFonts w:hint="eastAsia" w:eastAsiaTheme="minorEastAsia"/>
                <w:color w:val="auto"/>
                <w:sz w:val="21"/>
                <w:lang w:eastAsia="zh-CN"/>
              </w:rPr>
            </w:pPr>
            <w:r>
              <w:rPr>
                <w:rFonts w:hint="eastAsia"/>
                <w:color w:val="auto"/>
                <w:sz w:val="21"/>
                <w:lang w:val="en-US" w:eastAsia="zh-CN"/>
              </w:rPr>
              <w:t>4）</w:t>
            </w:r>
            <w:r>
              <w:rPr>
                <w:rFonts w:hint="eastAsia"/>
                <w:color w:val="auto"/>
                <w:sz w:val="21"/>
              </w:rPr>
              <w:t>压缩与加密</w:t>
            </w:r>
            <w:r>
              <w:rPr>
                <w:rFonts w:hint="eastAsia"/>
                <w:color w:val="auto"/>
                <w:sz w:val="21"/>
                <w:lang w:eastAsia="zh-CN"/>
              </w:rPr>
              <w:t>；</w:t>
            </w:r>
          </w:p>
          <w:p w14:paraId="3671C096">
            <w:pPr>
              <w:pStyle w:val="11"/>
              <w:ind w:firstLine="440"/>
              <w:jc w:val="both"/>
              <w:rPr>
                <w:rFonts w:hint="eastAsia" w:eastAsiaTheme="minorEastAsia"/>
                <w:color w:val="auto"/>
                <w:lang w:eastAsia="zh-CN"/>
              </w:rPr>
            </w:pPr>
            <w:r>
              <w:rPr>
                <w:rFonts w:hint="eastAsia"/>
                <w:color w:val="auto"/>
                <w:sz w:val="21"/>
                <w:lang w:val="en-US" w:eastAsia="zh-CN"/>
              </w:rPr>
              <w:t>5）</w:t>
            </w:r>
            <w:r>
              <w:rPr>
                <w:rFonts w:hint="eastAsia"/>
                <w:color w:val="auto"/>
                <w:sz w:val="21"/>
              </w:rPr>
              <w:t>历史流量回放</w:t>
            </w:r>
            <w:r>
              <w:rPr>
                <w:rFonts w:hint="eastAsia"/>
                <w:color w:val="auto"/>
                <w:sz w:val="21"/>
                <w:lang w:eastAsia="zh-CN"/>
              </w:rPr>
              <w:t>。</w:t>
            </w:r>
          </w:p>
          <w:p w14:paraId="25841328">
            <w:pPr>
              <w:pStyle w:val="11"/>
              <w:ind w:firstLine="440"/>
              <w:jc w:val="both"/>
              <w:rPr>
                <w:color w:val="auto"/>
              </w:rPr>
            </w:pPr>
            <w:r>
              <w:rPr>
                <w:color w:val="auto"/>
                <w:sz w:val="21"/>
              </w:rPr>
              <w:t>（2）元数据检索</w:t>
            </w:r>
          </w:p>
          <w:p w14:paraId="58E56626">
            <w:pPr>
              <w:pStyle w:val="11"/>
              <w:ind w:firstLine="440"/>
              <w:jc w:val="both"/>
              <w:rPr>
                <w:color w:val="auto"/>
              </w:rPr>
            </w:pPr>
            <w:r>
              <w:rPr>
                <w:rFonts w:hint="eastAsia"/>
                <w:color w:val="auto"/>
              </w:rPr>
              <w:t>全流量威胁管控服务不仅可以提供完整的网络全流量捕获技术，还可以提供从DPI和流分析方法生成的会话日志，以及每条会话提取的大量元数据。在网络全流量捕获的同时，全流量系统将数千个元数据元素写入高度优化的数据库，以支持快速和高效的查询。</w:t>
            </w:r>
          </w:p>
          <w:p w14:paraId="3F2CEF00">
            <w:pPr>
              <w:pStyle w:val="11"/>
              <w:jc w:val="both"/>
              <w:rPr>
                <w:b/>
                <w:bCs/>
                <w:color w:val="auto"/>
              </w:rPr>
            </w:pPr>
            <w:r>
              <w:rPr>
                <w:b/>
                <w:bCs/>
                <w:color w:val="auto"/>
                <w:sz w:val="21"/>
              </w:rPr>
              <w:t xml:space="preserve">1.3.2 </w:t>
            </w:r>
            <w:r>
              <w:rPr>
                <w:rFonts w:hint="eastAsia"/>
                <w:b/>
                <w:bCs/>
                <w:color w:val="auto"/>
                <w:sz w:val="21"/>
                <w:lang w:val="en-US" w:eastAsia="zh-CN"/>
              </w:rPr>
              <w:t>全流量威胁检测服务</w:t>
            </w:r>
          </w:p>
          <w:p w14:paraId="79664A79">
            <w:pPr>
              <w:pStyle w:val="11"/>
              <w:ind w:firstLine="440"/>
              <w:jc w:val="both"/>
              <w:rPr>
                <w:color w:val="auto"/>
              </w:rPr>
            </w:pPr>
            <w:r>
              <w:rPr>
                <w:rFonts w:hint="eastAsia"/>
                <w:color w:val="auto"/>
              </w:rPr>
              <w:t>威胁检测与溯源工作将利用威胁情报检测技术主动发现失陷机器与外部远控主机进行通信的行为，利用异常行为规则检测技术发现利用合法授权签名或工具等复杂隐蔽技术发起的恶意攻击行为，利用机器学习搭建智能训练模型对特定攻击进行检测发现训练，并且对于检测到的恶意文件进行云端沙箱进行分析判定。然后基于发现的威胁事件所提取的线索，利用先进的威胁情报知识图谱理念和分析技术，结合种类丰富的、具有国际领先性的专业大数据累积提供了一整套方便实用的智能追踪溯源工具，能够帮助佛山市交通运输局在攻击事件中，根据已知线索对攻击对手、其攻击手法、攻击途径、攻击资源和攻击位置后果等进行追踪溯源和拓展分析。</w:t>
            </w:r>
          </w:p>
          <w:p w14:paraId="6DCD5D14">
            <w:pPr>
              <w:pStyle w:val="11"/>
              <w:jc w:val="both"/>
              <w:rPr>
                <w:b/>
                <w:bCs/>
                <w:color w:val="auto"/>
              </w:rPr>
            </w:pPr>
            <w:r>
              <w:rPr>
                <w:b/>
                <w:bCs/>
                <w:color w:val="auto"/>
                <w:sz w:val="21"/>
              </w:rPr>
              <w:t xml:space="preserve">1.3.3 </w:t>
            </w:r>
            <w:bookmarkStart w:id="0" w:name="_Toc20677"/>
            <w:bookmarkStart w:id="1" w:name="_Toc10545"/>
            <w:bookmarkStart w:id="2" w:name="_Toc29163"/>
            <w:bookmarkStart w:id="3" w:name="_Toc3518"/>
            <w:bookmarkStart w:id="4" w:name="_Toc25265"/>
            <w:bookmarkStart w:id="5" w:name="_Toc3500"/>
            <w:bookmarkStart w:id="6" w:name="_Toc15877"/>
            <w:bookmarkStart w:id="7" w:name="_Toc112746052"/>
            <w:bookmarkStart w:id="8" w:name="_Toc18038"/>
            <w:r>
              <w:rPr>
                <w:rFonts w:hint="eastAsia"/>
                <w:b/>
                <w:bCs/>
                <w:color w:val="auto"/>
                <w:sz w:val="21"/>
              </w:rPr>
              <w:t>运维监控及审计服务</w:t>
            </w:r>
            <w:bookmarkEnd w:id="0"/>
            <w:bookmarkEnd w:id="1"/>
            <w:bookmarkEnd w:id="2"/>
            <w:bookmarkEnd w:id="3"/>
            <w:bookmarkEnd w:id="4"/>
            <w:bookmarkEnd w:id="5"/>
            <w:bookmarkEnd w:id="6"/>
            <w:bookmarkEnd w:id="7"/>
            <w:bookmarkEnd w:id="8"/>
          </w:p>
          <w:p w14:paraId="5FD3A8D1">
            <w:pPr>
              <w:pStyle w:val="11"/>
              <w:ind w:firstLine="440"/>
              <w:jc w:val="both"/>
              <w:rPr>
                <w:color w:val="auto"/>
              </w:rPr>
            </w:pPr>
            <w:r>
              <w:rPr>
                <w:color w:val="auto"/>
                <w:sz w:val="21"/>
              </w:rPr>
              <w:t>（1）</w:t>
            </w:r>
            <w:r>
              <w:rPr>
                <w:rFonts w:hint="eastAsia"/>
                <w:color w:val="auto"/>
                <w:sz w:val="21"/>
                <w:lang w:val="en-GB"/>
              </w:rPr>
              <w:t>为</w:t>
            </w:r>
            <w:r>
              <w:rPr>
                <w:rFonts w:hint="eastAsia"/>
                <w:color w:val="auto"/>
                <w:sz w:val="21"/>
                <w:lang w:val="en-GB" w:eastAsia="zh-CN"/>
              </w:rPr>
              <w:t>采购人</w:t>
            </w:r>
            <w:r>
              <w:rPr>
                <w:rFonts w:hint="eastAsia"/>
                <w:color w:val="auto"/>
                <w:sz w:val="21"/>
                <w:lang w:val="en-GB"/>
              </w:rPr>
              <w:t>提供运维监控及分析管理服务，</w:t>
            </w:r>
            <w:r>
              <w:rPr>
                <w:color w:val="auto"/>
                <w:sz w:val="21"/>
                <w:lang w:val="en-GB"/>
              </w:rPr>
              <w:t>管控和审计运维人员操作</w:t>
            </w:r>
            <w:r>
              <w:rPr>
                <w:rFonts w:hint="eastAsia"/>
                <w:color w:val="auto"/>
                <w:sz w:val="21"/>
                <w:lang w:val="en-GB"/>
              </w:rPr>
              <w:t>，提升系统管理安全服务</w:t>
            </w:r>
            <w:r>
              <w:rPr>
                <w:color w:val="auto"/>
                <w:sz w:val="21"/>
                <w:lang w:val="en-GB"/>
              </w:rPr>
              <w:t>。</w:t>
            </w:r>
          </w:p>
          <w:p w14:paraId="492362CE">
            <w:pPr>
              <w:pStyle w:val="11"/>
              <w:ind w:firstLine="440"/>
              <w:jc w:val="both"/>
              <w:rPr>
                <w:color w:val="auto"/>
                <w:sz w:val="21"/>
              </w:rPr>
            </w:pPr>
            <w:r>
              <w:rPr>
                <w:color w:val="auto"/>
                <w:sz w:val="21"/>
              </w:rPr>
              <w:t>（2）</w:t>
            </w:r>
            <w:r>
              <w:rPr>
                <w:rFonts w:hint="eastAsia"/>
                <w:color w:val="auto"/>
                <w:sz w:val="21"/>
                <w:lang w:val="en-GB"/>
              </w:rPr>
              <w:t>管理员可以使用集中管控能力提升服务工具</w:t>
            </w:r>
            <w:r>
              <w:rPr>
                <w:color w:val="auto"/>
                <w:sz w:val="21"/>
                <w:lang w:val="en-GB"/>
              </w:rPr>
              <w:t>控制运维人员能运维哪些设备，执行哪些操作命令，避免运维人员非法或无意执行高危操作，并对运维人员的操作进行实时监控和事后审计。</w:t>
            </w:r>
          </w:p>
          <w:p w14:paraId="3CFCA959">
            <w:pPr>
              <w:pStyle w:val="11"/>
              <w:ind w:firstLine="440"/>
              <w:jc w:val="both"/>
              <w:rPr>
                <w:color w:val="auto"/>
              </w:rPr>
            </w:pPr>
            <w:r>
              <w:rPr>
                <w:color w:val="auto"/>
                <w:sz w:val="21"/>
              </w:rPr>
              <w:t>（3）</w:t>
            </w:r>
            <w:r>
              <w:rPr>
                <w:rFonts w:hint="eastAsia"/>
                <w:color w:val="auto"/>
                <w:sz w:val="21"/>
                <w:lang w:val="en-GB"/>
              </w:rPr>
              <w:t>运维人员通过运维监控及分析管理服务工具</w:t>
            </w:r>
            <w:r>
              <w:rPr>
                <w:color w:val="auto"/>
                <w:sz w:val="21"/>
                <w:lang w:val="en-GB"/>
              </w:rPr>
              <w:t>做运维，不必记录设备的ip地址、用户名、口令等信息，也避免这些敏感信息的泄露，极大地方便了运维工作，提升运维效率。</w:t>
            </w:r>
          </w:p>
          <w:p w14:paraId="55300EF4">
            <w:pPr>
              <w:pStyle w:val="11"/>
              <w:ind w:firstLine="440"/>
              <w:jc w:val="both"/>
              <w:rPr>
                <w:color w:val="auto"/>
              </w:rPr>
            </w:pPr>
            <w:r>
              <w:rPr>
                <w:color w:val="auto"/>
                <w:sz w:val="21"/>
              </w:rPr>
              <w:t>（4）</w:t>
            </w:r>
            <w:r>
              <w:rPr>
                <w:rFonts w:hint="eastAsia"/>
                <w:color w:val="auto"/>
                <w:sz w:val="21"/>
                <w:lang w:val="en-GB"/>
              </w:rPr>
              <w:t>运维监控及分析管理服务</w:t>
            </w:r>
            <w:r>
              <w:rPr>
                <w:color w:val="auto"/>
                <w:sz w:val="21"/>
                <w:lang w:val="en-GB"/>
              </w:rPr>
              <w:t>对整个运维过程从事前预防、事中控制和事后审计进行全程参与</w:t>
            </w:r>
            <w:r>
              <w:rPr>
                <w:color w:val="auto"/>
                <w:sz w:val="21"/>
              </w:rPr>
              <w:t>：</w:t>
            </w:r>
          </w:p>
          <w:p w14:paraId="7180B342">
            <w:pPr>
              <w:pStyle w:val="11"/>
              <w:ind w:firstLine="440"/>
              <w:jc w:val="both"/>
              <w:rPr>
                <w:rFonts w:hint="eastAsia" w:eastAsiaTheme="minorEastAsia"/>
                <w:color w:val="auto"/>
                <w:lang w:eastAsia="zh-CN"/>
              </w:rPr>
            </w:pPr>
            <w:r>
              <w:rPr>
                <w:color w:val="auto"/>
                <w:sz w:val="21"/>
              </w:rPr>
              <w:t>1）</w:t>
            </w:r>
            <w:r>
              <w:rPr>
                <w:rFonts w:hint="eastAsia"/>
                <w:color w:val="auto"/>
                <w:sz w:val="21"/>
                <w:lang w:val="en-GB"/>
              </w:rPr>
              <w:t>事前预防：建立“自然人</w:t>
            </w:r>
            <w:r>
              <w:rPr>
                <w:color w:val="auto"/>
                <w:sz w:val="21"/>
                <w:lang w:val="en-GB"/>
              </w:rPr>
              <w:t>-资源-资源帐号”关系，实现统一认证和授权</w:t>
            </w:r>
            <w:r>
              <w:rPr>
                <w:rFonts w:hint="eastAsia"/>
                <w:color w:val="auto"/>
                <w:sz w:val="21"/>
                <w:lang w:val="en-GB" w:eastAsia="zh-CN"/>
              </w:rPr>
              <w:t>；</w:t>
            </w:r>
          </w:p>
          <w:p w14:paraId="3C6F25B8">
            <w:pPr>
              <w:pStyle w:val="11"/>
              <w:ind w:firstLine="440"/>
              <w:jc w:val="both"/>
              <w:rPr>
                <w:color w:val="auto"/>
                <w:sz w:val="21"/>
              </w:rPr>
            </w:pPr>
            <w:r>
              <w:rPr>
                <w:color w:val="auto"/>
                <w:sz w:val="21"/>
              </w:rPr>
              <w:t>2）</w:t>
            </w:r>
            <w:r>
              <w:rPr>
                <w:rFonts w:hint="eastAsia"/>
                <w:color w:val="auto"/>
                <w:sz w:val="21"/>
                <w:lang w:val="en-GB"/>
              </w:rPr>
              <w:t>事中控制：建立“自然人</w:t>
            </w:r>
            <w:r>
              <w:rPr>
                <w:color w:val="auto"/>
                <w:sz w:val="21"/>
                <w:lang w:val="en-GB"/>
              </w:rPr>
              <w:t>-操作-资源”关系，实现操作审计和控制</w:t>
            </w:r>
            <w:r>
              <w:rPr>
                <w:color w:val="auto"/>
                <w:sz w:val="21"/>
              </w:rPr>
              <w:t>；</w:t>
            </w:r>
          </w:p>
          <w:p w14:paraId="37D8D6EE">
            <w:pPr>
              <w:pStyle w:val="11"/>
              <w:ind w:firstLine="440"/>
              <w:jc w:val="both"/>
              <w:rPr>
                <w:color w:val="auto"/>
              </w:rPr>
            </w:pPr>
            <w:r>
              <w:rPr>
                <w:color w:val="auto"/>
                <w:sz w:val="21"/>
              </w:rPr>
              <w:t>3）</w:t>
            </w:r>
            <w:r>
              <w:rPr>
                <w:rFonts w:hint="eastAsia"/>
                <w:color w:val="auto"/>
                <w:sz w:val="21"/>
                <w:lang w:val="en-GB"/>
              </w:rPr>
              <w:t>事后审计：建立“自然人</w:t>
            </w:r>
            <w:r>
              <w:rPr>
                <w:color w:val="auto"/>
                <w:sz w:val="21"/>
                <w:lang w:val="en-GB"/>
              </w:rPr>
              <w:t>-资源-审计日志”关系，实现事后溯源和责任界定</w:t>
            </w:r>
            <w:r>
              <w:rPr>
                <w:color w:val="auto"/>
                <w:sz w:val="21"/>
              </w:rPr>
              <w:t>。</w:t>
            </w:r>
          </w:p>
          <w:p w14:paraId="475CF4A8">
            <w:pPr>
              <w:pStyle w:val="11"/>
              <w:jc w:val="both"/>
              <w:rPr>
                <w:b/>
                <w:bCs/>
                <w:color w:val="auto"/>
              </w:rPr>
            </w:pPr>
            <w:r>
              <w:rPr>
                <w:b/>
                <w:bCs/>
                <w:color w:val="auto"/>
                <w:sz w:val="21"/>
              </w:rPr>
              <w:t xml:space="preserve">1.3.4 </w:t>
            </w:r>
            <w:bookmarkStart w:id="9" w:name="_Toc24043"/>
            <w:bookmarkStart w:id="10" w:name="_Toc17049"/>
            <w:bookmarkStart w:id="11" w:name="_Toc29502"/>
            <w:bookmarkStart w:id="12" w:name="_Toc112746053"/>
            <w:bookmarkStart w:id="13" w:name="_Toc12720"/>
            <w:bookmarkStart w:id="14" w:name="_Toc14890"/>
            <w:bookmarkStart w:id="15" w:name="_Toc14230"/>
            <w:bookmarkStart w:id="16" w:name="_Toc17917"/>
            <w:bookmarkStart w:id="17" w:name="_Toc22741"/>
            <w:r>
              <w:rPr>
                <w:rFonts w:hint="eastAsia"/>
                <w:b/>
                <w:bCs/>
                <w:color w:val="auto"/>
                <w:sz w:val="21"/>
              </w:rPr>
              <w:t>边界防御能力升级服务</w:t>
            </w:r>
            <w:bookmarkEnd w:id="9"/>
            <w:bookmarkEnd w:id="10"/>
            <w:bookmarkEnd w:id="11"/>
            <w:bookmarkEnd w:id="12"/>
            <w:bookmarkEnd w:id="13"/>
            <w:bookmarkEnd w:id="14"/>
            <w:bookmarkEnd w:id="15"/>
            <w:bookmarkEnd w:id="16"/>
            <w:bookmarkEnd w:id="17"/>
          </w:p>
          <w:p w14:paraId="54AB5C88">
            <w:pPr>
              <w:pStyle w:val="11"/>
              <w:ind w:firstLine="440"/>
              <w:jc w:val="both"/>
              <w:rPr>
                <w:color w:val="auto"/>
              </w:rPr>
            </w:pPr>
            <w:r>
              <w:rPr>
                <w:rFonts w:hint="eastAsia"/>
                <w:color w:val="auto"/>
                <w:sz w:val="21"/>
                <w:lang w:val="en-GB"/>
              </w:rPr>
              <w:t>边界防御能力提升服务是在现有的边界防护水平上扩充性能拓展、网络攻击监测、防病毒等模块服务</w:t>
            </w:r>
            <w:r>
              <w:rPr>
                <w:color w:val="auto"/>
                <w:sz w:val="21"/>
                <w:lang w:val="en-GB"/>
              </w:rPr>
              <w:t>，</w:t>
            </w:r>
            <w:r>
              <w:rPr>
                <w:rFonts w:hint="eastAsia"/>
                <w:color w:val="auto"/>
                <w:sz w:val="21"/>
                <w:lang w:val="en-GB"/>
              </w:rPr>
              <w:t>通过模块拓展方式，</w:t>
            </w:r>
            <w:r>
              <w:rPr>
                <w:color w:val="auto"/>
                <w:sz w:val="21"/>
                <w:lang w:val="en-GB"/>
              </w:rPr>
              <w:t>部署在Internet和内部网络之间，执行网络访问控制功能，防止外部用户对内网核心资源的非法访问，同时，也可以阻挡来自Internet的病毒、蠕虫、木马、间谍软件、恶意软件。无论使用何种Email服务器和客户端，只要使用的是标准的SMTP、POP3协议，</w:t>
            </w:r>
            <w:r>
              <w:rPr>
                <w:rFonts w:hint="eastAsia"/>
                <w:color w:val="auto"/>
                <w:sz w:val="21"/>
                <w:lang w:val="en-GB"/>
              </w:rPr>
              <w:t>边界防御能力提升服务工具</w:t>
            </w:r>
            <w:r>
              <w:rPr>
                <w:color w:val="auto"/>
                <w:sz w:val="21"/>
                <w:lang w:val="en-GB"/>
              </w:rPr>
              <w:t>可以对电子邮件中的病毒进行过滤，防止病毒通过邮件传播。</w:t>
            </w:r>
            <w:r>
              <w:rPr>
                <w:rFonts w:hint="eastAsia"/>
                <w:color w:val="auto"/>
                <w:sz w:val="21"/>
                <w:lang w:val="en-GB"/>
              </w:rPr>
              <w:t>边界防御能力提升服务工具</w:t>
            </w:r>
            <w:r>
              <w:rPr>
                <w:color w:val="auto"/>
                <w:sz w:val="21"/>
                <w:lang w:val="en-GB"/>
              </w:rPr>
              <w:t>还支持HTTP协议和FTP协议，对于Web浏览、下载、Web邮件及FTP文件传输过程中携带的病毒均可进行拦截。</w:t>
            </w:r>
            <w:r>
              <w:rPr>
                <w:rFonts w:hint="eastAsia"/>
                <w:color w:val="auto"/>
                <w:sz w:val="21"/>
                <w:lang w:val="en-GB"/>
              </w:rPr>
              <w:t>边界防御能力提升服务所采用的工具必须满足以下</w:t>
            </w:r>
            <w:r>
              <w:rPr>
                <w:color w:val="auto"/>
                <w:sz w:val="21"/>
              </w:rPr>
              <w:t>要求：</w:t>
            </w:r>
          </w:p>
          <w:p w14:paraId="0DACB4B7">
            <w:pPr>
              <w:pStyle w:val="11"/>
              <w:ind w:firstLine="440"/>
              <w:jc w:val="both"/>
              <w:rPr>
                <w:color w:val="auto"/>
              </w:rPr>
            </w:pPr>
            <w:r>
              <w:rPr>
                <w:rFonts w:hint="eastAsia"/>
                <w:color w:val="auto"/>
                <w:lang w:val="en-US" w:eastAsia="zh-CN"/>
              </w:rPr>
              <w:t>（1）</w:t>
            </w:r>
            <w:r>
              <w:rPr>
                <w:color w:val="auto"/>
              </w:rPr>
              <w:t>可</w:t>
            </w:r>
            <w:r>
              <w:rPr>
                <w:rFonts w:hint="eastAsia"/>
                <w:color w:val="auto"/>
              </w:rPr>
              <w:t>以</w:t>
            </w:r>
            <w:r>
              <w:rPr>
                <w:color w:val="auto"/>
              </w:rPr>
              <w:t>检测</w:t>
            </w:r>
            <w:r>
              <w:rPr>
                <w:rFonts w:hint="eastAsia"/>
                <w:color w:val="auto"/>
              </w:rPr>
              <w:t>和</w:t>
            </w:r>
            <w:r>
              <w:rPr>
                <w:color w:val="auto"/>
              </w:rPr>
              <w:t>阻断RedCode、Slammer、sober，Zotob、nimda等多种国内外流行的蠕虫病毒，并可通过会话数管理防御未知蠕虫病毒的攻击</w:t>
            </w:r>
            <w:r>
              <w:rPr>
                <w:rFonts w:hint="eastAsia"/>
                <w:color w:val="auto"/>
              </w:rPr>
              <w:t>。</w:t>
            </w:r>
          </w:p>
          <w:p w14:paraId="3A3DD3CE">
            <w:pPr>
              <w:pStyle w:val="11"/>
              <w:ind w:firstLine="440"/>
              <w:jc w:val="both"/>
              <w:rPr>
                <w:color w:val="auto"/>
              </w:rPr>
            </w:pPr>
            <w:r>
              <w:rPr>
                <w:rFonts w:hint="eastAsia"/>
                <w:color w:val="auto"/>
                <w:lang w:val="en-US" w:eastAsia="zh-CN"/>
              </w:rPr>
              <w:t>（2）</w:t>
            </w:r>
            <w:r>
              <w:rPr>
                <w:color w:val="auto"/>
              </w:rPr>
              <w:t>可检测和阻断Sub7、netbus、bandook、Doly、GateCrasher等多种国内外主流的后门程序</w:t>
            </w:r>
            <w:r>
              <w:rPr>
                <w:rFonts w:hint="eastAsia"/>
                <w:color w:val="auto"/>
              </w:rPr>
              <w:t>。</w:t>
            </w:r>
          </w:p>
          <w:p w14:paraId="0F540F77">
            <w:pPr>
              <w:pStyle w:val="11"/>
              <w:ind w:firstLine="440"/>
              <w:jc w:val="both"/>
              <w:rPr>
                <w:color w:val="auto"/>
              </w:rPr>
            </w:pPr>
            <w:r>
              <w:rPr>
                <w:rFonts w:hint="eastAsia"/>
                <w:color w:val="auto"/>
                <w:lang w:val="en-US" w:eastAsia="zh-CN"/>
              </w:rPr>
              <w:t>（3）</w:t>
            </w:r>
            <w:r>
              <w:rPr>
                <w:color w:val="auto"/>
              </w:rPr>
              <w:t>可以检测和阻断灰鸽子、Storm、Duntek等国内外主流的木马。</w:t>
            </w:r>
          </w:p>
          <w:p w14:paraId="54E7FF31">
            <w:pPr>
              <w:pStyle w:val="11"/>
              <w:ind w:firstLine="440"/>
              <w:jc w:val="both"/>
              <w:rPr>
                <w:color w:val="auto"/>
              </w:rPr>
            </w:pPr>
            <w:r>
              <w:rPr>
                <w:rFonts w:hint="eastAsia"/>
                <w:color w:val="auto"/>
                <w:lang w:val="en-US" w:eastAsia="zh-CN"/>
              </w:rPr>
              <w:t>（4）</w:t>
            </w:r>
            <w:r>
              <w:rPr>
                <w:color w:val="auto"/>
              </w:rPr>
              <w:t>可以检测和阻断IECodec、Spybuddy等国内外主流的间谍软件。</w:t>
            </w:r>
          </w:p>
          <w:p w14:paraId="25AA0CC7">
            <w:pPr>
              <w:pStyle w:val="11"/>
              <w:ind w:firstLine="440"/>
              <w:jc w:val="both"/>
              <w:rPr>
                <w:color w:val="auto"/>
              </w:rPr>
            </w:pPr>
            <w:r>
              <w:rPr>
                <w:rFonts w:hint="eastAsia"/>
                <w:color w:val="auto"/>
                <w:lang w:val="en-US" w:eastAsia="zh-CN"/>
              </w:rPr>
              <w:t>（5）</w:t>
            </w:r>
            <w:r>
              <w:rPr>
                <w:color w:val="auto"/>
              </w:rPr>
              <w:t>可以检测和阻断CGI、Unicode等间谍软件</w:t>
            </w:r>
            <w:r>
              <w:rPr>
                <w:rFonts w:hint="eastAsia"/>
                <w:color w:val="auto"/>
              </w:rPr>
              <w:t>以及其他</w:t>
            </w:r>
            <w:r>
              <w:rPr>
                <w:color w:val="auto"/>
              </w:rPr>
              <w:t xml:space="preserve"> Web攻击</w:t>
            </w:r>
            <w:r>
              <w:rPr>
                <w:rFonts w:hint="eastAsia"/>
                <w:color w:val="auto"/>
              </w:rPr>
              <w:t>。</w:t>
            </w:r>
          </w:p>
          <w:p w14:paraId="0192082C">
            <w:pPr>
              <w:pStyle w:val="11"/>
              <w:ind w:firstLine="440"/>
              <w:jc w:val="both"/>
              <w:rPr>
                <w:color w:val="auto"/>
              </w:rPr>
            </w:pPr>
            <w:r>
              <w:rPr>
                <w:rFonts w:hint="eastAsia"/>
                <w:color w:val="auto"/>
                <w:lang w:val="en-US" w:eastAsia="zh-CN"/>
              </w:rPr>
              <w:t>（6）</w:t>
            </w:r>
            <w:r>
              <w:rPr>
                <w:color w:val="auto"/>
              </w:rPr>
              <w:t>可以检测和阻断ARP攻击、UDPFlooding、SynFlooding 等网络层拒绝服务攻击，还可以处理CC，DNS Query Flooding等多种应用拒绝服务攻击。</w:t>
            </w:r>
          </w:p>
          <w:p w14:paraId="4B27A719">
            <w:pPr>
              <w:pStyle w:val="11"/>
              <w:ind w:firstLine="440"/>
              <w:jc w:val="both"/>
              <w:rPr>
                <w:color w:val="auto"/>
              </w:rPr>
            </w:pPr>
            <w:r>
              <w:rPr>
                <w:rFonts w:hint="eastAsia"/>
                <w:color w:val="auto"/>
                <w:lang w:val="en-US" w:eastAsia="zh-CN"/>
              </w:rPr>
              <w:t>（</w:t>
            </w:r>
            <w:r>
              <w:rPr>
                <w:rFonts w:hint="eastAsia"/>
                <w:color w:val="auto"/>
                <w:sz w:val="21"/>
                <w:lang w:val="en-US" w:eastAsia="zh-CN"/>
              </w:rPr>
              <w:t>7）</w:t>
            </w:r>
            <w:r>
              <w:rPr>
                <w:rFonts w:hint="eastAsia"/>
                <w:color w:val="auto"/>
                <w:sz w:val="21"/>
              </w:rPr>
              <w:t>对所有的攻击行为不但可以检测和阻断，同时支持审计、报警、限值带宽等防御手段</w:t>
            </w:r>
            <w:r>
              <w:rPr>
                <w:color w:val="auto"/>
                <w:sz w:val="21"/>
              </w:rPr>
              <w:t>。</w:t>
            </w:r>
          </w:p>
          <w:p w14:paraId="671349AF">
            <w:pPr>
              <w:pStyle w:val="11"/>
              <w:jc w:val="left"/>
              <w:rPr>
                <w:b/>
                <w:bCs/>
                <w:color w:val="auto"/>
              </w:rPr>
            </w:pPr>
            <w:r>
              <w:rPr>
                <w:b/>
                <w:bCs/>
                <w:color w:val="auto"/>
                <w:sz w:val="21"/>
              </w:rPr>
              <w:t>1.3.5 全网一体化安全运营服务</w:t>
            </w:r>
          </w:p>
          <w:p w14:paraId="132321F7">
            <w:pPr>
              <w:pStyle w:val="11"/>
              <w:ind w:firstLine="440"/>
              <w:jc w:val="both"/>
              <w:rPr>
                <w:color w:val="auto"/>
              </w:rPr>
            </w:pPr>
            <w:r>
              <w:rPr>
                <w:color w:val="auto"/>
                <w:sz w:val="21"/>
              </w:rPr>
              <w:t>（1）</w:t>
            </w:r>
            <w:r>
              <w:rPr>
                <w:rFonts w:hint="eastAsia"/>
                <w:color w:val="auto"/>
                <w:sz w:val="21"/>
              </w:rPr>
              <w:t>全网一体化安全运营服务可灵活的对接</w:t>
            </w:r>
            <w:r>
              <w:rPr>
                <w:rFonts w:hint="eastAsia"/>
                <w:color w:val="auto"/>
                <w:sz w:val="21"/>
                <w:lang w:eastAsia="zh-CN"/>
              </w:rPr>
              <w:t>采购人</w:t>
            </w:r>
            <w:r>
              <w:rPr>
                <w:rFonts w:hint="eastAsia"/>
                <w:color w:val="auto"/>
                <w:sz w:val="21"/>
              </w:rPr>
              <w:t>网络中的安全设备或安全子系统，实现各类型多厂商安全监测防护资源的整合，通过现有及待建安全子系统的对接，相关服务工具可覆盖全网资产及业务运行信息、脆弱性信息、攻击行为信息、风险信息、异常流量信息，同时结合威胁情报订阅功能，在此基础上进行综合分析呈现，通过攻击链的描绘，形成包括被攻击对象和攻击源识别、脆弱性识别、攻击过程及影响分析、安全风险态势等在内的多视角全方位的全网一体化安全运营服务能力。</w:t>
            </w:r>
          </w:p>
          <w:p w14:paraId="1F816A2A">
            <w:pPr>
              <w:pStyle w:val="11"/>
              <w:ind w:firstLine="440"/>
              <w:jc w:val="both"/>
              <w:rPr>
                <w:color w:val="auto"/>
              </w:rPr>
            </w:pPr>
            <w:r>
              <w:rPr>
                <w:color w:val="auto"/>
                <w:sz w:val="21"/>
              </w:rPr>
              <w:t>（2）</w:t>
            </w:r>
            <w:r>
              <w:rPr>
                <w:rFonts w:hint="eastAsia"/>
                <w:color w:val="auto"/>
                <w:sz w:val="21"/>
              </w:rPr>
              <w:t>全网一体化安全运营服务是构建在现有的安全防护设施之上的平台服务，可以兼容整合</w:t>
            </w:r>
            <w:r>
              <w:rPr>
                <w:rFonts w:hint="eastAsia"/>
                <w:color w:val="auto"/>
                <w:sz w:val="21"/>
                <w:lang w:eastAsia="zh-CN"/>
              </w:rPr>
              <w:t>采购人</w:t>
            </w:r>
            <w:r>
              <w:rPr>
                <w:rFonts w:hint="eastAsia"/>
                <w:color w:val="auto"/>
                <w:sz w:val="21"/>
              </w:rPr>
              <w:t>网络中现有的或待建设的各类安全设备、安全子系统或任何安全数据信息源，如防火墙、</w:t>
            </w:r>
            <w:r>
              <w:rPr>
                <w:color w:val="auto"/>
                <w:sz w:val="21"/>
              </w:rPr>
              <w:t>IDS</w:t>
            </w:r>
            <w:r>
              <w:rPr>
                <w:rFonts w:hint="eastAsia"/>
                <w:color w:val="auto"/>
                <w:sz w:val="21"/>
              </w:rPr>
              <w:t>、防病毒、</w:t>
            </w:r>
            <w:r>
              <w:rPr>
                <w:color w:val="auto"/>
                <w:sz w:val="21"/>
              </w:rPr>
              <w:t>WAF</w:t>
            </w:r>
            <w:r>
              <w:rPr>
                <w:rFonts w:hint="eastAsia"/>
                <w:color w:val="auto"/>
                <w:sz w:val="21"/>
              </w:rPr>
              <w:t>、</w:t>
            </w:r>
            <w:r>
              <w:rPr>
                <w:color w:val="auto"/>
                <w:sz w:val="21"/>
              </w:rPr>
              <w:t>APT</w:t>
            </w:r>
            <w:r>
              <w:rPr>
                <w:rFonts w:hint="eastAsia"/>
                <w:color w:val="auto"/>
                <w:sz w:val="21"/>
              </w:rPr>
              <w:t>、蜜罐系统以及威胁情报订阅信息等。基于任意安全设备及数据源的对接，全网一体化安全运营服务采用相关工具通过安全数据的融合分析及呈现实现态势感知能力，包括态势信息的集中采集获取、海量安全态势信息的大数据存储、面向态势感知的大数据集中分析以及态势感知的可视化呈现。</w:t>
            </w:r>
          </w:p>
          <w:p w14:paraId="514E607E">
            <w:pPr>
              <w:pStyle w:val="11"/>
              <w:ind w:firstLine="440"/>
              <w:jc w:val="both"/>
              <w:rPr>
                <w:color w:val="auto"/>
              </w:rPr>
            </w:pPr>
            <w:r>
              <w:rPr>
                <w:color w:val="auto"/>
                <w:sz w:val="21"/>
              </w:rPr>
              <w:t>（3）全网一体化安全运营服务的构成</w:t>
            </w:r>
          </w:p>
          <w:p w14:paraId="27D35646">
            <w:pPr>
              <w:pStyle w:val="11"/>
              <w:ind w:firstLine="440"/>
              <w:jc w:val="both"/>
              <w:rPr>
                <w:color w:val="auto"/>
              </w:rPr>
            </w:pPr>
            <w:r>
              <w:rPr>
                <w:color w:val="auto"/>
                <w:sz w:val="21"/>
              </w:rPr>
              <w:t>1）</w:t>
            </w:r>
            <w:r>
              <w:rPr>
                <w:rFonts w:hint="eastAsia"/>
                <w:color w:val="auto"/>
                <w:sz w:val="21"/>
              </w:rPr>
              <w:t>全网一体化安全运营服务是围绕</w:t>
            </w:r>
            <w:r>
              <w:rPr>
                <w:rFonts w:hint="eastAsia"/>
                <w:color w:val="auto"/>
                <w:sz w:val="21"/>
                <w:lang w:eastAsia="zh-CN"/>
              </w:rPr>
              <w:t>采购人</w:t>
            </w:r>
            <w:r>
              <w:rPr>
                <w:rFonts w:hint="eastAsia"/>
                <w:color w:val="auto"/>
                <w:sz w:val="21"/>
              </w:rPr>
              <w:t>系统为被防护对象，收集影响业务安全的各维度要素信息，进而综合分析挖掘、可视化呈现，对影响业务安全的攻击、威胁、风险、运行等态势形成的持续、动态的感知响应。</w:t>
            </w:r>
          </w:p>
          <w:p w14:paraId="0754DFCB">
            <w:pPr>
              <w:pStyle w:val="11"/>
              <w:ind w:firstLine="440"/>
              <w:jc w:val="both"/>
              <w:rPr>
                <w:color w:val="auto"/>
                <w:sz w:val="21"/>
              </w:rPr>
            </w:pPr>
            <w:r>
              <w:rPr>
                <w:color w:val="auto"/>
                <w:sz w:val="21"/>
              </w:rPr>
              <w:t>2）</w:t>
            </w:r>
            <w:r>
              <w:rPr>
                <w:rFonts w:hint="eastAsia"/>
                <w:color w:val="auto"/>
                <w:sz w:val="21"/>
              </w:rPr>
              <w:t>全网一体化安全运营服务是一个全面信息收集、融合处理感知安全状态及风险并进行态势可视化呈现的过程，该过程是动态持续的，通过连续的信息采集分析不断更新对目标网络安全态势的认知理解，掌握安全状态、了解发展规律、进行提前预警。</w:t>
            </w:r>
          </w:p>
          <w:p w14:paraId="39518E6A">
            <w:pPr>
              <w:pStyle w:val="11"/>
              <w:ind w:firstLine="440"/>
              <w:jc w:val="both"/>
              <w:rPr>
                <w:color w:val="auto"/>
              </w:rPr>
            </w:pPr>
            <w:r>
              <w:rPr>
                <w:color w:val="auto"/>
                <w:sz w:val="21"/>
              </w:rPr>
              <w:t>3）</w:t>
            </w:r>
            <w:r>
              <w:rPr>
                <w:rFonts w:hint="eastAsia"/>
                <w:color w:val="auto"/>
                <w:sz w:val="21"/>
              </w:rPr>
              <w:t>全网一体化安全运营服务要处理的是海量多维的信息，要进行多方位的关联及发掘分析，要呈现的也是多对象、多维度、多视角的安全态势。鉴于此，全网一体化安全运营服务根据业务需求，将安全态势涉及的各类安全要素和监视角度进行了梳理归纳，形成了由八个维度组合构成的态势感知体系。这八个维度分别是资产态势、攻击态势、运行感知、脆弱性态势、风险态势、威胁态势、网站态势、流态势，融合这八个感知体系形成有面向综合态势监视的态势总览</w:t>
            </w:r>
            <w:r>
              <w:rPr>
                <w:color w:val="auto"/>
                <w:sz w:val="21"/>
              </w:rPr>
              <w:t>。</w:t>
            </w:r>
          </w:p>
          <w:p w14:paraId="18AF9A64">
            <w:pPr>
              <w:pStyle w:val="11"/>
              <w:ind w:firstLine="440"/>
              <w:jc w:val="both"/>
              <w:rPr>
                <w:color w:val="auto"/>
              </w:rPr>
            </w:pPr>
            <w:r>
              <w:rPr>
                <w:color w:val="auto"/>
                <w:sz w:val="21"/>
              </w:rPr>
              <w:t>4）</w:t>
            </w:r>
            <w:r>
              <w:rPr>
                <w:rFonts w:hint="eastAsia"/>
                <w:color w:val="auto"/>
                <w:sz w:val="21"/>
              </w:rPr>
              <w:t>通过该八个维度的感知，全网一体化安全运营服务可以为</w:t>
            </w:r>
            <w:r>
              <w:rPr>
                <w:rFonts w:hint="eastAsia"/>
                <w:color w:val="auto"/>
                <w:sz w:val="21"/>
                <w:lang w:eastAsia="zh-CN"/>
              </w:rPr>
              <w:t>采购人</w:t>
            </w:r>
            <w:r>
              <w:rPr>
                <w:rFonts w:hint="eastAsia"/>
                <w:color w:val="auto"/>
                <w:sz w:val="21"/>
              </w:rPr>
              <w:t>呈现出一幅较为通用和完整的网络安全态势的全景图。并且在这八个维度的专项分析呈现和扩展外延中，</w:t>
            </w:r>
            <w:r>
              <w:rPr>
                <w:rFonts w:hint="eastAsia"/>
                <w:color w:val="auto"/>
                <w:sz w:val="21"/>
                <w:lang w:eastAsia="zh-CN"/>
              </w:rPr>
              <w:t>采购人</w:t>
            </w:r>
            <w:r>
              <w:rPr>
                <w:rFonts w:hint="eastAsia"/>
                <w:color w:val="auto"/>
                <w:sz w:val="21"/>
              </w:rPr>
              <w:t>可以聚焦整合、按需搭配，形成适合自身业务需要和安全态势监控需要的态势感知系统。</w:t>
            </w:r>
          </w:p>
          <w:p w14:paraId="15FA5676">
            <w:pPr>
              <w:pStyle w:val="11"/>
              <w:ind w:firstLine="440"/>
              <w:jc w:val="both"/>
              <w:rPr>
                <w:color w:val="auto"/>
              </w:rPr>
            </w:pPr>
            <w:r>
              <w:rPr>
                <w:color w:val="auto"/>
                <w:sz w:val="21"/>
              </w:rPr>
              <w:t>（4）遵从经典模型实践态势感知</w:t>
            </w:r>
          </w:p>
          <w:p w14:paraId="5E49CA90">
            <w:pPr>
              <w:pStyle w:val="11"/>
              <w:ind w:firstLine="440"/>
              <w:jc w:val="both"/>
              <w:rPr>
                <w:color w:val="auto"/>
              </w:rPr>
            </w:pPr>
            <w:r>
              <w:rPr>
                <w:color w:val="auto"/>
                <w:sz w:val="21"/>
              </w:rPr>
              <w:t>1）</w:t>
            </w:r>
            <w:r>
              <w:rPr>
                <w:rFonts w:hint="eastAsia"/>
                <w:color w:val="auto"/>
                <w:sz w:val="21"/>
              </w:rPr>
              <w:t>全网一体化安全运营服务的经典定义为：在大规模系统环境中，对能够引起系统状态发生变化的安全要素进行获取、理解、显示以及预测未来的发展趋势。</w:t>
            </w:r>
          </w:p>
          <w:p w14:paraId="132C7F00">
            <w:pPr>
              <w:pStyle w:val="11"/>
              <w:ind w:firstLine="440"/>
              <w:jc w:val="both"/>
              <w:rPr>
                <w:color w:val="auto"/>
                <w:sz w:val="21"/>
              </w:rPr>
            </w:pPr>
            <w:r>
              <w:rPr>
                <w:color w:val="auto"/>
                <w:sz w:val="21"/>
              </w:rPr>
              <w:t>2）通过定义，得出由“态势要素获取”“态势理解”“态势预测”组成的三级模型。通过态势要素获取，获得必要的数据，然后通过数据分析进行态势观察理解，进而实现对未来短期时间内的态势预测。</w:t>
            </w:r>
          </w:p>
          <w:p w14:paraId="20F1D730">
            <w:pPr>
              <w:pStyle w:val="11"/>
              <w:jc w:val="both"/>
              <w:rPr>
                <w:b/>
                <w:bCs/>
                <w:color w:val="auto"/>
              </w:rPr>
            </w:pPr>
            <w:r>
              <w:rPr>
                <w:b/>
                <w:bCs/>
                <w:color w:val="auto"/>
                <w:sz w:val="21"/>
              </w:rPr>
              <w:t xml:space="preserve">1.3.6 </w:t>
            </w:r>
            <w:bookmarkStart w:id="18" w:name="_Toc14213"/>
            <w:bookmarkStart w:id="19" w:name="_Toc27348"/>
            <w:bookmarkStart w:id="20" w:name="_Toc16081"/>
            <w:bookmarkStart w:id="21" w:name="_Toc112746055"/>
            <w:bookmarkStart w:id="22" w:name="_Toc6291"/>
            <w:bookmarkStart w:id="23" w:name="_Toc27900"/>
            <w:bookmarkStart w:id="24" w:name="_Toc21554"/>
            <w:bookmarkStart w:id="25" w:name="_Toc16396"/>
            <w:bookmarkStart w:id="26" w:name="_Toc104303211"/>
            <w:bookmarkStart w:id="27" w:name="_Toc26710"/>
            <w:r>
              <w:rPr>
                <w:rFonts w:hint="eastAsia"/>
                <w:b/>
                <w:bCs/>
                <w:color w:val="auto"/>
                <w:sz w:val="21"/>
              </w:rPr>
              <w:t>国密证书管理服务</w:t>
            </w:r>
            <w:bookmarkEnd w:id="18"/>
            <w:bookmarkEnd w:id="19"/>
            <w:bookmarkEnd w:id="20"/>
            <w:bookmarkEnd w:id="21"/>
            <w:bookmarkEnd w:id="22"/>
            <w:bookmarkEnd w:id="23"/>
            <w:bookmarkEnd w:id="24"/>
            <w:bookmarkEnd w:id="25"/>
            <w:bookmarkEnd w:id="26"/>
            <w:bookmarkEnd w:id="27"/>
          </w:p>
          <w:p w14:paraId="0C6BA609">
            <w:pPr>
              <w:pStyle w:val="11"/>
              <w:ind w:firstLine="440"/>
              <w:jc w:val="both"/>
              <w:rPr>
                <w:color w:val="auto"/>
              </w:rPr>
            </w:pPr>
            <w:r>
              <w:rPr>
                <w:color w:val="auto"/>
                <w:sz w:val="21"/>
              </w:rPr>
              <w:t>（1）国密证书管理服务</w:t>
            </w:r>
            <w:r>
              <w:rPr>
                <w:rFonts w:hint="eastAsia"/>
                <w:color w:val="auto"/>
                <w:sz w:val="21"/>
              </w:rPr>
              <w:t>包括证书生成、签发和管理。通过使用符合国家密码管理局规定的国密算法，如</w:t>
            </w:r>
            <w:r>
              <w:rPr>
                <w:color w:val="auto"/>
                <w:sz w:val="21"/>
              </w:rPr>
              <w:t>SM2、SM3和SM4</w:t>
            </w:r>
            <w:r>
              <w:rPr>
                <w:rFonts w:hint="eastAsia"/>
                <w:color w:val="auto"/>
                <w:sz w:val="21"/>
              </w:rPr>
              <w:t>，并采用双证书的部署方式，提供更高级别的数据加密和数据完整性验证，以确保您的数据在传输过程中的安全性。</w:t>
            </w:r>
          </w:p>
          <w:p w14:paraId="20BAC9B2">
            <w:pPr>
              <w:pStyle w:val="11"/>
              <w:ind w:firstLine="440"/>
              <w:jc w:val="both"/>
              <w:rPr>
                <w:color w:val="auto"/>
              </w:rPr>
            </w:pPr>
            <w:r>
              <w:rPr>
                <w:color w:val="auto"/>
                <w:sz w:val="21"/>
              </w:rPr>
              <w:t>（2）</w:t>
            </w:r>
            <w:r>
              <w:rPr>
                <w:rFonts w:hint="eastAsia"/>
                <w:color w:val="auto"/>
                <w:sz w:val="21"/>
              </w:rPr>
              <w:t>在注重数据保护的同时，也能保持与传统系统和设备的兼容性。逐步使用国密</w:t>
            </w:r>
            <w:r>
              <w:rPr>
                <w:color w:val="auto"/>
                <w:sz w:val="21"/>
              </w:rPr>
              <w:t>证书来提升数据保护水平</w:t>
            </w:r>
            <w:r>
              <w:rPr>
                <w:rFonts w:hint="eastAsia"/>
                <w:color w:val="auto"/>
                <w:sz w:val="21"/>
              </w:rPr>
              <w:t>，使得与各种环境进行安全通信更加便捷并确保与其进行安全通信。</w:t>
            </w:r>
          </w:p>
          <w:p w14:paraId="2F794229">
            <w:pPr>
              <w:pStyle w:val="11"/>
              <w:jc w:val="both"/>
              <w:rPr>
                <w:b/>
                <w:bCs/>
                <w:color w:val="auto"/>
              </w:rPr>
            </w:pPr>
            <w:r>
              <w:rPr>
                <w:b/>
                <w:bCs/>
                <w:color w:val="auto"/>
                <w:sz w:val="21"/>
              </w:rPr>
              <w:t>1.3.7</w:t>
            </w:r>
            <w:r>
              <w:rPr>
                <w:rFonts w:hint="eastAsia"/>
                <w:b/>
                <w:bCs/>
                <w:color w:val="auto"/>
                <w:sz w:val="21"/>
              </w:rPr>
              <w:t>数据安全加密能力升级服务</w:t>
            </w:r>
          </w:p>
          <w:p w14:paraId="0A8D8CC5">
            <w:pPr>
              <w:pStyle w:val="11"/>
              <w:ind w:firstLine="440"/>
              <w:jc w:val="both"/>
              <w:rPr>
                <w:color w:val="auto"/>
              </w:rPr>
            </w:pPr>
            <w:r>
              <w:rPr>
                <w:color w:val="auto"/>
                <w:sz w:val="21"/>
              </w:rPr>
              <w:t>（1）</w:t>
            </w:r>
            <w:r>
              <w:rPr>
                <w:rFonts w:hint="eastAsia"/>
                <w:color w:val="auto"/>
                <w:sz w:val="21"/>
              </w:rPr>
              <w:t>数据安全加密能力升级服务的目标是建立以国产密码为主要支撑的信息安全保障体系，实现本单位各系统关键业务信息的机密性、完整性保护，实现国产密码在单位各业务系统中的全面应用。</w:t>
            </w:r>
          </w:p>
          <w:p w14:paraId="23A72DA1">
            <w:pPr>
              <w:pStyle w:val="11"/>
              <w:ind w:firstLine="440"/>
              <w:jc w:val="both"/>
              <w:rPr>
                <w:color w:val="auto"/>
              </w:rPr>
            </w:pPr>
            <w:r>
              <w:rPr>
                <w:color w:val="auto"/>
                <w:sz w:val="21"/>
              </w:rPr>
              <w:t>（2）</w:t>
            </w:r>
            <w:r>
              <w:rPr>
                <w:rFonts w:hint="eastAsia"/>
                <w:color w:val="auto"/>
                <w:sz w:val="21"/>
              </w:rPr>
              <w:t>本服务基于国产密码体系，采用密码资源池平台以及密钥管理系统、云服务器密码机构建面向</w:t>
            </w:r>
            <w:r>
              <w:rPr>
                <w:rFonts w:hint="eastAsia"/>
                <w:color w:val="auto"/>
                <w:sz w:val="21"/>
                <w:lang w:eastAsia="zh-CN"/>
              </w:rPr>
              <w:t>采购人</w:t>
            </w:r>
            <w:r>
              <w:rPr>
                <w:rFonts w:hint="eastAsia"/>
                <w:color w:val="auto"/>
                <w:sz w:val="21"/>
              </w:rPr>
              <w:t>应用系统的加密服务平台，在独立的密钥管理基础设施管控下，对各工作人员提供安全认证和数据二次加密服务，在加密网络传输的基础上，有效提升业务应用的安全性，解决</w:t>
            </w:r>
            <w:r>
              <w:rPr>
                <w:rFonts w:hint="eastAsia"/>
                <w:color w:val="auto"/>
                <w:sz w:val="21"/>
                <w:lang w:eastAsia="zh-CN"/>
              </w:rPr>
              <w:t>采购人</w:t>
            </w:r>
            <w:r>
              <w:rPr>
                <w:rFonts w:hint="eastAsia"/>
                <w:color w:val="auto"/>
                <w:sz w:val="21"/>
              </w:rPr>
              <w:t>网络及应用系统的商用密码领域的缺失。对于移动终端设备，采用密码服务中间件，配合云密码资源平台，为移动端提供密码服务。</w:t>
            </w:r>
          </w:p>
          <w:p w14:paraId="4A77410B">
            <w:pPr>
              <w:pStyle w:val="11"/>
              <w:ind w:firstLine="440"/>
              <w:jc w:val="both"/>
              <w:rPr>
                <w:color w:val="auto"/>
              </w:rPr>
            </w:pPr>
            <w:r>
              <w:rPr>
                <w:color w:val="auto"/>
                <w:sz w:val="21"/>
              </w:rPr>
              <w:t>（3）数据安全加密能力提升服务所采用的工具需要有以下要求：</w:t>
            </w:r>
          </w:p>
          <w:p w14:paraId="5BB8E180">
            <w:pPr>
              <w:pStyle w:val="11"/>
              <w:ind w:firstLine="440"/>
              <w:jc w:val="both"/>
              <w:rPr>
                <w:color w:val="auto"/>
              </w:rPr>
            </w:pPr>
            <w:r>
              <w:rPr>
                <w:color w:val="auto"/>
                <w:sz w:val="21"/>
              </w:rPr>
              <w:t>1）统一的密码管理</w:t>
            </w:r>
          </w:p>
          <w:p w14:paraId="0E62A449">
            <w:pPr>
              <w:pStyle w:val="11"/>
              <w:ind w:firstLine="420"/>
              <w:jc w:val="both"/>
              <w:rPr>
                <w:color w:val="auto"/>
              </w:rPr>
            </w:pPr>
            <w:r>
              <w:rPr>
                <w:rFonts w:hint="eastAsia"/>
                <w:color w:val="auto"/>
              </w:rPr>
              <w:t>将密码设备进行集中统一管理，实现对密码设备的多应用系统共享，大幅度减少密码设备的数量，设备采用热备份或负载均衡的模式，可进行在线的设备增加、删除和故障设备自动卸载，此外，可以对设备健康状态的实时监控。</w:t>
            </w:r>
          </w:p>
          <w:p w14:paraId="28094D11">
            <w:pPr>
              <w:pStyle w:val="11"/>
              <w:ind w:firstLine="440"/>
              <w:jc w:val="both"/>
              <w:rPr>
                <w:color w:val="auto"/>
              </w:rPr>
            </w:pPr>
            <w:r>
              <w:rPr>
                <w:color w:val="auto"/>
                <w:sz w:val="21"/>
              </w:rPr>
              <w:t>2）统一的应用API</w:t>
            </w:r>
          </w:p>
          <w:p w14:paraId="526C09B5">
            <w:pPr>
              <w:pStyle w:val="11"/>
              <w:ind w:firstLine="420"/>
              <w:jc w:val="both"/>
              <w:rPr>
                <w:color w:val="auto"/>
              </w:rPr>
            </w:pPr>
            <w:r>
              <w:rPr>
                <w:rFonts w:hint="eastAsia"/>
                <w:color w:val="auto"/>
              </w:rPr>
              <w:t>集成密码机的指令，提供统一的应用层开发接口，应用系统直接选用需要的功能进行简单封装，不需要单独开发API。</w:t>
            </w:r>
          </w:p>
          <w:p w14:paraId="5CBF9045">
            <w:pPr>
              <w:pStyle w:val="11"/>
              <w:ind w:firstLine="440"/>
              <w:jc w:val="both"/>
              <w:rPr>
                <w:color w:val="auto"/>
              </w:rPr>
            </w:pPr>
            <w:r>
              <w:rPr>
                <w:color w:val="auto"/>
                <w:sz w:val="21"/>
              </w:rPr>
              <w:t>3）安全的密钥管理特色</w:t>
            </w:r>
          </w:p>
          <w:p w14:paraId="7A4EC725">
            <w:pPr>
              <w:pStyle w:val="11"/>
              <w:ind w:firstLine="420"/>
              <w:jc w:val="both"/>
              <w:rPr>
                <w:color w:val="auto"/>
              </w:rPr>
            </w:pPr>
            <w:r>
              <w:rPr>
                <w:rFonts w:hint="eastAsia"/>
                <w:color w:val="auto"/>
              </w:rPr>
              <w:t>将密钥使用和安全管理分离，密钥采用集中管理（产生、分发、使用、存放、销毁等），可动态配置密钥属性。</w:t>
            </w:r>
          </w:p>
          <w:p w14:paraId="782DF71E">
            <w:pPr>
              <w:pStyle w:val="11"/>
              <w:ind w:firstLine="440"/>
              <w:jc w:val="both"/>
              <w:rPr>
                <w:color w:val="auto"/>
              </w:rPr>
            </w:pPr>
            <w:r>
              <w:rPr>
                <w:color w:val="auto"/>
                <w:sz w:val="21"/>
              </w:rPr>
              <w:t>4）多算法支持</w:t>
            </w:r>
          </w:p>
          <w:p w14:paraId="5CFBD543">
            <w:pPr>
              <w:pStyle w:val="11"/>
              <w:ind w:firstLine="420"/>
              <w:jc w:val="both"/>
              <w:rPr>
                <w:color w:val="auto"/>
              </w:rPr>
            </w:pPr>
            <w:r>
              <w:rPr>
                <w:rFonts w:hint="eastAsia"/>
                <w:color w:val="auto"/>
              </w:rPr>
              <w:t>密码服务平台和密码机设备支持通用的国际算法（RSA、DES、MD5等）和国产密码算法（SM2、SM3、SM4），功能场景包括加解密数据、MAC计算和校验等。</w:t>
            </w:r>
          </w:p>
          <w:p w14:paraId="2D02616E">
            <w:pPr>
              <w:pStyle w:val="11"/>
              <w:jc w:val="both"/>
              <w:rPr>
                <w:color w:val="auto"/>
              </w:rPr>
            </w:pPr>
            <w:r>
              <w:rPr>
                <w:color w:val="auto"/>
                <w:sz w:val="21"/>
              </w:rPr>
              <w:t>1.4 服务响应要求</w:t>
            </w:r>
          </w:p>
          <w:p w14:paraId="67A3004C">
            <w:pPr>
              <w:pStyle w:val="11"/>
              <w:ind w:firstLine="440"/>
              <w:jc w:val="both"/>
              <w:rPr>
                <w:color w:val="auto"/>
              </w:rPr>
            </w:pPr>
            <w:r>
              <w:rPr>
                <w:color w:val="auto"/>
                <w:sz w:val="21"/>
              </w:rPr>
              <w:t>（1）技术支持服务</w:t>
            </w:r>
          </w:p>
          <w:p w14:paraId="66617B44">
            <w:pPr>
              <w:pStyle w:val="11"/>
              <w:ind w:firstLine="440"/>
              <w:jc w:val="both"/>
              <w:rPr>
                <w:color w:val="auto"/>
                <w:sz w:val="21"/>
              </w:rPr>
            </w:pPr>
            <w:r>
              <w:rPr>
                <w:color w:val="auto"/>
                <w:sz w:val="21"/>
              </w:rPr>
              <w:t>1）</w:t>
            </w:r>
            <w:r>
              <w:rPr>
                <w:rFonts w:hint="eastAsia"/>
                <w:color w:val="auto"/>
                <w:sz w:val="21"/>
              </w:rPr>
              <w:t>维护期内通过各种方式为解决系统使用服务，设立客户支持中心，配备足够的专业技术人员解答提出的问题，提供</w:t>
            </w:r>
            <w:r>
              <w:rPr>
                <w:color w:val="auto"/>
                <w:sz w:val="21"/>
              </w:rPr>
              <w:t>7×24小时服务热线电话。</w:t>
            </w:r>
          </w:p>
          <w:p w14:paraId="70E3156C">
            <w:pPr>
              <w:pStyle w:val="11"/>
              <w:ind w:firstLine="440"/>
              <w:jc w:val="both"/>
              <w:rPr>
                <w:color w:val="auto"/>
              </w:rPr>
            </w:pPr>
            <w:r>
              <w:rPr>
                <w:color w:val="auto"/>
                <w:sz w:val="21"/>
              </w:rPr>
              <w:t>2）</w:t>
            </w:r>
            <w:r>
              <w:rPr>
                <w:rFonts w:hint="eastAsia"/>
                <w:color w:val="auto"/>
                <w:sz w:val="21"/>
              </w:rPr>
              <w:t>维护期内在收到的电话、电子邮件、传真等方式的请求后。提供电话支持服务对在日常使用系统功能和一般性网络故障分析服务，以及在征求同意的前提下，可通过远程登陆的方式解决问题。电话支持和远程服务的类型和响应时间如下</w:t>
            </w:r>
            <w:r>
              <w:rPr>
                <w:color w:val="auto"/>
                <w:sz w:val="21"/>
              </w:rPr>
              <w:t>：网络故障分析小于1小时；系统功能使用小于1小时；系统软硬件故障小于2小时。</w:t>
            </w:r>
          </w:p>
          <w:p w14:paraId="4F4F3659">
            <w:pPr>
              <w:pStyle w:val="11"/>
              <w:ind w:firstLine="440"/>
              <w:jc w:val="both"/>
              <w:rPr>
                <w:color w:val="auto"/>
              </w:rPr>
            </w:pPr>
            <w:r>
              <w:rPr>
                <w:color w:val="auto"/>
                <w:sz w:val="21"/>
              </w:rPr>
              <w:t>（2）设备可用性保障服务</w:t>
            </w:r>
          </w:p>
          <w:p w14:paraId="6E7ECA07">
            <w:pPr>
              <w:pStyle w:val="11"/>
              <w:ind w:firstLine="440"/>
              <w:jc w:val="both"/>
              <w:rPr>
                <w:color w:val="auto"/>
              </w:rPr>
            </w:pPr>
            <w:r>
              <w:rPr>
                <w:rFonts w:hint="eastAsia"/>
                <w:color w:val="auto"/>
              </w:rPr>
              <w:t>当网络系统发生故障时，服务方在</w:t>
            </w:r>
            <w:r>
              <w:rPr>
                <w:color w:val="auto"/>
              </w:rPr>
              <w:t>30分钟内响应支持，5小时内保障维护对象恢复正常运行。故障排除后3个工作日内向用户提交《故障处理报告》；故障排除10个工作日内提供维护对象故障彻底消除及优化方案，实施相关的系统升级、参数设置调整。</w:t>
            </w:r>
          </w:p>
          <w:p w14:paraId="2D537060">
            <w:pPr>
              <w:pStyle w:val="11"/>
              <w:ind w:firstLine="440"/>
              <w:jc w:val="both"/>
              <w:rPr>
                <w:color w:val="auto"/>
              </w:rPr>
            </w:pPr>
            <w:r>
              <w:rPr>
                <w:color w:val="auto"/>
                <w:sz w:val="21"/>
              </w:rPr>
              <w:t>（3）应急支持服务</w:t>
            </w:r>
          </w:p>
          <w:p w14:paraId="351209BC">
            <w:pPr>
              <w:pStyle w:val="11"/>
              <w:ind w:firstLine="440"/>
              <w:jc w:val="both"/>
              <w:rPr>
                <w:color w:val="auto"/>
              </w:rPr>
            </w:pPr>
            <w:r>
              <w:rPr>
                <w:rFonts w:hint="eastAsia"/>
                <w:color w:val="auto"/>
              </w:rPr>
              <w:t>如遇节假日、敏感时期及突发特重大事件，需派相关人员免费去现场提供系统维护保障服务。</w:t>
            </w:r>
          </w:p>
          <w:p w14:paraId="3DC4BBD9">
            <w:pPr>
              <w:pStyle w:val="11"/>
              <w:jc w:val="left"/>
              <w:rPr>
                <w:color w:val="auto"/>
              </w:rPr>
            </w:pPr>
            <w:r>
              <w:rPr>
                <w:color w:val="auto"/>
                <w:sz w:val="21"/>
              </w:rPr>
              <w:t>1.5 服务成果</w:t>
            </w:r>
          </w:p>
          <w:p w14:paraId="2F0B0230">
            <w:pPr>
              <w:pStyle w:val="11"/>
              <w:ind w:firstLine="440"/>
              <w:jc w:val="both"/>
              <w:rPr>
                <w:color w:val="auto"/>
              </w:rPr>
            </w:pPr>
            <w:r>
              <w:rPr>
                <w:color w:val="auto"/>
                <w:sz w:val="21"/>
              </w:rPr>
              <w:t>《安全监测报告》（每月一份）</w:t>
            </w:r>
          </w:p>
          <w:p w14:paraId="7D819560">
            <w:pPr>
              <w:pStyle w:val="11"/>
              <w:ind w:firstLine="440"/>
              <w:jc w:val="both"/>
              <w:rPr>
                <w:color w:val="auto"/>
              </w:rPr>
            </w:pPr>
            <w:r>
              <w:rPr>
                <w:color w:val="auto"/>
                <w:sz w:val="21"/>
              </w:rPr>
              <w:t>《综合风险分析报告》（每季度一份）</w:t>
            </w:r>
          </w:p>
          <w:p w14:paraId="4A882A0B">
            <w:pPr>
              <w:pStyle w:val="11"/>
              <w:jc w:val="both"/>
              <w:rPr>
                <w:b/>
                <w:color w:val="auto"/>
                <w:sz w:val="21"/>
              </w:rPr>
            </w:pPr>
          </w:p>
          <w:p w14:paraId="22FFDDD9">
            <w:pPr>
              <w:pStyle w:val="11"/>
              <w:jc w:val="both"/>
              <w:rPr>
                <w:color w:val="auto"/>
              </w:rPr>
            </w:pPr>
            <w:r>
              <w:rPr>
                <w:b/>
                <w:color w:val="auto"/>
                <w:sz w:val="21"/>
              </w:rPr>
              <w:t>2.业务系统专项安全服务</w:t>
            </w:r>
          </w:p>
          <w:p w14:paraId="550E8601">
            <w:pPr>
              <w:pStyle w:val="11"/>
              <w:ind w:firstLine="440"/>
              <w:jc w:val="left"/>
              <w:rPr>
                <w:color w:val="auto"/>
              </w:rPr>
            </w:pPr>
            <w:r>
              <w:rPr>
                <w:color w:val="auto"/>
                <w:sz w:val="21"/>
              </w:rPr>
              <w:t>2.1 服务概述</w:t>
            </w:r>
          </w:p>
          <w:p w14:paraId="1E0E0F3B">
            <w:pPr>
              <w:pStyle w:val="11"/>
              <w:ind w:firstLine="440"/>
              <w:jc w:val="both"/>
              <w:rPr>
                <w:color w:val="auto"/>
              </w:rPr>
            </w:pPr>
            <w:r>
              <w:rPr>
                <w:rFonts w:hint="eastAsia"/>
                <w:color w:val="auto"/>
              </w:rPr>
              <w:t>通过网络安全专项规划：渗透测试、安全整改与加固、应急演练、安全培训、安全运维等服务，实现事前、事中、事后全流程安全保障能力。</w:t>
            </w:r>
          </w:p>
          <w:p w14:paraId="43F607D8">
            <w:pPr>
              <w:pStyle w:val="11"/>
              <w:ind w:firstLine="440"/>
              <w:jc w:val="left"/>
              <w:rPr>
                <w:color w:val="auto"/>
              </w:rPr>
            </w:pPr>
            <w:r>
              <w:rPr>
                <w:color w:val="auto"/>
                <w:sz w:val="21"/>
              </w:rPr>
              <w:t>2.2 服务内容</w:t>
            </w:r>
          </w:p>
          <w:tbl>
            <w:tblPr>
              <w:tblStyle w:val="8"/>
              <w:tblW w:w="6536"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93"/>
              <w:gridCol w:w="4943"/>
            </w:tblGrid>
            <w:tr w14:paraId="1ECC72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3" w:type="dxa"/>
                  <w:tcBorders>
                    <w:top w:val="single" w:color="000000" w:sz="4" w:space="0"/>
                    <w:left w:val="single" w:color="000000" w:sz="4" w:space="0"/>
                    <w:bottom w:val="single" w:color="000000" w:sz="4" w:space="0"/>
                    <w:right w:val="single" w:color="000000" w:sz="4" w:space="0"/>
                  </w:tcBorders>
                  <w:shd w:val="clear" w:color="auto" w:fill="E7E6E6"/>
                  <w:tcMar>
                    <w:top w:w="0" w:type="dxa"/>
                    <w:left w:w="105" w:type="dxa"/>
                    <w:bottom w:w="0" w:type="dxa"/>
                    <w:right w:w="105" w:type="dxa"/>
                  </w:tcMar>
                  <w:vAlign w:val="top"/>
                </w:tcPr>
                <w:p w14:paraId="56D14FED">
                  <w:pPr>
                    <w:pStyle w:val="11"/>
                    <w:jc w:val="center"/>
                    <w:rPr>
                      <w:color w:val="auto"/>
                    </w:rPr>
                  </w:pPr>
                  <w:r>
                    <w:rPr>
                      <w:color w:val="auto"/>
                      <w:sz w:val="21"/>
                    </w:rPr>
                    <w:t>序号</w:t>
                  </w:r>
                </w:p>
              </w:tc>
              <w:tc>
                <w:tcPr>
                  <w:tcW w:w="4943" w:type="dxa"/>
                  <w:tcBorders>
                    <w:top w:val="single" w:color="000000" w:sz="4" w:space="0"/>
                    <w:left w:val="nil"/>
                    <w:bottom w:val="single" w:color="000000" w:sz="4" w:space="0"/>
                    <w:right w:val="single" w:color="000000" w:sz="4" w:space="0"/>
                  </w:tcBorders>
                  <w:shd w:val="clear" w:color="auto" w:fill="E7E6E6"/>
                  <w:tcMar>
                    <w:top w:w="0" w:type="dxa"/>
                    <w:left w:w="105" w:type="dxa"/>
                    <w:bottom w:w="0" w:type="dxa"/>
                    <w:right w:w="105" w:type="dxa"/>
                  </w:tcMar>
                  <w:vAlign w:val="top"/>
                </w:tcPr>
                <w:p w14:paraId="7AA6E2C8">
                  <w:pPr>
                    <w:pStyle w:val="11"/>
                    <w:jc w:val="center"/>
                    <w:rPr>
                      <w:color w:val="auto"/>
                    </w:rPr>
                  </w:pPr>
                  <w:r>
                    <w:rPr>
                      <w:color w:val="auto"/>
                      <w:sz w:val="21"/>
                    </w:rPr>
                    <w:t>服务项</w:t>
                  </w:r>
                </w:p>
              </w:tc>
            </w:tr>
            <w:tr w14:paraId="0A889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63C44">
                  <w:pPr>
                    <w:pStyle w:val="11"/>
                    <w:jc w:val="center"/>
                    <w:rPr>
                      <w:color w:val="auto"/>
                    </w:rPr>
                  </w:pPr>
                  <w:r>
                    <w:rPr>
                      <w:color w:val="auto"/>
                      <w:sz w:val="21"/>
                    </w:rPr>
                    <w:t>1</w:t>
                  </w:r>
                </w:p>
              </w:tc>
              <w:tc>
                <w:tcPr>
                  <w:tcW w:w="49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189D8">
                  <w:pPr>
                    <w:pStyle w:val="11"/>
                    <w:jc w:val="center"/>
                    <w:rPr>
                      <w:color w:val="auto"/>
                    </w:rPr>
                  </w:pPr>
                  <w:r>
                    <w:rPr>
                      <w:color w:val="auto"/>
                    </w:rPr>
                    <w:t>渗透测试服务</w:t>
                  </w:r>
                </w:p>
              </w:tc>
            </w:tr>
            <w:tr w14:paraId="700AFD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E600C4">
                  <w:pPr>
                    <w:pStyle w:val="11"/>
                    <w:jc w:val="center"/>
                    <w:rPr>
                      <w:color w:val="auto"/>
                    </w:rPr>
                  </w:pPr>
                  <w:r>
                    <w:rPr>
                      <w:color w:val="auto"/>
                      <w:sz w:val="21"/>
                    </w:rPr>
                    <w:t>2</w:t>
                  </w:r>
                </w:p>
              </w:tc>
              <w:tc>
                <w:tcPr>
                  <w:tcW w:w="49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CDA2E">
                  <w:pPr>
                    <w:pStyle w:val="11"/>
                    <w:jc w:val="center"/>
                    <w:rPr>
                      <w:color w:val="auto"/>
                    </w:rPr>
                  </w:pPr>
                  <w:r>
                    <w:rPr>
                      <w:rFonts w:hint="eastAsia"/>
                      <w:color w:val="auto"/>
                    </w:rPr>
                    <w:t>安全整改与加固服</w:t>
                  </w:r>
                  <w:r>
                    <w:rPr>
                      <w:color w:val="auto"/>
                    </w:rPr>
                    <w:t>务</w:t>
                  </w:r>
                </w:p>
              </w:tc>
            </w:tr>
            <w:tr w14:paraId="50A36A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128959">
                  <w:pPr>
                    <w:pStyle w:val="11"/>
                    <w:jc w:val="center"/>
                    <w:rPr>
                      <w:color w:val="auto"/>
                    </w:rPr>
                  </w:pPr>
                  <w:r>
                    <w:rPr>
                      <w:color w:val="auto"/>
                      <w:sz w:val="21"/>
                    </w:rPr>
                    <w:t>3</w:t>
                  </w:r>
                </w:p>
              </w:tc>
              <w:tc>
                <w:tcPr>
                  <w:tcW w:w="49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783595">
                  <w:pPr>
                    <w:pStyle w:val="11"/>
                    <w:jc w:val="center"/>
                    <w:rPr>
                      <w:color w:val="auto"/>
                    </w:rPr>
                  </w:pPr>
                  <w:r>
                    <w:rPr>
                      <w:color w:val="auto"/>
                    </w:rPr>
                    <w:t>应急演练</w:t>
                  </w:r>
                </w:p>
              </w:tc>
            </w:tr>
            <w:tr w14:paraId="6F4D73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4767B9">
                  <w:pPr>
                    <w:pStyle w:val="11"/>
                    <w:jc w:val="center"/>
                    <w:rPr>
                      <w:color w:val="auto"/>
                    </w:rPr>
                  </w:pPr>
                  <w:r>
                    <w:rPr>
                      <w:color w:val="auto"/>
                      <w:sz w:val="21"/>
                    </w:rPr>
                    <w:t>4</w:t>
                  </w:r>
                </w:p>
              </w:tc>
              <w:tc>
                <w:tcPr>
                  <w:tcW w:w="49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D39515">
                  <w:pPr>
                    <w:pStyle w:val="11"/>
                    <w:jc w:val="center"/>
                    <w:rPr>
                      <w:color w:val="auto"/>
                    </w:rPr>
                  </w:pPr>
                  <w:r>
                    <w:rPr>
                      <w:color w:val="auto"/>
                    </w:rPr>
                    <w:t>安全培训服务</w:t>
                  </w:r>
                </w:p>
              </w:tc>
            </w:tr>
            <w:tr w14:paraId="7D5C8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95EAB">
                  <w:pPr>
                    <w:pStyle w:val="11"/>
                    <w:jc w:val="center"/>
                    <w:rPr>
                      <w:color w:val="auto"/>
                    </w:rPr>
                  </w:pPr>
                  <w:r>
                    <w:rPr>
                      <w:color w:val="auto"/>
                      <w:sz w:val="21"/>
                    </w:rPr>
                    <w:t>5</w:t>
                  </w:r>
                </w:p>
              </w:tc>
              <w:tc>
                <w:tcPr>
                  <w:tcW w:w="49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1A135B">
                  <w:pPr>
                    <w:pStyle w:val="11"/>
                    <w:jc w:val="center"/>
                    <w:rPr>
                      <w:color w:val="auto"/>
                    </w:rPr>
                  </w:pPr>
                  <w:r>
                    <w:rPr>
                      <w:color w:val="auto"/>
                    </w:rPr>
                    <w:t>安全运维服务</w:t>
                  </w:r>
                </w:p>
              </w:tc>
            </w:tr>
          </w:tbl>
          <w:p w14:paraId="61DCBFA1">
            <w:pPr>
              <w:pStyle w:val="11"/>
              <w:ind w:firstLine="440"/>
              <w:jc w:val="both"/>
              <w:rPr>
                <w:b/>
                <w:bCs/>
                <w:color w:val="auto"/>
              </w:rPr>
            </w:pPr>
            <w:r>
              <w:rPr>
                <w:b/>
                <w:bCs/>
                <w:color w:val="auto"/>
                <w:sz w:val="21"/>
              </w:rPr>
              <w:t>2.2.1</w:t>
            </w:r>
            <w:r>
              <w:rPr>
                <w:b/>
                <w:bCs/>
                <w:color w:val="auto"/>
              </w:rPr>
              <w:t>渗透测试服务</w:t>
            </w:r>
          </w:p>
          <w:p w14:paraId="3A105F12">
            <w:pPr>
              <w:pStyle w:val="11"/>
              <w:ind w:firstLine="440"/>
              <w:jc w:val="both"/>
              <w:rPr>
                <w:color w:val="auto"/>
              </w:rPr>
            </w:pPr>
            <w:r>
              <w:rPr>
                <w:rFonts w:hint="eastAsia"/>
                <w:color w:val="auto"/>
              </w:rPr>
              <w:t>渗透测试是在</w:t>
            </w:r>
            <w:r>
              <w:rPr>
                <w:rFonts w:hint="eastAsia"/>
                <w:color w:val="auto"/>
                <w:lang w:eastAsia="zh-CN"/>
              </w:rPr>
              <w:t>采购人</w:t>
            </w:r>
            <w:r>
              <w:rPr>
                <w:rFonts w:hint="eastAsia"/>
                <w:color w:val="auto"/>
              </w:rPr>
              <w:t>授权、监督和不影响目标系统正常运行的情况下，工程师采用手工方式和安全检测工具，模拟黑客的攻击方法对目标系统的技术弱点、缺陷或漏洞进行可控的非破坏性攻击测试，由安全专家模拟黑客入侵手段，检测</w:t>
            </w:r>
            <w:r>
              <w:rPr>
                <w:color w:val="auto"/>
              </w:rPr>
              <w:t>常见安全问题和系统逻辑层面安全隐患，对业务系统进行漏洞测试及人工验证，验证当前安全机制在抵抗入侵时的有效性</w:t>
            </w:r>
            <w:r>
              <w:rPr>
                <w:rFonts w:hint="eastAsia"/>
                <w:color w:val="auto"/>
              </w:rPr>
              <w:t>，最后提供渗透测试报告，使得</w:t>
            </w:r>
            <w:r>
              <w:rPr>
                <w:rFonts w:hint="eastAsia"/>
                <w:color w:val="auto"/>
                <w:lang w:eastAsia="zh-CN"/>
              </w:rPr>
              <w:t>采购人</w:t>
            </w:r>
            <w:r>
              <w:rPr>
                <w:rFonts w:hint="eastAsia"/>
                <w:color w:val="auto"/>
              </w:rPr>
              <w:t>可以清晰知晓目标系统中存在的安全隐患。</w:t>
            </w:r>
          </w:p>
          <w:p w14:paraId="339B3124">
            <w:pPr>
              <w:pStyle w:val="11"/>
              <w:ind w:firstLine="440"/>
              <w:jc w:val="both"/>
              <w:rPr>
                <w:b/>
                <w:bCs/>
                <w:color w:val="auto"/>
              </w:rPr>
            </w:pPr>
            <w:r>
              <w:rPr>
                <w:b/>
                <w:bCs/>
                <w:color w:val="auto"/>
                <w:sz w:val="21"/>
              </w:rPr>
              <w:t xml:space="preserve">2.2.2 </w:t>
            </w:r>
            <w:r>
              <w:rPr>
                <w:rFonts w:hint="eastAsia"/>
                <w:b/>
                <w:bCs/>
                <w:color w:val="auto"/>
              </w:rPr>
              <w:t>安全整改与加固服</w:t>
            </w:r>
            <w:r>
              <w:rPr>
                <w:b/>
                <w:bCs/>
                <w:color w:val="auto"/>
              </w:rPr>
              <w:t>务</w:t>
            </w:r>
          </w:p>
          <w:p w14:paraId="477395A1">
            <w:pPr>
              <w:pStyle w:val="11"/>
              <w:ind w:firstLine="420"/>
              <w:jc w:val="both"/>
              <w:rPr>
                <w:color w:val="auto"/>
              </w:rPr>
            </w:pPr>
            <w:r>
              <w:rPr>
                <w:rFonts w:hint="eastAsia"/>
                <w:color w:val="auto"/>
              </w:rPr>
              <w:t>针对渗透测试、安全检查或日常工作中发现的问题，修复也是重要的一环。不全面或不合理的处理问题，难以避免问题再次发生，可能还会带来新的风险。</w:t>
            </w:r>
          </w:p>
          <w:p w14:paraId="4956DE1E">
            <w:pPr>
              <w:pStyle w:val="11"/>
              <w:ind w:firstLine="420"/>
              <w:jc w:val="both"/>
              <w:rPr>
                <w:color w:val="auto"/>
              </w:rPr>
            </w:pPr>
            <w:r>
              <w:rPr>
                <w:rFonts w:hint="eastAsia"/>
                <w:color w:val="auto"/>
              </w:rPr>
              <w:t>由专业技术人员利用专业技能和经验，结合</w:t>
            </w:r>
            <w:r>
              <w:rPr>
                <w:rFonts w:hint="eastAsia"/>
                <w:color w:val="auto"/>
                <w:lang w:eastAsia="zh-CN"/>
              </w:rPr>
              <w:t>采购人</w:t>
            </w:r>
            <w:r>
              <w:rPr>
                <w:rFonts w:hint="eastAsia"/>
                <w:color w:val="auto"/>
              </w:rPr>
              <w:t>的安全现状，</w:t>
            </w:r>
            <w:r>
              <w:rPr>
                <w:color w:val="auto"/>
              </w:rPr>
              <w:t>编写安全整改与加固方案</w:t>
            </w:r>
            <w:r>
              <w:rPr>
                <w:rFonts w:hint="eastAsia"/>
                <w:color w:val="auto"/>
              </w:rPr>
              <w:t>，提出修复建议和措施</w:t>
            </w:r>
            <w:r>
              <w:rPr>
                <w:color w:val="auto"/>
              </w:rPr>
              <w:t>，根据方案</w:t>
            </w:r>
            <w:r>
              <w:rPr>
                <w:rFonts w:hint="eastAsia"/>
                <w:color w:val="auto"/>
              </w:rPr>
              <w:t>进行安全整改与加固，有效地解决发现的安全问题，提升信息系统的整体安全性。</w:t>
            </w:r>
          </w:p>
          <w:p w14:paraId="2F61E1AE">
            <w:pPr>
              <w:pStyle w:val="11"/>
              <w:ind w:firstLine="440"/>
              <w:jc w:val="both"/>
              <w:rPr>
                <w:b/>
                <w:bCs/>
                <w:color w:val="auto"/>
              </w:rPr>
            </w:pPr>
            <w:r>
              <w:rPr>
                <w:b/>
                <w:bCs/>
                <w:color w:val="auto"/>
                <w:sz w:val="21"/>
              </w:rPr>
              <w:t xml:space="preserve">2.2.3 </w:t>
            </w:r>
            <w:r>
              <w:rPr>
                <w:b/>
                <w:bCs/>
                <w:color w:val="auto"/>
              </w:rPr>
              <w:t>应急演练</w:t>
            </w:r>
          </w:p>
          <w:p w14:paraId="3DE4E101">
            <w:pPr>
              <w:pStyle w:val="11"/>
              <w:ind w:firstLine="420"/>
              <w:jc w:val="both"/>
              <w:rPr>
                <w:rFonts w:hint="eastAsia"/>
                <w:color w:val="auto"/>
              </w:rPr>
            </w:pPr>
            <w:r>
              <w:rPr>
                <w:rFonts w:hint="eastAsia"/>
                <w:color w:val="auto"/>
              </w:rPr>
              <w:t>应急演练是构建我局网络数据安全体系的重要一环，在紧急情况下，时间往往是救援的关键。应急演练能够有效提高我局各个部门的应急响应速度，锻炼各岗位人员在突发网络安全数据事件发生时能够快速做出反应，采取有效措施，最大限度地减少损失。</w:t>
            </w:r>
          </w:p>
          <w:p w14:paraId="73C5AC22">
            <w:pPr>
              <w:pStyle w:val="11"/>
              <w:ind w:firstLine="420"/>
              <w:jc w:val="both"/>
              <w:rPr>
                <w:rFonts w:hint="eastAsia"/>
                <w:color w:val="auto"/>
              </w:rPr>
            </w:pPr>
            <w:r>
              <w:rPr>
                <w:rFonts w:hint="eastAsia"/>
                <w:color w:val="auto"/>
              </w:rPr>
              <w:t>应急演练需包括仿真演练场景搭建、演练脚本编制及演练场景互动环节，通过在模拟环境中对各种突发事件的应对，可以发现和解决在真实事件中可能遇到的问题，不断磨合和完善我局的应急预案和应急管理机制，确保在实际危机中能够更加从容应对。</w:t>
            </w:r>
          </w:p>
          <w:p w14:paraId="1C7A2B18">
            <w:pPr>
              <w:pStyle w:val="11"/>
              <w:ind w:firstLine="440"/>
              <w:jc w:val="both"/>
              <w:rPr>
                <w:b/>
                <w:bCs/>
                <w:color w:val="auto"/>
              </w:rPr>
            </w:pPr>
            <w:r>
              <w:rPr>
                <w:b/>
                <w:bCs/>
                <w:color w:val="auto"/>
                <w:sz w:val="21"/>
              </w:rPr>
              <w:t xml:space="preserve">2.2.4 </w:t>
            </w:r>
            <w:r>
              <w:rPr>
                <w:b/>
                <w:bCs/>
                <w:color w:val="auto"/>
              </w:rPr>
              <w:t>安全培训服务</w:t>
            </w:r>
          </w:p>
          <w:p w14:paraId="09DF83CC">
            <w:pPr>
              <w:pStyle w:val="11"/>
              <w:ind w:firstLine="440"/>
              <w:jc w:val="both"/>
              <w:rPr>
                <w:color w:val="auto"/>
              </w:rPr>
            </w:pPr>
            <w:r>
              <w:rPr>
                <w:rFonts w:hint="eastAsia"/>
                <w:color w:val="auto"/>
              </w:rPr>
              <w:t>随着信息化的不断发展，网络安全技术也不断在更新，《网络安全法》、《数据安全法》及《个人信息保护法》</w:t>
            </w:r>
            <w:r>
              <w:rPr>
                <w:color w:val="auto"/>
              </w:rPr>
              <w:t>相继出台，</w:t>
            </w:r>
            <w:r>
              <w:rPr>
                <w:rFonts w:hint="eastAsia"/>
                <w:color w:val="auto"/>
                <w:lang w:eastAsia="zh-CN"/>
              </w:rPr>
              <w:t>采购人</w:t>
            </w:r>
            <w:r>
              <w:rPr>
                <w:color w:val="auto"/>
              </w:rPr>
              <w:t>员工需要通过不断学习，更新网络安全知识。</w:t>
            </w:r>
          </w:p>
          <w:p w14:paraId="4FC6636B">
            <w:pPr>
              <w:pStyle w:val="11"/>
              <w:ind w:firstLine="440"/>
              <w:jc w:val="both"/>
              <w:rPr>
                <w:color w:val="auto"/>
              </w:rPr>
            </w:pPr>
            <w:r>
              <w:rPr>
                <w:rFonts w:hint="eastAsia"/>
                <w:color w:val="auto"/>
              </w:rPr>
              <w:t>由专业技术人员进行安全培训，能够使</w:t>
            </w:r>
            <w:r>
              <w:rPr>
                <w:rFonts w:hint="eastAsia"/>
                <w:color w:val="auto"/>
                <w:lang w:eastAsia="zh-CN"/>
              </w:rPr>
              <w:t>采购人</w:t>
            </w:r>
            <w:r>
              <w:rPr>
                <w:color w:val="auto"/>
              </w:rPr>
              <w:t>员工</w:t>
            </w:r>
            <w:r>
              <w:rPr>
                <w:rFonts w:hint="eastAsia"/>
                <w:color w:val="auto"/>
              </w:rPr>
              <w:t>了解最新的安全漏洞和攻击技术，获取专业的指导和建议，并学习如何有效应对和预防安全事件。</w:t>
            </w:r>
          </w:p>
          <w:p w14:paraId="4BF50D7A">
            <w:pPr>
              <w:pStyle w:val="11"/>
              <w:ind w:firstLine="440"/>
              <w:jc w:val="both"/>
              <w:rPr>
                <w:b/>
                <w:bCs/>
                <w:color w:val="auto"/>
              </w:rPr>
            </w:pPr>
            <w:r>
              <w:rPr>
                <w:b/>
                <w:bCs/>
                <w:color w:val="auto"/>
                <w:sz w:val="21"/>
              </w:rPr>
              <w:t>2.2.5安全运维服务</w:t>
            </w:r>
          </w:p>
          <w:p w14:paraId="5065B076">
            <w:pPr>
              <w:pStyle w:val="11"/>
              <w:ind w:firstLine="440"/>
              <w:jc w:val="both"/>
              <w:rPr>
                <w:color w:val="auto"/>
              </w:rPr>
            </w:pPr>
            <w:r>
              <w:rPr>
                <w:rFonts w:hint="eastAsia"/>
                <w:color w:val="auto"/>
                <w:lang w:eastAsia="zh-CN"/>
              </w:rPr>
              <w:t>采购人</w:t>
            </w:r>
            <w:r>
              <w:rPr>
                <w:rFonts w:hint="eastAsia"/>
                <w:color w:val="auto"/>
              </w:rPr>
              <w:t>经过多年的信息化和信息安全建设，已经基本完成国家和行业网络安全保障要求，同时</w:t>
            </w:r>
            <w:r>
              <w:rPr>
                <w:rFonts w:hint="eastAsia"/>
                <w:color w:val="auto"/>
                <w:lang w:eastAsia="zh-CN"/>
              </w:rPr>
              <w:t>采购人</w:t>
            </w:r>
            <w:r>
              <w:rPr>
                <w:rFonts w:hint="eastAsia"/>
                <w:color w:val="auto"/>
              </w:rPr>
              <w:t>通过积极推进信息安全保障体系建设，基本保障了重要信息系统的稳定运行。</w:t>
            </w:r>
            <w:r>
              <w:rPr>
                <w:rFonts w:hint="eastAsia"/>
                <w:color w:val="auto"/>
                <w:lang w:eastAsia="zh-CN"/>
              </w:rPr>
              <w:t>采购人</w:t>
            </w:r>
            <w:r>
              <w:rPr>
                <w:rFonts w:hint="eastAsia"/>
                <w:color w:val="auto"/>
              </w:rPr>
              <w:t>已经从安全软硬件的建设阶段进入安全运行维护与保障阶段。由于信息安全技术不断更新，信息系统不断面临新的风险，目前在实际安全工作过程中</w:t>
            </w:r>
            <w:r>
              <w:rPr>
                <w:rFonts w:hint="eastAsia"/>
                <w:color w:val="auto"/>
                <w:lang w:eastAsia="zh-CN"/>
              </w:rPr>
              <w:t>采购人</w:t>
            </w:r>
            <w:r>
              <w:rPr>
                <w:rFonts w:hint="eastAsia"/>
                <w:color w:val="auto"/>
              </w:rPr>
              <w:t>还是面临各种的管理问题。</w:t>
            </w:r>
          </w:p>
          <w:p w14:paraId="3DEB6C30">
            <w:pPr>
              <w:pStyle w:val="11"/>
              <w:ind w:firstLine="440"/>
              <w:jc w:val="both"/>
              <w:rPr>
                <w:color w:val="auto"/>
              </w:rPr>
            </w:pPr>
            <w:r>
              <w:rPr>
                <w:rFonts w:hint="eastAsia"/>
                <w:color w:val="auto"/>
              </w:rPr>
              <w:t>信息安全运维工作具有专业化、标准化等特点，需要专业的信息安全人员、工具和技术加以支撑。一方面，各种安全设备的不断部署，需要专业的安全人员进行维护；另一方面信息安全也是一个动态的过程，尤其在安全问题的及时发现和解决，事后的分析、以及在遇到突发、重大安全事故时，仅靠</w:t>
            </w:r>
            <w:r>
              <w:rPr>
                <w:rFonts w:hint="eastAsia"/>
                <w:color w:val="auto"/>
                <w:lang w:eastAsia="zh-CN"/>
              </w:rPr>
              <w:t>采购人</w:t>
            </w:r>
            <w:r>
              <w:rPr>
                <w:rFonts w:hint="eastAsia"/>
                <w:color w:val="auto"/>
              </w:rPr>
              <w:t>自身的技术和管理人员，很难应对众多的安全问题。</w:t>
            </w:r>
          </w:p>
          <w:p w14:paraId="2067757E">
            <w:pPr>
              <w:pStyle w:val="11"/>
              <w:ind w:firstLine="440"/>
              <w:jc w:val="left"/>
              <w:rPr>
                <w:color w:val="auto"/>
              </w:rPr>
            </w:pPr>
            <w:r>
              <w:rPr>
                <w:color w:val="auto"/>
                <w:sz w:val="21"/>
              </w:rPr>
              <w:t>2.</w:t>
            </w:r>
            <w:r>
              <w:rPr>
                <w:rFonts w:hint="eastAsia"/>
                <w:color w:val="auto"/>
                <w:sz w:val="21"/>
                <w:lang w:val="en-US" w:eastAsia="zh-CN"/>
              </w:rPr>
              <w:t>3</w:t>
            </w:r>
            <w:r>
              <w:rPr>
                <w:color w:val="auto"/>
                <w:sz w:val="21"/>
              </w:rPr>
              <w:t xml:space="preserve"> 服务响应要求</w:t>
            </w:r>
          </w:p>
          <w:p w14:paraId="003B3C6E">
            <w:pPr>
              <w:pStyle w:val="11"/>
              <w:ind w:firstLine="440"/>
              <w:jc w:val="both"/>
              <w:rPr>
                <w:color w:val="auto"/>
              </w:rPr>
            </w:pPr>
            <w:r>
              <w:rPr>
                <w:color w:val="auto"/>
                <w:sz w:val="21"/>
              </w:rPr>
              <w:t>（1）技术支持服务</w:t>
            </w:r>
          </w:p>
          <w:p w14:paraId="4565D1CE">
            <w:pPr>
              <w:pStyle w:val="11"/>
              <w:ind w:firstLine="440"/>
              <w:jc w:val="both"/>
              <w:rPr>
                <w:color w:val="auto"/>
              </w:rPr>
            </w:pPr>
            <w:r>
              <w:rPr>
                <w:color w:val="auto"/>
                <w:sz w:val="21"/>
              </w:rPr>
              <w:t>1）</w:t>
            </w:r>
            <w:r>
              <w:rPr>
                <w:rFonts w:hint="eastAsia"/>
                <w:color w:val="auto"/>
                <w:sz w:val="21"/>
              </w:rPr>
              <w:t>维护期内通过各种方式为解决系统使用服务，设立客户支持中心，配备足够的专业技术人员解答提出的问题，提供</w:t>
            </w:r>
            <w:r>
              <w:rPr>
                <w:color w:val="auto"/>
                <w:sz w:val="21"/>
              </w:rPr>
              <w:t>7×24小时服务热线电话。</w:t>
            </w:r>
          </w:p>
          <w:p w14:paraId="6AD45D1B">
            <w:pPr>
              <w:pStyle w:val="11"/>
              <w:ind w:firstLine="440"/>
              <w:jc w:val="both"/>
              <w:rPr>
                <w:color w:val="auto"/>
              </w:rPr>
            </w:pPr>
            <w:r>
              <w:rPr>
                <w:color w:val="auto"/>
                <w:sz w:val="21"/>
              </w:rPr>
              <w:t>2）</w:t>
            </w:r>
            <w:r>
              <w:rPr>
                <w:rFonts w:hint="eastAsia"/>
                <w:color w:val="auto"/>
                <w:sz w:val="21"/>
              </w:rPr>
              <w:t>维护期内在收到的电话、电子邮件、传真等方式的请求后。提供电话支持服务对在日常使用系统功能和一般性网络故障分析服务，以及在征求同意的前提下，可通过远程登陆的方式解决问题。电话支持和远程服务的类型和响应时间如下：</w:t>
            </w:r>
            <w:r>
              <w:rPr>
                <w:color w:val="auto"/>
                <w:sz w:val="21"/>
              </w:rPr>
              <w:t>网络故障分析小于1小时；系统功能使用小于1小时；系统软硬件故障小于2小时。</w:t>
            </w:r>
          </w:p>
          <w:p w14:paraId="4B91C150">
            <w:pPr>
              <w:pStyle w:val="11"/>
              <w:ind w:firstLine="440"/>
              <w:jc w:val="both"/>
              <w:rPr>
                <w:color w:val="auto"/>
              </w:rPr>
            </w:pPr>
            <w:r>
              <w:rPr>
                <w:color w:val="auto"/>
                <w:sz w:val="21"/>
              </w:rPr>
              <w:t>（2）设备可用性保障服务</w:t>
            </w:r>
          </w:p>
          <w:p w14:paraId="18E01221">
            <w:pPr>
              <w:pStyle w:val="11"/>
              <w:ind w:firstLine="440"/>
              <w:jc w:val="both"/>
              <w:rPr>
                <w:color w:val="auto"/>
              </w:rPr>
            </w:pPr>
            <w:r>
              <w:rPr>
                <w:rFonts w:hint="eastAsia"/>
                <w:color w:val="auto"/>
              </w:rPr>
              <w:t>当网络系统发生故障时，服务方在</w:t>
            </w:r>
            <w:r>
              <w:rPr>
                <w:color w:val="auto"/>
              </w:rPr>
              <w:t>30分钟内响应支持，5小时内保障维护对象恢复正常运行。故障排除后3个工作日内向用户提交《故障处理报告》；故障排除10个工作日内提供维护对象故障彻底消除及优化方案，实施相关的系统升级、参数设置调整。</w:t>
            </w:r>
          </w:p>
          <w:p w14:paraId="4C0BEBA4">
            <w:pPr>
              <w:pStyle w:val="11"/>
              <w:ind w:firstLine="440"/>
              <w:jc w:val="both"/>
              <w:rPr>
                <w:color w:val="auto"/>
              </w:rPr>
            </w:pPr>
            <w:r>
              <w:rPr>
                <w:color w:val="auto"/>
                <w:sz w:val="21"/>
              </w:rPr>
              <w:t>（3）应急支持服务</w:t>
            </w:r>
          </w:p>
          <w:p w14:paraId="0C4C28C8">
            <w:pPr>
              <w:pStyle w:val="11"/>
              <w:ind w:firstLine="440"/>
              <w:jc w:val="both"/>
              <w:rPr>
                <w:rFonts w:hint="eastAsia" w:eastAsiaTheme="minorEastAsia"/>
                <w:color w:val="auto"/>
                <w:lang w:eastAsia="zh-CN"/>
              </w:rPr>
            </w:pPr>
            <w:r>
              <w:rPr>
                <w:rFonts w:hint="eastAsia"/>
                <w:color w:val="auto"/>
              </w:rPr>
              <w:t>如遇节假日、敏感时期及突发特重大事件，需派相关人员免费去现场提供系统维护保障服务</w:t>
            </w:r>
            <w:r>
              <w:rPr>
                <w:rFonts w:hint="eastAsia"/>
                <w:color w:val="auto"/>
                <w:lang w:eastAsia="zh-CN"/>
              </w:rPr>
              <w:t>。</w:t>
            </w:r>
          </w:p>
          <w:p w14:paraId="27D67202">
            <w:pPr>
              <w:pStyle w:val="11"/>
              <w:ind w:firstLine="440"/>
              <w:jc w:val="left"/>
              <w:rPr>
                <w:color w:val="auto"/>
              </w:rPr>
            </w:pPr>
            <w:r>
              <w:rPr>
                <w:color w:val="auto"/>
                <w:sz w:val="21"/>
              </w:rPr>
              <w:t>2.</w:t>
            </w:r>
            <w:r>
              <w:rPr>
                <w:rFonts w:hint="eastAsia"/>
                <w:color w:val="auto"/>
                <w:sz w:val="21"/>
                <w:lang w:val="en-US" w:eastAsia="zh-CN"/>
              </w:rPr>
              <w:t>4</w:t>
            </w:r>
            <w:r>
              <w:rPr>
                <w:color w:val="auto"/>
                <w:sz w:val="21"/>
              </w:rPr>
              <w:t xml:space="preserve"> 服务成果</w:t>
            </w:r>
          </w:p>
          <w:p w14:paraId="439F4C54">
            <w:pPr>
              <w:pStyle w:val="11"/>
              <w:ind w:firstLine="440"/>
              <w:jc w:val="both"/>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）《渗透测试报告》（每年一份）</w:t>
            </w:r>
          </w:p>
          <w:p w14:paraId="634EA9A0">
            <w:pPr>
              <w:pStyle w:val="11"/>
              <w:ind w:firstLine="440"/>
              <w:jc w:val="both"/>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ascii="宋体" w:hAnsi="宋体"/>
                <w:color w:val="auto"/>
              </w:rPr>
              <w:t>《安全整改与加固报告》（每年一份）</w:t>
            </w:r>
          </w:p>
          <w:p w14:paraId="6F375793">
            <w:pPr>
              <w:pStyle w:val="11"/>
              <w:ind w:firstLine="440"/>
              <w:jc w:val="both"/>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ascii="宋体" w:hAnsi="宋体"/>
                <w:color w:val="auto"/>
              </w:rPr>
              <w:t>《应急演练方案》《应急演练报告》（每年一份）</w:t>
            </w:r>
          </w:p>
          <w:p w14:paraId="18F29E33">
            <w:pPr>
              <w:pStyle w:val="11"/>
              <w:ind w:firstLine="440"/>
              <w:jc w:val="both"/>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ascii="宋体" w:hAnsi="宋体"/>
                <w:color w:val="auto"/>
              </w:rPr>
              <w:t>《安全运维服务月报》（每季度一份）</w:t>
            </w:r>
          </w:p>
          <w:p w14:paraId="4D770CD9">
            <w:pPr>
              <w:pStyle w:val="11"/>
              <w:ind w:firstLine="440"/>
              <w:jc w:val="left"/>
              <w:rPr>
                <w:color w:val="auto"/>
              </w:rPr>
            </w:pPr>
            <w:r>
              <w:rPr>
                <w:b/>
                <w:color w:val="auto"/>
                <w:sz w:val="21"/>
              </w:rPr>
              <w:t>注：上述“基础网络安全防护和提升服务”和“业务系统专项安全服务”两部分技术要求的补充要求：</w:t>
            </w:r>
          </w:p>
          <w:p w14:paraId="42B3396F">
            <w:pPr>
              <w:pStyle w:val="11"/>
              <w:ind w:firstLine="440"/>
              <w:jc w:val="both"/>
              <w:rPr>
                <w:color w:val="auto"/>
              </w:rPr>
            </w:pPr>
            <w:r>
              <w:rPr>
                <w:color w:val="auto"/>
                <w:sz w:val="21"/>
              </w:rPr>
              <w:t>（1）★合同签订后5个工作日内，成交供应商须按采购人要求编制本项目实施方案，内容包括但不限于全流量追踪溯源服务工具、全流量威胁检测服务工具、运维监控及分析管理服务工具、边界防御能力升级服务工具、全网一体化安全运营服务工具、漏洞扫描服务工具和基线检查服务工具等工具部署方案、应用方案以及应用计划等，确保提供的服务工具符合要求，无法满足需求的视为虚假响应，采购人将终止合同，由此引发的所有损失由成交供应商承担。</w:t>
            </w:r>
          </w:p>
          <w:p w14:paraId="77866F50">
            <w:pPr>
              <w:pStyle w:val="11"/>
              <w:jc w:val="both"/>
              <w:rPr>
                <w:b/>
                <w:color w:val="auto"/>
                <w:sz w:val="21"/>
              </w:rPr>
            </w:pPr>
          </w:p>
          <w:p w14:paraId="5E017F3F">
            <w:pPr>
              <w:pStyle w:val="11"/>
              <w:jc w:val="both"/>
              <w:rPr>
                <w:color w:val="auto"/>
              </w:rPr>
            </w:pPr>
            <w:r>
              <w:rPr>
                <w:b/>
                <w:color w:val="auto"/>
                <w:sz w:val="21"/>
              </w:rPr>
              <w:t>3.第三方服务（等保测评服务）</w:t>
            </w:r>
          </w:p>
          <w:p w14:paraId="3E8B9F89">
            <w:pPr>
              <w:pStyle w:val="11"/>
              <w:ind w:firstLine="440"/>
              <w:jc w:val="left"/>
              <w:rPr>
                <w:color w:val="auto"/>
              </w:rPr>
            </w:pPr>
            <w:r>
              <w:rPr>
                <w:color w:val="auto"/>
                <w:sz w:val="21"/>
              </w:rPr>
              <w:t>3.1 服务概述</w:t>
            </w:r>
          </w:p>
          <w:p w14:paraId="5B9B2003">
            <w:pPr>
              <w:pStyle w:val="11"/>
              <w:ind w:firstLine="440"/>
              <w:jc w:val="both"/>
              <w:rPr>
                <w:color w:val="auto"/>
              </w:rPr>
            </w:pPr>
            <w:r>
              <w:rPr>
                <w:rFonts w:hint="eastAsia"/>
                <w:color w:val="auto"/>
              </w:rPr>
              <w:t>根据</w:t>
            </w:r>
            <w:r>
              <w:rPr>
                <w:color w:val="auto"/>
              </w:rPr>
              <w:t>《中华人民共和国网络安全法》《中华人民共和国计算机信息系统安全保护条例》</w:t>
            </w:r>
            <w:r>
              <w:rPr>
                <w:rFonts w:hint="eastAsia"/>
                <w:color w:val="auto"/>
              </w:rPr>
              <w:t>的规定，和</w:t>
            </w:r>
            <w:r>
              <w:rPr>
                <w:color w:val="auto"/>
              </w:rPr>
              <w:t>《关于转发国家网络安全等级保护工作协调小组办公室关于落实网络安全保护重点措施深入实施网络安全等级保护制度的指导意见的函》（佛公函〔2022〕177号）</w:t>
            </w:r>
            <w:r>
              <w:rPr>
                <w:rFonts w:hint="eastAsia"/>
                <w:color w:val="auto"/>
              </w:rPr>
              <w:t>要求，为保障系统日常运行安全，按照</w:t>
            </w:r>
            <w:r>
              <w:rPr>
                <w:color w:val="auto"/>
              </w:rPr>
              <w:t>GB/T2505 8-2010《信息安全技术信息系统安全等级保护实施指南》</w:t>
            </w:r>
            <w:r>
              <w:rPr>
                <w:rFonts w:hint="eastAsia"/>
                <w:color w:val="auto"/>
              </w:rPr>
              <w:t>、</w:t>
            </w:r>
            <w:r>
              <w:rPr>
                <w:color w:val="auto"/>
              </w:rPr>
              <w:t>GBT 22239-2019《信息安全技术网络安全等级保护基本要求》</w:t>
            </w:r>
            <w:r>
              <w:rPr>
                <w:rFonts w:hint="eastAsia"/>
                <w:color w:val="auto"/>
              </w:rPr>
              <w:t>的规范要求</w:t>
            </w:r>
            <w:r>
              <w:rPr>
                <w:color w:val="auto"/>
              </w:rPr>
              <w:t>，针对自身功能，制定出系统安全等级测评</w:t>
            </w:r>
            <w:r>
              <w:rPr>
                <w:rFonts w:hint="eastAsia"/>
                <w:color w:val="auto"/>
              </w:rPr>
              <w:t>需求</w:t>
            </w:r>
            <w:r>
              <w:rPr>
                <w:color w:val="auto"/>
              </w:rPr>
              <w:t>，通过该测评使系统具有更强的自主安全保护能力。</w:t>
            </w:r>
          </w:p>
          <w:p w14:paraId="26B92F28">
            <w:pPr>
              <w:pStyle w:val="11"/>
              <w:ind w:firstLine="440"/>
              <w:jc w:val="both"/>
              <w:rPr>
                <w:color w:val="auto"/>
              </w:rPr>
            </w:pPr>
            <w:r>
              <w:rPr>
                <w:color w:val="auto"/>
                <w:sz w:val="21"/>
              </w:rPr>
              <w:t>综上所述，拟对采购人</w:t>
            </w:r>
            <w:r>
              <w:rPr>
                <w:color w:val="auto"/>
              </w:rPr>
              <w:t>3个三级系统，</w:t>
            </w:r>
            <w:r>
              <w:rPr>
                <w:rFonts w:hint="eastAsia"/>
                <w:color w:val="auto"/>
              </w:rPr>
              <w:t>3</w:t>
            </w:r>
            <w:r>
              <w:rPr>
                <w:color w:val="auto"/>
              </w:rPr>
              <w:t>个二级系统进行等级保护测评工作</w:t>
            </w:r>
            <w:r>
              <w:rPr>
                <w:color w:val="auto"/>
                <w:sz w:val="21"/>
              </w:rPr>
              <w:t>，具体清单如下：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403"/>
              <w:gridCol w:w="1254"/>
              <w:gridCol w:w="1265"/>
            </w:tblGrid>
            <w:tr w14:paraId="55F1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blHeader/>
              </w:trPr>
              <w:tc>
                <w:tcPr>
                  <w:tcW w:w="643" w:type="dxa"/>
                  <w:noWrap w:val="0"/>
                  <w:vAlign w:val="center"/>
                </w:tcPr>
                <w:p w14:paraId="5A78BE19">
                  <w:pPr>
                    <w:pStyle w:val="12"/>
                    <w:ind w:firstLine="0" w:firstLineChars="0"/>
                    <w:jc w:val="center"/>
                    <w:rPr>
                      <w:b/>
                      <w:bCs/>
                      <w:color w:val="auto"/>
                    </w:rPr>
                  </w:pPr>
                  <w:r>
                    <w:rPr>
                      <w:rFonts w:hint="eastAsia"/>
                      <w:b/>
                      <w:bCs/>
                      <w:color w:val="auto"/>
                    </w:rPr>
                    <w:t>序号</w:t>
                  </w:r>
                </w:p>
              </w:tc>
              <w:tc>
                <w:tcPr>
                  <w:tcW w:w="3403" w:type="dxa"/>
                  <w:noWrap w:val="0"/>
                  <w:vAlign w:val="center"/>
                </w:tcPr>
                <w:p w14:paraId="237F8FD8">
                  <w:pPr>
                    <w:pStyle w:val="12"/>
                    <w:ind w:firstLine="0" w:firstLineChars="0"/>
                    <w:jc w:val="center"/>
                    <w:rPr>
                      <w:b/>
                      <w:bCs/>
                      <w:color w:val="auto"/>
                    </w:rPr>
                  </w:pPr>
                  <w:r>
                    <w:rPr>
                      <w:rFonts w:hint="eastAsia"/>
                      <w:b/>
                      <w:bCs/>
                      <w:color w:val="auto"/>
                    </w:rPr>
                    <w:t>信息系统名称</w:t>
                  </w:r>
                </w:p>
              </w:tc>
              <w:tc>
                <w:tcPr>
                  <w:tcW w:w="1254" w:type="dxa"/>
                  <w:noWrap w:val="0"/>
                  <w:vAlign w:val="center"/>
                </w:tcPr>
                <w:p w14:paraId="591E0CE2">
                  <w:pPr>
                    <w:pStyle w:val="12"/>
                    <w:ind w:firstLine="0" w:firstLineChars="0"/>
                    <w:jc w:val="center"/>
                    <w:rPr>
                      <w:b/>
                      <w:bCs/>
                      <w:color w:val="auto"/>
                    </w:rPr>
                  </w:pPr>
                  <w:r>
                    <w:rPr>
                      <w:rFonts w:hint="eastAsia"/>
                      <w:b/>
                      <w:bCs/>
                      <w:color w:val="auto"/>
                    </w:rPr>
                    <w:t>等级</w:t>
                  </w:r>
                </w:p>
              </w:tc>
              <w:tc>
                <w:tcPr>
                  <w:tcW w:w="1265" w:type="dxa"/>
                  <w:noWrap w:val="0"/>
                  <w:vAlign w:val="center"/>
                </w:tcPr>
                <w:p w14:paraId="7B76DF3A">
                  <w:pPr>
                    <w:pStyle w:val="12"/>
                    <w:ind w:firstLine="0" w:firstLineChars="0"/>
                    <w:jc w:val="center"/>
                    <w:rPr>
                      <w:b/>
                      <w:bCs/>
                      <w:color w:val="auto"/>
                    </w:rPr>
                  </w:pPr>
                  <w:r>
                    <w:rPr>
                      <w:rFonts w:hint="eastAsia"/>
                      <w:b/>
                      <w:bCs/>
                      <w:color w:val="auto"/>
                    </w:rPr>
                    <w:t>是否在互联网区</w:t>
                  </w:r>
                </w:p>
              </w:tc>
            </w:tr>
            <w:tr w14:paraId="0C0F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081D0C67">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1</w:t>
                  </w:r>
                </w:p>
              </w:tc>
              <w:tc>
                <w:tcPr>
                  <w:tcW w:w="3403" w:type="dxa"/>
                  <w:noWrap w:val="0"/>
                  <w:vAlign w:val="center"/>
                </w:tcPr>
                <w:p w14:paraId="2D8763CE">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佛山市城市道路建设和养护行业诚信管理平台（二期）</w:t>
                  </w:r>
                </w:p>
              </w:tc>
              <w:tc>
                <w:tcPr>
                  <w:tcW w:w="1254" w:type="dxa"/>
                  <w:noWrap w:val="0"/>
                  <w:vAlign w:val="center"/>
                </w:tcPr>
                <w:p w14:paraId="5DC65222">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三级</w:t>
                  </w:r>
                </w:p>
              </w:tc>
              <w:tc>
                <w:tcPr>
                  <w:tcW w:w="1265" w:type="dxa"/>
                  <w:noWrap w:val="0"/>
                  <w:vAlign w:val="center"/>
                </w:tcPr>
                <w:p w14:paraId="531CBCFB">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是</w:t>
                  </w:r>
                </w:p>
              </w:tc>
            </w:tr>
            <w:tr w14:paraId="2768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68FAE63C">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2</w:t>
                  </w:r>
                </w:p>
              </w:tc>
              <w:tc>
                <w:tcPr>
                  <w:tcW w:w="3403" w:type="dxa"/>
                  <w:noWrap w:val="0"/>
                  <w:vAlign w:val="center"/>
                </w:tcPr>
                <w:p w14:paraId="5293984D">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佛山市驾培招生网络报名平台(佛山学车公共服务平台)</w:t>
                  </w:r>
                </w:p>
              </w:tc>
              <w:tc>
                <w:tcPr>
                  <w:tcW w:w="1254" w:type="dxa"/>
                  <w:noWrap w:val="0"/>
                  <w:vAlign w:val="center"/>
                </w:tcPr>
                <w:p w14:paraId="4A074847">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三级</w:t>
                  </w:r>
                </w:p>
              </w:tc>
              <w:tc>
                <w:tcPr>
                  <w:tcW w:w="1265" w:type="dxa"/>
                  <w:noWrap w:val="0"/>
                  <w:vAlign w:val="center"/>
                </w:tcPr>
                <w:p w14:paraId="62C0A528">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是</w:t>
                  </w:r>
                </w:p>
              </w:tc>
            </w:tr>
            <w:tr w14:paraId="41DC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095A6B79">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3</w:t>
                  </w:r>
                </w:p>
              </w:tc>
              <w:tc>
                <w:tcPr>
                  <w:tcW w:w="3403" w:type="dxa"/>
                  <w:noWrap w:val="0"/>
                  <w:vAlign w:val="center"/>
                </w:tcPr>
                <w:p w14:paraId="147E55DE">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佛山市驾培监管服务平台</w:t>
                  </w:r>
                </w:p>
              </w:tc>
              <w:tc>
                <w:tcPr>
                  <w:tcW w:w="1254" w:type="dxa"/>
                  <w:noWrap w:val="0"/>
                  <w:vAlign w:val="center"/>
                </w:tcPr>
                <w:p w14:paraId="3B8A1E62">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三级</w:t>
                  </w:r>
                </w:p>
              </w:tc>
              <w:tc>
                <w:tcPr>
                  <w:tcW w:w="1265" w:type="dxa"/>
                  <w:noWrap w:val="0"/>
                  <w:vAlign w:val="center"/>
                </w:tcPr>
                <w:p w14:paraId="7269B578">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是</w:t>
                  </w:r>
                </w:p>
              </w:tc>
            </w:tr>
            <w:tr w14:paraId="5A0C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287A1D00">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4</w:t>
                  </w:r>
                </w:p>
              </w:tc>
              <w:tc>
                <w:tcPr>
                  <w:tcW w:w="3403" w:type="dxa"/>
                  <w:noWrap w:val="0"/>
                  <w:vAlign w:val="center"/>
                </w:tcPr>
                <w:p w14:paraId="77CE59E7">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佛山市汽车维修电子健康档案信息服务平台</w:t>
                  </w:r>
                </w:p>
              </w:tc>
              <w:tc>
                <w:tcPr>
                  <w:tcW w:w="1254" w:type="dxa"/>
                  <w:noWrap w:val="0"/>
                  <w:vAlign w:val="center"/>
                </w:tcPr>
                <w:p w14:paraId="3C5CA9F8">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二级</w:t>
                  </w:r>
                </w:p>
              </w:tc>
              <w:tc>
                <w:tcPr>
                  <w:tcW w:w="1265" w:type="dxa"/>
                  <w:noWrap w:val="0"/>
                  <w:vAlign w:val="center"/>
                </w:tcPr>
                <w:p w14:paraId="5EAAFCBB">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是</w:t>
                  </w:r>
                </w:p>
              </w:tc>
            </w:tr>
            <w:tr w14:paraId="29F0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73F3245A">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5</w:t>
                  </w:r>
                </w:p>
              </w:tc>
              <w:tc>
                <w:tcPr>
                  <w:tcW w:w="3403" w:type="dxa"/>
                  <w:noWrap w:val="0"/>
                  <w:vAlign w:val="center"/>
                </w:tcPr>
                <w:p w14:paraId="652AADB8">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佛山市城市道路工程农民工工资信息管理平台</w:t>
                  </w:r>
                </w:p>
              </w:tc>
              <w:tc>
                <w:tcPr>
                  <w:tcW w:w="1254" w:type="dxa"/>
                  <w:noWrap w:val="0"/>
                  <w:vAlign w:val="center"/>
                </w:tcPr>
                <w:p w14:paraId="2DA4A67A">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二级</w:t>
                  </w:r>
                </w:p>
              </w:tc>
              <w:tc>
                <w:tcPr>
                  <w:tcW w:w="1265" w:type="dxa"/>
                  <w:noWrap w:val="0"/>
                  <w:vAlign w:val="center"/>
                </w:tcPr>
                <w:p w14:paraId="2662E6CF">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是</w:t>
                  </w:r>
                </w:p>
              </w:tc>
            </w:tr>
            <w:tr w14:paraId="51BC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698332DE">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6</w:t>
                  </w:r>
                </w:p>
              </w:tc>
              <w:tc>
                <w:tcPr>
                  <w:tcW w:w="3403" w:type="dxa"/>
                  <w:noWrap w:val="0"/>
                  <w:vAlign w:val="center"/>
                </w:tcPr>
                <w:p w14:paraId="408E9B55">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佛山市城乡道路客运成品油价格补助和新能源车辆运营补助里程统计报送系统</w:t>
                  </w:r>
                </w:p>
              </w:tc>
              <w:tc>
                <w:tcPr>
                  <w:tcW w:w="1254" w:type="dxa"/>
                  <w:noWrap w:val="0"/>
                  <w:vAlign w:val="center"/>
                </w:tcPr>
                <w:p w14:paraId="63485EB0">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二级</w:t>
                  </w:r>
                </w:p>
              </w:tc>
              <w:tc>
                <w:tcPr>
                  <w:tcW w:w="1265" w:type="dxa"/>
                  <w:noWrap w:val="0"/>
                  <w:vAlign w:val="center"/>
                </w:tcPr>
                <w:p w14:paraId="4DBD496E">
                  <w:pPr>
                    <w:pStyle w:val="12"/>
                    <w:ind w:firstLine="0" w:firstLineChars="0"/>
                    <w:jc w:val="center"/>
                    <w:rPr>
                      <w:rFonts w:hint="eastAsia" w:asciiTheme="minorHAnsi" w:hAnsiTheme="minorHAnsi" w:eastAsiaTheme="minorEastAsia" w:cstheme="minorBidi"/>
                      <w:color w:val="auto"/>
                      <w:szCs w:val="20"/>
                      <w:lang w:val="en-US" w:eastAsia="zh-Hans"/>
                    </w:rPr>
                  </w:pPr>
                  <w:r>
                    <w:rPr>
                      <w:rFonts w:hint="eastAsia" w:asciiTheme="minorHAnsi" w:hAnsiTheme="minorHAnsi" w:eastAsiaTheme="minorEastAsia" w:cstheme="minorBidi"/>
                      <w:color w:val="auto"/>
                      <w:szCs w:val="20"/>
                      <w:lang w:val="en-US" w:eastAsia="zh-Hans"/>
                    </w:rPr>
                    <w:t>是</w:t>
                  </w:r>
                </w:p>
              </w:tc>
            </w:tr>
          </w:tbl>
          <w:p w14:paraId="30DFE918">
            <w:pPr>
              <w:pStyle w:val="11"/>
              <w:ind w:firstLine="440"/>
              <w:jc w:val="left"/>
              <w:rPr>
                <w:color w:val="auto"/>
              </w:rPr>
            </w:pPr>
            <w:r>
              <w:rPr>
                <w:color w:val="auto"/>
                <w:sz w:val="21"/>
              </w:rPr>
              <w:t>3.2 服务要求</w:t>
            </w:r>
          </w:p>
          <w:p w14:paraId="5B6A61C0">
            <w:pPr>
              <w:pStyle w:val="11"/>
              <w:ind w:firstLine="440"/>
              <w:jc w:val="both"/>
              <w:rPr>
                <w:color w:val="auto"/>
              </w:rPr>
            </w:pPr>
            <w:r>
              <w:rPr>
                <w:color w:val="auto"/>
                <w:sz w:val="21"/>
              </w:rPr>
              <w:t>（1）</w:t>
            </w:r>
            <w:r>
              <w:rPr>
                <w:rFonts w:hint="eastAsia"/>
                <w:color w:val="auto"/>
                <w:sz w:val="21"/>
              </w:rPr>
              <w:t>在安全测评工作中通过现场差距测评对系统出具差距测评报告，并针对在差距测评工作中发现的安全问题制定系统整改方案，按照系统整改方案对系统存在的安全漏洞进行整改，整改完成后进行验收测评，测评通过则出具验收测评报告。</w:t>
            </w:r>
          </w:p>
          <w:p w14:paraId="14B06DF5">
            <w:pPr>
              <w:pStyle w:val="11"/>
              <w:ind w:firstLine="440"/>
              <w:jc w:val="both"/>
              <w:rPr>
                <w:color w:val="auto"/>
              </w:rPr>
            </w:pPr>
            <w:r>
              <w:rPr>
                <w:color w:val="auto"/>
                <w:sz w:val="21"/>
              </w:rPr>
              <w:t>（2）</w:t>
            </w:r>
            <w:r>
              <w:rPr>
                <w:rFonts w:hint="eastAsia"/>
                <w:color w:val="auto"/>
                <w:sz w:val="21"/>
              </w:rPr>
              <w:t>等级保护测评内容主要包括以下方面：安全物理环境、安全通信网络、安全区域边界、安全计算环境和安全管理中心和安全管理制度等</w:t>
            </w:r>
            <w:r>
              <w:rPr>
                <w:color w:val="auto"/>
                <w:sz w:val="21"/>
              </w:rPr>
              <w:t>。</w:t>
            </w:r>
          </w:p>
          <w:p w14:paraId="7B659AB0">
            <w:pPr>
              <w:pStyle w:val="11"/>
              <w:ind w:firstLine="440"/>
              <w:jc w:val="left"/>
              <w:rPr>
                <w:color w:val="auto"/>
              </w:rPr>
            </w:pPr>
            <w:r>
              <w:rPr>
                <w:color w:val="auto"/>
                <w:sz w:val="21"/>
              </w:rPr>
              <w:t>3.3 服务成果</w:t>
            </w:r>
          </w:p>
          <w:p w14:paraId="5835B800">
            <w:pPr>
              <w:pStyle w:val="11"/>
              <w:ind w:firstLine="440"/>
              <w:jc w:val="both"/>
              <w:rPr>
                <w:rFonts w:hint="eastAsia" w:eastAsiaTheme="minorEastAsia"/>
                <w:color w:val="auto"/>
                <w:sz w:val="21"/>
                <w:lang w:eastAsia="zh-CN"/>
              </w:rPr>
            </w:pPr>
            <w:r>
              <w:rPr>
                <w:color w:val="auto"/>
                <w:sz w:val="21"/>
              </w:rPr>
              <w:t>包含但不限于：</w:t>
            </w:r>
            <w:r>
              <w:rPr>
                <w:rFonts w:hint="eastAsia"/>
                <w:color w:val="auto"/>
                <w:sz w:val="21"/>
              </w:rPr>
              <w:t>《等级保护测评报告》《备案材料》</w:t>
            </w:r>
            <w:r>
              <w:rPr>
                <w:rFonts w:hint="eastAsia"/>
                <w:color w:val="auto"/>
                <w:sz w:val="21"/>
                <w:lang w:eastAsia="zh-CN"/>
              </w:rPr>
              <w:t>。</w:t>
            </w:r>
          </w:p>
          <w:p w14:paraId="5BA5D100">
            <w:pPr>
              <w:pStyle w:val="11"/>
              <w:jc w:val="both"/>
              <w:rPr>
                <w:color w:val="auto"/>
                <w:sz w:val="21"/>
              </w:rPr>
            </w:pPr>
          </w:p>
          <w:p w14:paraId="738D6943">
            <w:pPr>
              <w:pStyle w:val="11"/>
              <w:jc w:val="both"/>
              <w:rPr>
                <w:color w:val="auto"/>
              </w:rPr>
            </w:pPr>
            <w:r>
              <w:rPr>
                <w:color w:val="auto"/>
                <w:sz w:val="21"/>
              </w:rPr>
              <w:t>五、单位技术能力及技术人员要求：</w:t>
            </w:r>
          </w:p>
          <w:p w14:paraId="16088989">
            <w:pPr>
              <w:pStyle w:val="11"/>
              <w:jc w:val="both"/>
              <w:rPr>
                <w:color w:val="auto"/>
              </w:rPr>
            </w:pPr>
            <w:r>
              <w:rPr>
                <w:color w:val="auto"/>
                <w:sz w:val="21"/>
              </w:rPr>
              <w:t>1）供应商应具有网络安全等级保护的服务能力，具有信息系统集成等相关的能力，并且在服务过程中必须按采购人要求以及保密、涉密等相关标准做好信息保密工作，并能提供售后服务保障。</w:t>
            </w:r>
          </w:p>
          <w:p w14:paraId="3C74AB8C">
            <w:pPr>
              <w:pStyle w:val="11"/>
              <w:jc w:val="both"/>
              <w:rPr>
                <w:color w:val="auto"/>
              </w:rPr>
            </w:pPr>
            <w:r>
              <w:rPr>
                <w:color w:val="auto"/>
                <w:sz w:val="21"/>
              </w:rPr>
              <w:t>2）供应商应根据项目实施内容，投入具有相关资历及信息化类（如系统分析、程序分析、信息安全、信息系统监理、网络安全测评、信息系统规划、数据处理分析、通信工程等）的专业技术人员到本项目中，已确保项目的顺利开展。</w:t>
            </w:r>
          </w:p>
          <w:p w14:paraId="5EF01E0A">
            <w:pPr>
              <w:pStyle w:val="11"/>
              <w:jc w:val="both"/>
              <w:rPr>
                <w:color w:val="auto"/>
              </w:rPr>
            </w:pPr>
            <w:r>
              <w:rPr>
                <w:color w:val="auto"/>
              </w:rPr>
              <w:t xml:space="preserve"> </w:t>
            </w:r>
          </w:p>
          <w:p w14:paraId="3F125529">
            <w:pPr>
              <w:pStyle w:val="11"/>
              <w:jc w:val="both"/>
              <w:rPr>
                <w:color w:val="auto"/>
              </w:rPr>
            </w:pPr>
            <w:r>
              <w:rPr>
                <w:color w:val="auto"/>
              </w:rPr>
              <w:t xml:space="preserve"> </w:t>
            </w:r>
          </w:p>
        </w:tc>
      </w:tr>
      <w:tr w14:paraId="37EEE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14:paraId="6CAAD7D5">
            <w:pPr>
              <w:pStyle w:val="11"/>
              <w:rPr>
                <w:color w:val="auto"/>
              </w:rPr>
            </w:pPr>
            <w:r>
              <w:rPr>
                <w:color w:val="auto"/>
              </w:rPr>
              <w:t>★</w:t>
            </w:r>
          </w:p>
        </w:tc>
        <w:tc>
          <w:tcPr>
            <w:tcW w:w="627" w:type="dxa"/>
          </w:tcPr>
          <w:p w14:paraId="4D08E2E6">
            <w:pPr>
              <w:pStyle w:val="11"/>
              <w:rPr>
                <w:color w:val="auto"/>
              </w:rPr>
            </w:pPr>
            <w:r>
              <w:rPr>
                <w:color w:val="auto"/>
              </w:rPr>
              <w:t>2</w:t>
            </w:r>
          </w:p>
        </w:tc>
        <w:tc>
          <w:tcPr>
            <w:tcW w:w="6876" w:type="dxa"/>
          </w:tcPr>
          <w:p w14:paraId="3C7FD3BE">
            <w:pPr>
              <w:pStyle w:val="11"/>
              <w:jc w:val="both"/>
              <w:rPr>
                <w:color w:val="auto"/>
              </w:rPr>
            </w:pPr>
            <w:r>
              <w:rPr>
                <w:color w:val="auto"/>
                <w:sz w:val="21"/>
              </w:rPr>
              <w:t>以下内容为带“★”号的技术要求的汇总：</w:t>
            </w:r>
          </w:p>
          <w:p w14:paraId="36FBEDB2">
            <w:pPr>
              <w:pStyle w:val="11"/>
              <w:jc w:val="both"/>
              <w:rPr>
                <w:color w:val="auto"/>
              </w:rPr>
            </w:pPr>
            <w:r>
              <w:rPr>
                <w:color w:val="auto"/>
                <w:sz w:val="21"/>
              </w:rPr>
              <w:t>★合同签订后5个工作日内，成交供应商须按采购人要求编制本项目实施方案，内容包括但不限于全流量追踪溯源服务工具、全流量威胁检测服务工具、运维监控及分析管理服务工具、边界防御能力升级服务工具、全网一体化安全运营服务工具、漏洞扫描服务工具和基线检查服务工具等工具部署方案、应用方案以及应用计划等，确保提供的服务工具符合要求，无法满足需求的视为虚假响应，采购人将终止合同，由此引发的所有损失由成交供应商承担。</w:t>
            </w:r>
          </w:p>
        </w:tc>
      </w:tr>
      <w:tr w14:paraId="1C057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14:paraId="443C5646">
            <w:pPr>
              <w:pStyle w:val="11"/>
              <w:rPr>
                <w:color w:val="auto"/>
              </w:rPr>
            </w:pPr>
            <w:r>
              <w:rPr>
                <w:color w:val="auto"/>
              </w:rPr>
              <w:t>说明</w:t>
            </w:r>
          </w:p>
        </w:tc>
        <w:tc>
          <w:tcPr>
            <w:tcW w:w="7503" w:type="dxa"/>
            <w:gridSpan w:val="2"/>
          </w:tcPr>
          <w:p w14:paraId="5005D61C">
            <w:pPr>
              <w:pStyle w:val="11"/>
              <w:jc w:val="left"/>
              <w:rPr>
                <w:color w:val="auto"/>
              </w:rPr>
            </w:pPr>
            <w:r>
              <w:rPr>
                <w:color w:val="auto"/>
              </w:rPr>
              <w:t xml:space="preserve"> 打“★”号条款为实质性条款，若有任何一条负偏离或不满足则导致投标无效。 </w:t>
            </w:r>
            <w:r>
              <w:rPr>
                <w:color w:val="auto"/>
              </w:rPr>
              <w:br w:type="textWrapping"/>
            </w:r>
            <w:r>
              <w:rPr>
                <w:color w:val="auto"/>
              </w:rPr>
              <w:t>打“▲”号条款为重要技术参数，若有部分“▲”条款未响应或不满足，将导致其响应性评审加重扣分，但不作为无效投标条款。</w:t>
            </w:r>
          </w:p>
        </w:tc>
      </w:tr>
    </w:tbl>
    <w:p w14:paraId="5B73E45C">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A7528"/>
    <w:multiLevelType w:val="multilevel"/>
    <w:tmpl w:val="57FA7528"/>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55F09"/>
    <w:rsid w:val="62355F09"/>
    <w:rsid w:val="7EDC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numPr>
        <w:ilvl w:val="1"/>
        <w:numId w:val="1"/>
      </w:numPr>
      <w:spacing w:line="360" w:lineRule="auto"/>
      <w:outlineLvl w:val="1"/>
    </w:pPr>
    <w:rPr>
      <w:rFonts w:ascii="黑体" w:hAnsi="黑体" w:eastAsia="黑体" w:cs="Times New Roman"/>
      <w:b/>
      <w:bCs/>
      <w:sz w:val="32"/>
      <w:szCs w:val="32"/>
    </w:rPr>
  </w:style>
  <w:style w:type="paragraph" w:styleId="4">
    <w:name w:val="heading 3"/>
    <w:basedOn w:val="1"/>
    <w:next w:val="1"/>
    <w:qFormat/>
    <w:uiPriority w:val="9"/>
    <w:pPr>
      <w:keepNext/>
      <w:keepLines/>
      <w:numPr>
        <w:ilvl w:val="2"/>
        <w:numId w:val="1"/>
      </w:numPr>
      <w:spacing w:line="360" w:lineRule="auto"/>
      <w:outlineLvl w:val="2"/>
    </w:pPr>
    <w:rPr>
      <w:rFonts w:ascii="Times New Roman" w:hAnsi="Times New Roman" w:eastAsia="黑体"/>
      <w:b/>
      <w:bCs/>
      <w:sz w:val="32"/>
      <w:szCs w:val="28"/>
    </w:rPr>
  </w:style>
  <w:style w:type="paragraph" w:styleId="5">
    <w:name w:val="heading 4"/>
    <w:basedOn w:val="1"/>
    <w:next w:val="1"/>
    <w:qFormat/>
    <w:uiPriority w:val="9"/>
    <w:pPr>
      <w:keepNext/>
      <w:keepLines/>
      <w:numPr>
        <w:ilvl w:val="3"/>
        <w:numId w:val="1"/>
      </w:numPr>
      <w:spacing w:line="360" w:lineRule="auto"/>
      <w:outlineLvl w:val="3"/>
    </w:pPr>
    <w:rPr>
      <w:rFonts w:ascii="Times New Roman" w:hAnsi="Times New Roman" w:eastAsia="宋体" w:cs="Times New Roman"/>
      <w:b/>
      <w:bCs/>
      <w:sz w:val="28"/>
      <w:szCs w:val="28"/>
    </w:rPr>
  </w:style>
  <w:style w:type="paragraph" w:styleId="6">
    <w:name w:val="heading 5"/>
    <w:basedOn w:val="1"/>
    <w:next w:val="1"/>
    <w:qFormat/>
    <w:uiPriority w:val="9"/>
    <w:pPr>
      <w:keepNext/>
      <w:keepLines/>
      <w:numPr>
        <w:ilvl w:val="4"/>
        <w:numId w:val="1"/>
      </w:numPr>
      <w:spacing w:line="360" w:lineRule="auto"/>
      <w:outlineLvl w:val="4"/>
    </w:pPr>
    <w:rPr>
      <w:rFonts w:ascii="Times New Roman" w:hAnsi="Times New Roman" w:eastAsia="宋体" w:cs="Times New Roman"/>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cs="Times New Roman"/>
      <w:szCs w:val="24"/>
    </w:rPr>
  </w:style>
  <w:style w:type="paragraph" w:styleId="7">
    <w:name w:val="Body Text"/>
    <w:basedOn w:val="1"/>
    <w:unhideWhenUsed/>
    <w:qFormat/>
    <w:uiPriority w:val="1"/>
    <w:pPr>
      <w:widowControl/>
      <w:ind w:firstLine="480" w:firstLineChars="200"/>
      <w:contextualSpacing/>
      <w:jc w:val="left"/>
    </w:pPr>
    <w:rPr>
      <w:rFonts w:ascii="Calibri" w:hAnsi="Calibri" w:cs="Times New Roman"/>
      <w:sz w:val="28"/>
      <w:szCs w:val="28"/>
    </w:rPr>
  </w:style>
  <w:style w:type="paragraph" w:customStyle="1" w:styleId="10">
    <w:name w:val="_Style 3"/>
    <w:basedOn w:val="1"/>
    <w:qFormat/>
    <w:uiPriority w:val="0"/>
    <w:pPr>
      <w:suppressAutoHyphens/>
      <w:ind w:firstLine="420"/>
    </w:pPr>
    <w:rPr>
      <w:kern w:val="1"/>
      <w:lang w:eastAsia="ar-SA"/>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paragraph" w:customStyle="1" w:styleId="12">
    <w:name w:val="方案正文"/>
    <w:basedOn w:val="1"/>
    <w:qFormat/>
    <w:uiPriority w:val="0"/>
    <w:pPr>
      <w:widowControl/>
      <w:adjustRightInd w:val="0"/>
      <w:snapToGrid w:val="0"/>
      <w:ind w:firstLine="480" w:firstLineChars="200"/>
      <w:contextualSpacing/>
    </w:pPr>
    <w:rPr>
      <w:rFonts w:ascii="宋体" w:hAnsi="宋体" w:cs="宋体"/>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2312</Words>
  <Characters>2353</Characters>
  <Lines>0</Lines>
  <Paragraphs>0</Paragraphs>
  <TotalTime>0</TotalTime>
  <ScaleCrop>false</ScaleCrop>
  <LinksUpToDate>false</LinksUpToDate>
  <CharactersWithSpaces>2357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2025-08-27T02:59:00Z</dcterms:created>
  <dc:creator>刚刚好</dc:creator>
  <cp:lastModifiedBy>刚刚好</cp:lastModifiedBy>
  <dcterms:modified xsi:type="dcterms:W3CDTF">2025-08-27T06:51:10Z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E593A4D835784B0FB72AADBF263A1DC4_11</vt:lpwstr>
  </property>
  <property fmtid="{D5CDD505-2E9C-101B-9397-08002B2CF9AE}" pid="4" name="KSOTemplateDocerSaveRecord">
    <vt:lpwstr>eyJoZGlkIjoiYTkzOTU0M2M0MTdjY2E4MjZiOGRiZWE2OTM3MWU0Y2IiLCJ1c2VySWQiOiIxMTIzMTkwMTkwIn0=</vt:lpwstr>
  </property>
</Properties>
</file>