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2A618">
      <w:pPr>
        <w:keepNext w:val="0"/>
        <w:keepLines w:val="0"/>
        <w:pageBreakBefore w:val="0"/>
        <w:wordWrap w:val="0"/>
        <w:overflowPunct/>
        <w:topLinePunct w:val="0"/>
        <w:bidi w:val="0"/>
        <w:adjustRightInd/>
        <w:snapToGrid/>
        <w:spacing w:line="360" w:lineRule="auto"/>
        <w:ind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采购需求</w:t>
      </w:r>
    </w:p>
    <w:p w14:paraId="7D76BC3A">
      <w:pPr>
        <w:keepNext w:val="0"/>
        <w:keepLines w:val="0"/>
        <w:pageBreakBefore w:val="0"/>
        <w:wordWrap w:val="0"/>
        <w:overflowPunct/>
        <w:topLinePunct w:val="0"/>
        <w:autoSpaceDE w:val="0"/>
        <w:autoSpaceDN w:val="0"/>
        <w:bidi w:val="0"/>
        <w:adjustRightInd/>
        <w:snapToGrid/>
        <w:spacing w:line="360" w:lineRule="auto"/>
        <w:ind w:right="0"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项目说明</w:t>
      </w:r>
    </w:p>
    <w:p w14:paraId="269586C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1.本采购需求</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注符号的说明</w:t>
      </w:r>
    </w:p>
    <w:p w14:paraId="7416D176">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(1)凡标记“★”号的条款（如有）为必须实质性响应的要求。</w:t>
      </w:r>
    </w:p>
    <w:p w14:paraId="1F2D3B8F">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(2)凡标记“▲”号的条款（如有）为重要的要求，供应商任何负偏离（不满足要求）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可能对其评审产生重大的影响。</w:t>
      </w:r>
    </w:p>
    <w:p w14:paraId="76EEC238">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2.项目名称：</w:t>
      </w:r>
      <w:r>
        <w:rPr>
          <w:rFonts w:hint="eastAsia" w:ascii="宋体" w:hAnsi="宋体" w:eastAsia="宋体" w:cs="宋体"/>
          <w:color w:val="auto"/>
          <w:sz w:val="21"/>
          <w:szCs w:val="21"/>
          <w:highlight w:val="none"/>
          <w:lang w:val="en-US" w:eastAsia="zh-CN"/>
        </w:rPr>
        <w:t>超声乳化治疗仪</w:t>
      </w:r>
      <w:r>
        <w:rPr>
          <w:rFonts w:hint="eastAsia" w:ascii="宋体" w:hAnsi="宋体" w:eastAsia="宋体" w:cs="宋体"/>
          <w:color w:val="auto"/>
          <w:sz w:val="21"/>
          <w:szCs w:val="21"/>
          <w:highlight w:val="none"/>
        </w:rPr>
        <w:t>。</w:t>
      </w:r>
    </w:p>
    <w:p w14:paraId="7A54626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3.项目属性：本项目为</w:t>
      </w:r>
      <w:r>
        <w:rPr>
          <w:rFonts w:hint="eastAsia" w:ascii="宋体" w:hAnsi="宋体" w:eastAsia="宋体" w:cs="宋体"/>
          <w:color w:val="auto"/>
          <w:sz w:val="21"/>
          <w:szCs w:val="21"/>
          <w:highlight w:val="none"/>
          <w:lang w:val="en-US" w:eastAsia="zh-CN"/>
        </w:rPr>
        <w:t>货物</w:t>
      </w:r>
      <w:r>
        <w:rPr>
          <w:rFonts w:hint="eastAsia" w:ascii="宋体" w:hAnsi="宋体" w:eastAsia="宋体" w:cs="宋体"/>
          <w:color w:val="auto"/>
          <w:sz w:val="21"/>
          <w:szCs w:val="21"/>
          <w:highlight w:val="none"/>
        </w:rPr>
        <w:t>类采购项目。</w:t>
      </w:r>
    </w:p>
    <w:p w14:paraId="132FC062">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4.根据《关于印发中小企业划型标准规定的通知》（工信部联企业〔2011〕300号）规定，本项目采购标的对应的中小企业划分标准所属行业为：</w:t>
      </w:r>
      <w:r>
        <w:rPr>
          <w:rFonts w:hint="eastAsia" w:ascii="宋体" w:hAnsi="宋体" w:eastAsia="宋体" w:cs="宋体"/>
          <w:b/>
          <w:color w:val="auto"/>
          <w:sz w:val="21"/>
          <w:szCs w:val="21"/>
          <w:highlight w:val="none"/>
          <w:u w:val="single"/>
          <w:lang w:val="en-US" w:eastAsia="zh-CN"/>
        </w:rPr>
        <w:t>工</w:t>
      </w:r>
      <w:r>
        <w:rPr>
          <w:rFonts w:hint="eastAsia" w:ascii="宋体" w:hAnsi="宋体" w:eastAsia="宋体" w:cs="宋体"/>
          <w:b/>
          <w:color w:val="auto"/>
          <w:sz w:val="21"/>
          <w:szCs w:val="21"/>
          <w:highlight w:val="none"/>
          <w:u w:val="single"/>
        </w:rPr>
        <w:t>业</w:t>
      </w:r>
      <w:r>
        <w:rPr>
          <w:rFonts w:hint="eastAsia" w:ascii="宋体" w:hAnsi="宋体" w:eastAsia="宋体" w:cs="宋体"/>
          <w:color w:val="auto"/>
          <w:sz w:val="21"/>
          <w:szCs w:val="21"/>
          <w:highlight w:val="none"/>
        </w:rPr>
        <w:t>。</w:t>
      </w:r>
    </w:p>
    <w:p w14:paraId="495881EE">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5.本项目（采购包）不属于专门面向中小微企业预留采购份额的项目（采购包）。</w:t>
      </w:r>
      <w:r>
        <w:rPr>
          <w:rFonts w:hint="eastAsia" w:ascii="宋体" w:hAnsi="宋体" w:eastAsia="宋体" w:cs="宋体"/>
          <w:color w:val="auto"/>
          <w:sz w:val="21"/>
          <w:szCs w:val="21"/>
          <w:highlight w:val="none"/>
          <w:u w:val="single"/>
        </w:rPr>
        <w:t>原因：预留采购份额无法确保充分供应、充分竞争，或者存在可能影响政府采购目标实现的情形。</w:t>
      </w:r>
    </w:p>
    <w:p w14:paraId="77D96360">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14:paraId="2E94463A">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7.本项目要求报价（含分项/单价报价，如有要求）确定且未超过采购文件中相应的预算金额或者最高限价。</w:t>
      </w:r>
    </w:p>
    <w:p w14:paraId="255200AC">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须对本项目（有划分采购包的，则以采购包为单位）进行整体</w:t>
      </w:r>
      <w:r>
        <w:rPr>
          <w:rFonts w:hint="eastAsia" w:ascii="宋体" w:hAnsi="宋体" w:eastAsia="宋体" w:cs="宋体"/>
          <w:color w:val="auto"/>
          <w:sz w:val="21"/>
          <w:szCs w:val="21"/>
          <w:highlight w:val="none"/>
          <w:lang w:eastAsia="zh-CN"/>
        </w:rPr>
        <w:t>报价</w:t>
      </w:r>
      <w:r>
        <w:rPr>
          <w:rFonts w:hint="eastAsia" w:ascii="宋体" w:hAnsi="宋体" w:eastAsia="宋体" w:cs="宋体"/>
          <w:color w:val="auto"/>
          <w:sz w:val="21"/>
          <w:szCs w:val="21"/>
          <w:highlight w:val="none"/>
        </w:rPr>
        <w:t>，任何只对其中一部分内容进行的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都被视为无效。</w:t>
      </w:r>
    </w:p>
    <w:p w14:paraId="07E6E35B">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对任何一项应当考虑在报价中的内容有漏报的单价，或每项单价中有漏报、少报的费用，均视为此项费用已包含在报价中。</w:t>
      </w:r>
    </w:p>
    <w:p w14:paraId="2D391303">
      <w:pPr>
        <w:keepNext w:val="0"/>
        <w:keepLines w:val="0"/>
        <w:pageBreakBefore w:val="0"/>
        <w:wordWrap w:val="0"/>
        <w:overflowPunct/>
        <w:topLinePunct w:val="0"/>
        <w:autoSpaceDE w:val="0"/>
        <w:autoSpaceDN w:val="0"/>
        <w:bidi w:val="0"/>
        <w:adjustRightInd/>
        <w:snapToGrid/>
        <w:spacing w:line="360" w:lineRule="auto"/>
        <w:ind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投标人须对具备医疗器械注册证/备案证明的投标产品在医疗器械注册证/备案证明材料中清楚标识出该产品的规格型号所在之处或标识该产品对应的产品名称与序号。如该设备不需要医疗器械注册或备案的请提供相关证明文件复印件并加盖公章。</w:t>
      </w:r>
    </w:p>
    <w:p w14:paraId="0D5278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1244C74">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项目概况</w:t>
      </w:r>
    </w:p>
    <w:tbl>
      <w:tblPr>
        <w:tblStyle w:val="4"/>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1414"/>
        <w:gridCol w:w="850"/>
        <w:gridCol w:w="2587"/>
        <w:gridCol w:w="2520"/>
        <w:gridCol w:w="1283"/>
      </w:tblGrid>
      <w:tr w14:paraId="3DEC3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604" w:type="dxa"/>
            <w:shd w:val="clear" w:color="auto" w:fill="EEECE1"/>
            <w:noWrap w:val="0"/>
            <w:vAlign w:val="center"/>
          </w:tcPr>
          <w:p w14:paraId="11501668">
            <w:pPr>
              <w:jc w:val="center"/>
              <w:rPr>
                <w:rFonts w:hint="default" w:ascii="宋体" w:hAnsi="宋体" w:cs="宋体" w:eastAsiaTheme="minorEastAsia"/>
                <w:b/>
                <w:szCs w:val="21"/>
                <w:lang w:val="en-US" w:eastAsia="zh-CN"/>
              </w:rPr>
            </w:pPr>
            <w:r>
              <w:rPr>
                <w:rFonts w:hint="eastAsia" w:ascii="宋体" w:hAnsi="宋体" w:cs="宋体"/>
                <w:b/>
                <w:szCs w:val="21"/>
                <w:lang w:val="en-US" w:eastAsia="zh-CN"/>
              </w:rPr>
              <w:t>包组</w:t>
            </w:r>
          </w:p>
        </w:tc>
        <w:tc>
          <w:tcPr>
            <w:tcW w:w="1414" w:type="dxa"/>
            <w:shd w:val="clear" w:color="auto" w:fill="EEECE1"/>
            <w:noWrap w:val="0"/>
            <w:vAlign w:val="center"/>
          </w:tcPr>
          <w:p w14:paraId="08A54C35">
            <w:pPr>
              <w:jc w:val="center"/>
              <w:rPr>
                <w:rFonts w:ascii="宋体" w:hAnsi="宋体" w:cs="宋体"/>
                <w:b/>
                <w:szCs w:val="21"/>
              </w:rPr>
            </w:pPr>
            <w:r>
              <w:rPr>
                <w:rFonts w:hint="eastAsia" w:ascii="宋体" w:hAnsi="宋体" w:cs="宋体"/>
                <w:b/>
                <w:szCs w:val="21"/>
              </w:rPr>
              <w:t>采购内容</w:t>
            </w:r>
          </w:p>
        </w:tc>
        <w:tc>
          <w:tcPr>
            <w:tcW w:w="850" w:type="dxa"/>
            <w:shd w:val="clear" w:color="auto" w:fill="EEECE1"/>
            <w:noWrap w:val="0"/>
            <w:vAlign w:val="center"/>
          </w:tcPr>
          <w:p w14:paraId="543F17A8">
            <w:pPr>
              <w:jc w:val="center"/>
              <w:rPr>
                <w:rFonts w:ascii="宋体" w:hAnsi="宋体" w:cs="宋体"/>
                <w:b/>
                <w:szCs w:val="21"/>
              </w:rPr>
            </w:pPr>
            <w:r>
              <w:rPr>
                <w:rFonts w:hint="eastAsia" w:ascii="宋体" w:hAnsi="宋体" w:cs="宋体"/>
                <w:b/>
                <w:szCs w:val="21"/>
              </w:rPr>
              <w:t>数量</w:t>
            </w:r>
          </w:p>
        </w:tc>
        <w:tc>
          <w:tcPr>
            <w:tcW w:w="2587" w:type="dxa"/>
            <w:shd w:val="clear" w:color="auto" w:fill="EEECE1"/>
            <w:noWrap w:val="0"/>
            <w:vAlign w:val="center"/>
          </w:tcPr>
          <w:p w14:paraId="274B0D32">
            <w:pPr>
              <w:jc w:val="center"/>
              <w:rPr>
                <w:rFonts w:ascii="宋体" w:hAnsi="宋体" w:cs="宋体"/>
                <w:b/>
                <w:szCs w:val="21"/>
              </w:rPr>
            </w:pPr>
            <w:r>
              <w:rPr>
                <w:rFonts w:hint="eastAsia" w:ascii="宋体" w:hAnsi="宋体" w:cs="宋体"/>
                <w:b/>
                <w:szCs w:val="21"/>
              </w:rPr>
              <w:t>交货期</w:t>
            </w:r>
          </w:p>
        </w:tc>
        <w:tc>
          <w:tcPr>
            <w:tcW w:w="2520" w:type="dxa"/>
            <w:shd w:val="clear" w:color="auto" w:fill="EEECE1"/>
            <w:noWrap w:val="0"/>
            <w:vAlign w:val="center"/>
          </w:tcPr>
          <w:p w14:paraId="30CB9BD6">
            <w:pPr>
              <w:jc w:val="center"/>
              <w:rPr>
                <w:rFonts w:hint="default" w:ascii="宋体" w:hAnsi="宋体" w:cs="宋体" w:eastAsiaTheme="minorEastAsia"/>
                <w:b/>
                <w:szCs w:val="21"/>
                <w:lang w:val="en-US" w:eastAsia="zh-CN"/>
              </w:rPr>
            </w:pPr>
            <w:r>
              <w:rPr>
                <w:rFonts w:hint="eastAsia" w:ascii="宋体" w:hAnsi="宋体" w:cs="宋体"/>
                <w:b/>
                <w:szCs w:val="21"/>
                <w:lang w:val="en-US" w:eastAsia="zh-CN"/>
              </w:rPr>
              <w:t>暂定预算/暂定最高限价</w:t>
            </w:r>
          </w:p>
        </w:tc>
        <w:tc>
          <w:tcPr>
            <w:tcW w:w="1283" w:type="dxa"/>
            <w:shd w:val="clear" w:color="auto" w:fill="EEECE1"/>
            <w:noWrap w:val="0"/>
            <w:vAlign w:val="center"/>
          </w:tcPr>
          <w:p w14:paraId="564E5762">
            <w:pPr>
              <w:jc w:val="center"/>
              <w:rPr>
                <w:rFonts w:ascii="宋体" w:hAnsi="宋体" w:cs="宋体"/>
                <w:b/>
                <w:szCs w:val="21"/>
              </w:rPr>
            </w:pPr>
            <w:r>
              <w:rPr>
                <w:rFonts w:hint="eastAsia" w:ascii="宋体" w:hAnsi="宋体" w:cs="宋体"/>
                <w:b/>
                <w:szCs w:val="21"/>
              </w:rPr>
              <w:t>是否允许采购进口产品</w:t>
            </w:r>
          </w:p>
        </w:tc>
      </w:tr>
      <w:tr w14:paraId="572BE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4719AE7">
            <w:pPr>
              <w:jc w:val="center"/>
              <w:rPr>
                <w:rFonts w:ascii="宋体" w:hAnsi="宋体" w:cs="宋体"/>
                <w:bCs/>
                <w:sz w:val="21"/>
                <w:szCs w:val="21"/>
              </w:rPr>
            </w:pPr>
            <w:r>
              <w:rPr>
                <w:rFonts w:hint="eastAsia" w:ascii="宋体" w:hAnsi="宋体" w:cs="宋体"/>
                <w:bCs/>
                <w:sz w:val="21"/>
                <w:szCs w:val="21"/>
              </w:rPr>
              <w:t>1</w:t>
            </w:r>
          </w:p>
        </w:tc>
        <w:tc>
          <w:tcPr>
            <w:tcW w:w="1414" w:type="dxa"/>
            <w:noWrap w:val="0"/>
            <w:vAlign w:val="center"/>
          </w:tcPr>
          <w:p w14:paraId="0DEC4072">
            <w:pPr>
              <w:jc w:val="center"/>
              <w:rPr>
                <w:rFonts w:hint="eastAsia" w:ascii="宋体" w:hAnsi="宋体" w:cs="宋体" w:eastAsiaTheme="minorEastAsia"/>
                <w:sz w:val="21"/>
                <w:szCs w:val="21"/>
                <w:lang w:eastAsia="zh-CN"/>
              </w:rPr>
            </w:pPr>
            <w:r>
              <w:rPr>
                <w:rFonts w:hint="eastAsia"/>
              </w:rPr>
              <w:t>光学生物测量仪</w:t>
            </w:r>
            <w:r>
              <w:rPr>
                <w:rFonts w:hint="eastAsia"/>
                <w:lang w:eastAsia="zh-CN"/>
              </w:rPr>
              <w:t>（</w:t>
            </w:r>
            <w:r>
              <w:rPr>
                <w:rFonts w:hint="eastAsia"/>
                <w:lang w:val="en-US" w:eastAsia="zh-CN"/>
              </w:rPr>
              <w:t>一</w:t>
            </w:r>
            <w:r>
              <w:rPr>
                <w:rFonts w:hint="eastAsia"/>
                <w:lang w:eastAsia="zh-CN"/>
              </w:rPr>
              <w:t>）</w:t>
            </w:r>
          </w:p>
        </w:tc>
        <w:tc>
          <w:tcPr>
            <w:tcW w:w="850" w:type="dxa"/>
            <w:noWrap w:val="0"/>
            <w:vAlign w:val="center"/>
          </w:tcPr>
          <w:p w14:paraId="134A8E66">
            <w:pPr>
              <w:jc w:val="center"/>
              <w:rPr>
                <w:rFonts w:hint="default" w:ascii="宋体" w:hAnsi="宋体" w:cs="宋体"/>
                <w:sz w:val="21"/>
                <w:szCs w:val="21"/>
                <w:lang w:val="en-US"/>
              </w:rPr>
            </w:pPr>
            <w:r>
              <w:rPr>
                <w:rFonts w:hint="eastAsia" w:ascii="宋体" w:hAnsi="宋体" w:cs="宋体"/>
                <w:sz w:val="21"/>
                <w:szCs w:val="21"/>
                <w:lang w:val="en-US" w:eastAsia="zh-CN"/>
              </w:rPr>
              <w:t>1套</w:t>
            </w:r>
          </w:p>
        </w:tc>
        <w:tc>
          <w:tcPr>
            <w:tcW w:w="2587" w:type="dxa"/>
            <w:noWrap w:val="0"/>
            <w:vAlign w:val="center"/>
          </w:tcPr>
          <w:p w14:paraId="22665F6A">
            <w:pPr>
              <w:pStyle w:val="7"/>
              <w:widowControl/>
              <w:spacing w:line="360" w:lineRule="auto"/>
              <w:rPr>
                <w:rFonts w:ascii="宋体" w:hAnsi="宋体" w:cs="宋体"/>
                <w:snapToGrid/>
                <w:spacing w:val="0"/>
                <w:kern w:val="2"/>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p>
        </w:tc>
        <w:tc>
          <w:tcPr>
            <w:tcW w:w="2520" w:type="dxa"/>
            <w:noWrap w:val="0"/>
            <w:vAlign w:val="center"/>
          </w:tcPr>
          <w:p w14:paraId="0C39FDAA">
            <w:pPr>
              <w:pStyle w:val="7"/>
              <w:spacing w:line="360" w:lineRule="auto"/>
              <w:ind w:firstLine="120"/>
              <w:rPr>
                <w:rFonts w:ascii="宋体" w:hAnsi="宋体" w:cs="宋体"/>
                <w:snapToGrid/>
                <w:spacing w:val="0"/>
                <w:kern w:val="2"/>
                <w:sz w:val="21"/>
                <w:szCs w:val="21"/>
              </w:rPr>
            </w:pPr>
            <w:r>
              <w:rPr>
                <w:rFonts w:hint="eastAsia" w:ascii="宋体" w:hAnsi="宋体"/>
                <w:sz w:val="21"/>
                <w:szCs w:val="21"/>
                <w:u w:val="single"/>
              </w:rPr>
              <w:t>￥</w:t>
            </w:r>
            <w:r>
              <w:rPr>
                <w:rFonts w:hint="eastAsia" w:ascii="宋体" w:hAnsi="宋体"/>
                <w:sz w:val="21"/>
                <w:szCs w:val="21"/>
                <w:u w:val="single"/>
                <w:lang w:val="en-US" w:eastAsia="zh-CN"/>
              </w:rPr>
              <w:t>1,080</w:t>
            </w:r>
            <w:r>
              <w:rPr>
                <w:rFonts w:hint="eastAsia" w:ascii="宋体" w:hAnsi="宋体"/>
                <w:sz w:val="21"/>
                <w:szCs w:val="21"/>
                <w:u w:val="single"/>
              </w:rPr>
              <w:t>,000.00元</w:t>
            </w:r>
          </w:p>
        </w:tc>
        <w:tc>
          <w:tcPr>
            <w:tcW w:w="1283" w:type="dxa"/>
            <w:noWrap w:val="0"/>
            <w:vAlign w:val="center"/>
          </w:tcPr>
          <w:p w14:paraId="1BC89335">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r w14:paraId="0003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604" w:type="dxa"/>
            <w:noWrap w:val="0"/>
            <w:vAlign w:val="center"/>
          </w:tcPr>
          <w:p w14:paraId="6E7F0713">
            <w:pPr>
              <w:jc w:val="center"/>
              <w:rPr>
                <w:rFonts w:hint="eastAsia" w:ascii="宋体" w:hAnsi="宋体" w:cs="宋体" w:eastAsiaTheme="minorEastAsia"/>
                <w:bCs/>
                <w:sz w:val="21"/>
                <w:szCs w:val="21"/>
                <w:lang w:val="en-US" w:eastAsia="zh-CN"/>
              </w:rPr>
            </w:pPr>
            <w:r>
              <w:rPr>
                <w:rFonts w:hint="eastAsia" w:ascii="宋体" w:hAnsi="宋体" w:cs="宋体"/>
                <w:bCs/>
                <w:sz w:val="21"/>
                <w:szCs w:val="21"/>
                <w:lang w:val="en-US" w:eastAsia="zh-CN"/>
              </w:rPr>
              <w:t>2</w:t>
            </w:r>
          </w:p>
        </w:tc>
        <w:tc>
          <w:tcPr>
            <w:tcW w:w="1414" w:type="dxa"/>
            <w:noWrap w:val="0"/>
            <w:vAlign w:val="center"/>
          </w:tcPr>
          <w:p w14:paraId="1CF44531">
            <w:pPr>
              <w:jc w:val="center"/>
              <w:rPr>
                <w:rFonts w:hint="eastAsia" w:ascii="宋体" w:hAnsi="宋体" w:cs="宋体" w:eastAsiaTheme="minorEastAsia"/>
                <w:sz w:val="21"/>
                <w:szCs w:val="21"/>
                <w:lang w:eastAsia="zh-CN"/>
              </w:rPr>
            </w:pPr>
            <w:r>
              <w:rPr>
                <w:rFonts w:hint="eastAsia"/>
              </w:rPr>
              <w:t>光学生物测量仪</w:t>
            </w:r>
            <w:r>
              <w:rPr>
                <w:rFonts w:hint="eastAsia"/>
                <w:lang w:eastAsia="zh-CN"/>
              </w:rPr>
              <w:t>（</w:t>
            </w:r>
            <w:r>
              <w:rPr>
                <w:rFonts w:hint="eastAsia"/>
                <w:lang w:val="en-US" w:eastAsia="zh-CN"/>
              </w:rPr>
              <w:t>二</w:t>
            </w:r>
            <w:r>
              <w:rPr>
                <w:rFonts w:hint="eastAsia"/>
                <w:lang w:eastAsia="zh-CN"/>
              </w:rPr>
              <w:t>）</w:t>
            </w:r>
          </w:p>
        </w:tc>
        <w:tc>
          <w:tcPr>
            <w:tcW w:w="850" w:type="dxa"/>
            <w:noWrap w:val="0"/>
            <w:vAlign w:val="center"/>
          </w:tcPr>
          <w:p w14:paraId="6E289ACF">
            <w:pPr>
              <w:jc w:val="center"/>
              <w:rPr>
                <w:rFonts w:hint="eastAsia" w:ascii="宋体" w:hAnsi="宋体" w:cs="宋体"/>
                <w:sz w:val="21"/>
                <w:szCs w:val="21"/>
              </w:rPr>
            </w:pPr>
            <w:r>
              <w:rPr>
                <w:rFonts w:hint="eastAsia" w:ascii="宋体" w:hAnsi="宋体" w:cs="宋体"/>
                <w:sz w:val="21"/>
                <w:szCs w:val="21"/>
                <w:lang w:val="en-US" w:eastAsia="zh-CN"/>
              </w:rPr>
              <w:t>2</w:t>
            </w:r>
            <w:r>
              <w:rPr>
                <w:rFonts w:hint="eastAsia" w:ascii="宋体" w:hAnsi="宋体" w:cs="宋体"/>
                <w:sz w:val="21"/>
                <w:szCs w:val="21"/>
              </w:rPr>
              <w:t>套</w:t>
            </w:r>
          </w:p>
        </w:tc>
        <w:tc>
          <w:tcPr>
            <w:tcW w:w="2587" w:type="dxa"/>
            <w:noWrap w:val="0"/>
            <w:vAlign w:val="center"/>
          </w:tcPr>
          <w:p w14:paraId="12962C2F">
            <w:pPr>
              <w:pStyle w:val="7"/>
              <w:widowControl/>
              <w:spacing w:line="360" w:lineRule="auto"/>
              <w:rPr>
                <w:rFonts w:hint="eastAsia" w:hAnsi="宋体" w:cs="宋体"/>
                <w:sz w:val="21"/>
                <w:szCs w:val="21"/>
              </w:rPr>
            </w:pPr>
            <w:r>
              <w:rPr>
                <w:rFonts w:hint="eastAsia" w:hAnsi="宋体" w:cs="宋体"/>
                <w:sz w:val="21"/>
                <w:szCs w:val="21"/>
              </w:rPr>
              <w:t>合同签订后</w:t>
            </w:r>
            <w:r>
              <w:rPr>
                <w:rFonts w:hint="eastAsia" w:hAnsi="宋体" w:cs="宋体"/>
                <w:sz w:val="21"/>
                <w:szCs w:val="21"/>
                <w:lang w:val="en-US" w:eastAsia="zh-CN"/>
              </w:rPr>
              <w:t xml:space="preserve">90 </w:t>
            </w:r>
            <w:r>
              <w:rPr>
                <w:rFonts w:hint="eastAsia" w:hAnsi="宋体" w:cs="宋体"/>
                <w:sz w:val="21"/>
                <w:szCs w:val="21"/>
              </w:rPr>
              <w:t>个日历日内完成所有设备的供货、安装和调试</w:t>
            </w:r>
          </w:p>
        </w:tc>
        <w:tc>
          <w:tcPr>
            <w:tcW w:w="2520" w:type="dxa"/>
            <w:noWrap w:val="0"/>
            <w:vAlign w:val="center"/>
          </w:tcPr>
          <w:p w14:paraId="2735D385">
            <w:pPr>
              <w:pStyle w:val="7"/>
              <w:spacing w:line="360" w:lineRule="auto"/>
              <w:ind w:firstLine="120"/>
              <w:rPr>
                <w:rFonts w:hint="eastAsia" w:ascii="宋体" w:hAnsi="宋体"/>
                <w:sz w:val="21"/>
                <w:szCs w:val="21"/>
                <w:u w:val="single"/>
              </w:rPr>
            </w:pPr>
            <w:r>
              <w:rPr>
                <w:rFonts w:hint="eastAsia" w:ascii="宋体" w:hAnsi="宋体"/>
                <w:sz w:val="21"/>
                <w:szCs w:val="21"/>
                <w:u w:val="single"/>
              </w:rPr>
              <w:t>￥</w:t>
            </w:r>
            <w:r>
              <w:rPr>
                <w:rFonts w:hint="eastAsia" w:ascii="宋体" w:hAnsi="宋体"/>
                <w:sz w:val="21"/>
                <w:szCs w:val="21"/>
                <w:u w:val="single"/>
                <w:lang w:val="en-US" w:eastAsia="zh-CN"/>
              </w:rPr>
              <w:t>2,16</w:t>
            </w:r>
            <w:r>
              <w:rPr>
                <w:rFonts w:hint="eastAsia" w:ascii="宋体" w:hAnsi="宋体"/>
                <w:sz w:val="21"/>
                <w:szCs w:val="21"/>
                <w:u w:val="single"/>
              </w:rPr>
              <w:t>0,000.00元</w:t>
            </w:r>
          </w:p>
        </w:tc>
        <w:tc>
          <w:tcPr>
            <w:tcW w:w="1283" w:type="dxa"/>
            <w:noWrap w:val="0"/>
            <w:vAlign w:val="center"/>
          </w:tcPr>
          <w:p w14:paraId="7CC740AD">
            <w:pPr>
              <w:pStyle w:val="7"/>
              <w:spacing w:line="360" w:lineRule="auto"/>
              <w:ind w:firstLine="120"/>
              <w:rPr>
                <w:rFonts w:hint="eastAsia" w:ascii="宋体" w:hAnsi="宋体" w:cs="宋体"/>
                <w:snapToGrid/>
                <w:spacing w:val="0"/>
                <w:kern w:val="2"/>
                <w:sz w:val="21"/>
                <w:szCs w:val="21"/>
              </w:rPr>
            </w:pPr>
            <w:r>
              <w:rPr>
                <w:rFonts w:hint="eastAsia" w:ascii="宋体" w:hAnsi="宋体" w:cs="宋体"/>
                <w:snapToGrid/>
                <w:spacing w:val="0"/>
                <w:kern w:val="2"/>
                <w:sz w:val="21"/>
                <w:szCs w:val="21"/>
              </w:rPr>
              <w:t>是</w:t>
            </w:r>
          </w:p>
        </w:tc>
      </w:tr>
    </w:tbl>
    <w:p w14:paraId="5C71CE17">
      <w:pPr>
        <w:keepNext w:val="0"/>
        <w:keepLines w:val="0"/>
        <w:pageBreakBefore w:val="0"/>
        <w:numPr>
          <w:ilvl w:val="0"/>
          <w:numId w:val="0"/>
        </w:numPr>
        <w:wordWrap w:val="0"/>
        <w:overflowPunct/>
        <w:topLinePunct w:val="0"/>
        <w:autoSpaceDE w:val="0"/>
        <w:autoSpaceDN w:val="0"/>
        <w:bidi w:val="0"/>
        <w:adjustRightInd/>
        <w:snapToGrid/>
        <w:spacing w:line="360" w:lineRule="auto"/>
        <w:ind w:right="0" w:rightChars="0"/>
        <w:jc w:val="left"/>
        <w:textAlignment w:val="auto"/>
        <w:outlineLvl w:val="2"/>
        <w:rPr>
          <w:rFonts w:hint="eastAsia" w:ascii="宋体" w:hAnsi="宋体" w:eastAsia="宋体" w:cs="宋体"/>
          <w:b/>
          <w:color w:val="auto"/>
          <w:sz w:val="21"/>
          <w:szCs w:val="21"/>
          <w:highlight w:val="none"/>
        </w:rPr>
      </w:pPr>
    </w:p>
    <w:p w14:paraId="525C45E8">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商务要求</w:t>
      </w:r>
      <w:r>
        <w:rPr>
          <w:rFonts w:hint="eastAsia" w:ascii="宋体" w:hAnsi="宋体" w:eastAsia="宋体" w:cs="宋体"/>
          <w:color w:val="000000" w:themeColor="text1"/>
          <w:kern w:val="21"/>
          <w:sz w:val="28"/>
          <w:szCs w:val="28"/>
          <w:highlight w:val="none"/>
          <w:lang w:eastAsia="zh-CN"/>
          <w14:textFill>
            <w14:solidFill>
              <w14:schemeClr w14:val="tx1"/>
            </w14:solidFill>
          </w14:textFill>
        </w:rPr>
        <w:t>（各采购包通用）</w:t>
      </w:r>
    </w:p>
    <w:p w14:paraId="1DBEC8AD">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1、设备要求</w:t>
      </w:r>
    </w:p>
    <w:p w14:paraId="694FD23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1）货物为原制造商制造的全新产品（包括但不限于货物的硬件、软件均未被除</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以外的主体使用过），整机无污染，无侵权行为、表面无划损、破损、无任何缺陷及隐患，不存在设计、材料或工艺上的缺陷或隐患，货物必须具备出厂合格证或其他行业内认可的合格证明，且进货渠道合法，在中国境内可依常规安全合法使用。</w:t>
      </w:r>
    </w:p>
    <w:p w14:paraId="6898F95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highlight w:val="green"/>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eastAsia="zh-CN"/>
          <w14:textFill>
            <w14:solidFill>
              <w14:schemeClr w14:val="tx1"/>
            </w14:solidFill>
          </w14:textFill>
        </w:rPr>
        <w:t>投标人提供的货物必须符合</w:t>
      </w:r>
      <w:r>
        <w:rPr>
          <w:rFonts w:hint="eastAsia" w:ascii="宋体" w:hAnsi="宋体" w:cs="宋体"/>
          <w:color w:val="000000" w:themeColor="text1"/>
          <w:lang w:val="en-US" w:eastAsia="zh-CN"/>
          <w14:textFill>
            <w14:solidFill>
              <w14:schemeClr w14:val="tx1"/>
            </w14:solidFill>
          </w14:textFill>
        </w:rPr>
        <w:t>的</w:t>
      </w:r>
      <w:r>
        <w:rPr>
          <w:rFonts w:hint="eastAsia" w:ascii="宋体" w:hAnsi="宋体" w:cs="宋体"/>
          <w:color w:val="000000" w:themeColor="text1"/>
          <w14:textFill>
            <w14:solidFill>
              <w14:schemeClr w14:val="tx1"/>
            </w14:solidFill>
          </w14:textFill>
        </w:rPr>
        <w:t>交付验收标准依次序对照适用为：①符合中华人民共和国国家标准</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14:textFill>
            <w14:solidFill>
              <w14:schemeClr w14:val="tx1"/>
            </w14:solidFill>
          </w14:textFill>
        </w:rPr>
        <w:t>②行业标准；③</w:t>
      </w:r>
      <w:r>
        <w:rPr>
          <w:rFonts w:hint="eastAsia" w:ascii="宋体" w:hAnsi="宋体" w:cs="宋体"/>
          <w:color w:val="000000" w:themeColor="text1"/>
          <w:lang w:eastAsia="zh-CN"/>
          <w14:textFill>
            <w14:solidFill>
              <w14:schemeClr w14:val="tx1"/>
            </w14:solidFill>
          </w14:textFill>
        </w:rPr>
        <w:t>地方标准</w:t>
      </w:r>
      <w:r>
        <w:rPr>
          <w:rFonts w:hint="eastAsia" w:ascii="宋体" w:hAnsi="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④</w:t>
      </w:r>
      <w:r>
        <w:rPr>
          <w:rFonts w:hint="eastAsia" w:ascii="宋体" w:hAnsi="宋体" w:cs="宋体"/>
          <w:color w:val="000000" w:themeColor="text1"/>
          <w:lang w:eastAsia="zh-CN"/>
          <w14:textFill>
            <w14:solidFill>
              <w14:schemeClr w14:val="tx1"/>
            </w14:solidFill>
          </w14:textFill>
        </w:rPr>
        <w:t>货物生产商的产品质量标准；⑤有关部门制定的相关技术规范；⑥符合产品说明书表明的质量状况和使用性能；⑦</w:t>
      </w:r>
      <w:r>
        <w:rPr>
          <w:rFonts w:hint="eastAsia" w:ascii="宋体" w:hAnsi="宋体" w:cs="宋体"/>
          <w:color w:val="000000" w:themeColor="text1"/>
          <w14:textFill>
            <w14:solidFill>
              <w14:schemeClr w14:val="tx1"/>
            </w14:solidFill>
          </w14:textFill>
        </w:rPr>
        <w:t>货物来源国官方标准</w:t>
      </w:r>
      <w:r>
        <w:rPr>
          <w:rFonts w:hint="eastAsia" w:ascii="宋体" w:hAnsi="宋体" w:cs="宋体"/>
          <w:color w:val="000000" w:themeColor="text1"/>
          <w:lang w:eastAsia="zh-CN"/>
          <w14:textFill>
            <w14:solidFill>
              <w14:schemeClr w14:val="tx1"/>
            </w14:solidFill>
          </w14:textFill>
        </w:rPr>
        <w:t>。相关标准必须是相关机构发布的最新版本且在本合同履行时仍然适用的标准。货物除符合上述标准外，同时还应符合采购文件所约定的技术规格和技术标准，并符合采购人关于项目的验收标准。进口产品必须具备原产地证明和商检局的检验证明及合法进货渠道证明。</w:t>
      </w:r>
      <w:r>
        <w:rPr>
          <w:rFonts w:hint="eastAsia" w:ascii="宋体" w:hAnsi="宋体" w:cs="宋体"/>
          <w:color w:val="000000" w:themeColor="text1"/>
          <w:highlight w:val="none"/>
          <w:lang w:eastAsia="zh-CN"/>
          <w14:textFill>
            <w14:solidFill>
              <w14:schemeClr w14:val="tx1"/>
            </w14:solidFill>
          </w14:textFill>
        </w:rPr>
        <w:t>设备若属国家规定计量强检的项目，须提供有效期内的相关检测报告</w:t>
      </w:r>
      <w:r>
        <w:rPr>
          <w:rFonts w:hint="eastAsia" w:ascii="宋体" w:hAnsi="宋体" w:cs="宋体"/>
          <w:color w:val="000000" w:themeColor="text1"/>
          <w:highlight w:val="none"/>
          <w14:textFill>
            <w14:solidFill>
              <w14:schemeClr w14:val="tx1"/>
            </w14:solidFill>
          </w14:textFill>
        </w:rPr>
        <w:t>。</w:t>
      </w:r>
    </w:p>
    <w:p w14:paraId="3949CF4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3）货物为原厂商未启封全新包装，具出厂合格证，序列号、包装箱号与出厂批号一致，并可追索查阅。货物包装符合《商品包装政府采购需求标准（试行）》及《快递包装政府采购需求标准（试行）》的要求。</w:t>
      </w:r>
    </w:p>
    <w:p w14:paraId="7A55C92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4）投标人应将关键主机设备的用户手册、保修手册、有关单证资料及配备件、随机工具等交付给采购人，使用操作及安全须知等重要资料应附有中文说明。</w:t>
      </w:r>
    </w:p>
    <w:p w14:paraId="6E83932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color w:val="000000" w:themeColor="text1"/>
          <w14:textFill>
            <w14:solidFill>
              <w14:schemeClr w14:val="tx1"/>
            </w14:solidFill>
          </w14:textFill>
        </w:rPr>
        <w:t>5）所提供设备免费开放所有信息接口并无条件配合设备联网实施事宜。</w:t>
      </w:r>
    </w:p>
    <w:p w14:paraId="675A3374">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2、货物交付</w:t>
      </w:r>
    </w:p>
    <w:p w14:paraId="292371D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1）交货地点：采购人指定地点</w:t>
      </w:r>
      <w:r>
        <w:rPr>
          <w:rFonts w:hint="eastAsia" w:ascii="宋体" w:hAnsi="宋体" w:cs="宋体"/>
          <w:color w:val="000000" w:themeColor="text1"/>
          <w:lang w:val="en-US" w:eastAsia="zh-CN"/>
          <w14:textFill>
            <w14:solidFill>
              <w14:schemeClr w14:val="tx1"/>
            </w14:solidFill>
          </w14:textFill>
        </w:rPr>
        <w:t>[中山大学中山眼科中心2个院区]</w:t>
      </w:r>
      <w:r>
        <w:rPr>
          <w:rFonts w:hint="eastAsia" w:ascii="宋体" w:hAnsi="宋体" w:cs="宋体"/>
          <w:color w:val="000000" w:themeColor="text1"/>
          <w14:textFill>
            <w14:solidFill>
              <w14:schemeClr w14:val="tx1"/>
            </w14:solidFill>
          </w14:textFill>
        </w:rPr>
        <w:t>。</w:t>
      </w:r>
    </w:p>
    <w:p w14:paraId="303FF9F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交货时间要求：合同签订后90个日历日内完成所有设备的供货、安装和调试。</w:t>
      </w:r>
    </w:p>
    <w:p w14:paraId="5375BF8A">
      <w:pPr>
        <w:pStyle w:val="3"/>
        <w:keepNext w:val="0"/>
        <w:keepLines w:val="0"/>
        <w:pageBreakBefore w:val="0"/>
        <w:widowControl w:val="0"/>
        <w:kinsoku/>
        <w:overflowPunct/>
        <w:topLinePunct w:val="0"/>
        <w:bidi w:val="0"/>
        <w:adjustRightInd/>
        <w:snapToGrid/>
        <w:spacing w:line="360" w:lineRule="auto"/>
        <w:ind w:firstLine="420" w:firstLineChars="200"/>
        <w:textAlignment w:val="auto"/>
        <w:rPr>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投标人应在货物交付运输前2日内书面通知采购人到货日期。如属于分批到货的，投标人应事先说明分批发货情况（可列表）；物资类由投标人按采购人需求分批发货；由于分批发货造成的运输、保险、搬运、人工、装卸货等相关费用均由投标人承担。</w:t>
      </w:r>
    </w:p>
    <w:p w14:paraId="5BAA9F3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2）投标人应在交货时同时向采购人提供与投标货物相符且完整的技术资料，技术资料必须以简体中文书写，提交厂家提供的质保证书。</w:t>
      </w:r>
    </w:p>
    <w:p w14:paraId="22D90CD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3）投标人应保证货物的包装符合运输的要求，足以保护货物在运输过程中不受锈蚀、损坏或灭失等导致货物价值减损的情况。（若需特殊保管方式如冷冻等，投标人应事先说明并安排执行）</w:t>
      </w:r>
    </w:p>
    <w:p w14:paraId="6AF9C3F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4）投标人负责将货物运输至约定的交货地点并交付予</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，并支付因运输货物所发生的一切费用，包括但不限于运输费、保险费、装卸费、各类人工费、税费等。</w:t>
      </w:r>
    </w:p>
    <w:p w14:paraId="172D2C2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5）货物到货开箱时，</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应对货物进行核对，由</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签署货物开箱验货情况表。具体包括：</w:t>
      </w:r>
    </w:p>
    <w:p w14:paraId="3F8A62A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（1）出厂合格证，序列号、包装箱号与出厂批号一致，并可追索查阅；</w:t>
      </w:r>
    </w:p>
    <w:p w14:paraId="4A54AEF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（2）型号、外观及数量；</w:t>
      </w:r>
    </w:p>
    <w:p w14:paraId="304295E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（3）货物所附技术资料（用户手册、保修手册、图纸、有关单证资料等，使用操作及安全须知等重要资料应附有中文说明）；</w:t>
      </w:r>
    </w:p>
    <w:p w14:paraId="7B74A59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（4）货物组件及配置的型号、外观、数量；</w:t>
      </w:r>
    </w:p>
    <w:p w14:paraId="022EE67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（5）零配件、随机配套工具及辅助件的型号、外观、数量。</w:t>
      </w:r>
    </w:p>
    <w:p w14:paraId="7B7A5AF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开箱核对签署的文件，不代表对货物质量及性能等情况的确认，仅是对型号、外观、数量等指标进行核对。</w:t>
      </w:r>
    </w:p>
    <w:p w14:paraId="384F00CA">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3、验收要求</w:t>
      </w:r>
    </w:p>
    <w:p w14:paraId="3286D53C">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1）投标人在货物到达的当日，应委派技术人员免费上门进行现场安装、调试、培训，并提供货物安装调试的一切技术支持。安装调试完毕后，投标人应通知</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调试结果，并准备调试验收。投标人应负责对</w:t>
      </w:r>
      <w:r>
        <w:rPr>
          <w:rFonts w:hint="eastAsia" w:ascii="宋体" w:hAnsi="宋体" w:cs="宋体"/>
          <w:color w:val="000000" w:themeColor="text1"/>
          <w:lang w:eastAsia="zh-CN"/>
          <w14:textFill>
            <w14:solidFill>
              <w14:schemeClr w14:val="tx1"/>
            </w14:solidFill>
          </w14:textFill>
        </w:rPr>
        <w:t>采购方</w:t>
      </w:r>
      <w:r>
        <w:rPr>
          <w:rFonts w:hint="eastAsia" w:ascii="宋体" w:hAnsi="宋体" w:cs="宋体"/>
          <w:color w:val="000000" w:themeColor="text1"/>
          <w14:textFill>
            <w14:solidFill>
              <w14:schemeClr w14:val="tx1"/>
            </w14:solidFill>
          </w14:textFill>
        </w:rPr>
        <w:t>人员进行货物使用培训及日常保养培训，直至</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可独立、安全、全面正常使用及保养货物。</w:t>
      </w:r>
    </w:p>
    <w:p w14:paraId="42608DE5">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在收到投标人货物安装调试完毕通知之日起60天内对货物进行验收。验收内容包括但不限于：（1）货物及配套附件功能、性能及各项技术参数指标。（2）</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 xml:space="preserve">操作人员签字确认的培训记录。 </w:t>
      </w:r>
    </w:p>
    <w:p w14:paraId="681F3A4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3）验收标准：</w:t>
      </w:r>
    </w:p>
    <w:p w14:paraId="58469A5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投标人应根据交付验收标准所提交的验收方案和实施办法，自行组织设备和人员，并在使用单位监查下现场进行测试和验收。</w:t>
      </w:r>
    </w:p>
    <w:p w14:paraId="2905EDA7">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（1）开箱检验</w:t>
      </w:r>
    </w:p>
    <w:p w14:paraId="4051C51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所有设备、器材在开箱时必须完好，无破损。配置与装箱单相符。数量、质量及性能不低于合同要求。</w:t>
      </w:r>
    </w:p>
    <w:p w14:paraId="0232DF2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拆箱后，投标人应对其全部产品、零件、配件、用户许可证书、资料、介质造册登记，并与装箱单对比，如有出入应立即书面记录，由供货商解决，如影响安装则按合同有关条款处理。</w:t>
      </w:r>
    </w:p>
    <w:p w14:paraId="7F49BF8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（2）设备测试</w:t>
      </w:r>
    </w:p>
    <w:p w14:paraId="0C530A7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设备安装完成后，按照系统要求的基本功能逐一测试。</w:t>
      </w:r>
    </w:p>
    <w:p w14:paraId="062A1614">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系统运行正常，联机测试通过。</w:t>
      </w:r>
    </w:p>
    <w:p w14:paraId="531D7186">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ab/>
      </w:r>
      <w:r>
        <w:rPr>
          <w:rFonts w:hint="eastAsia" w:ascii="宋体" w:hAnsi="宋体" w:cs="宋体"/>
          <w:color w:val="000000" w:themeColor="text1"/>
          <w14:textFill>
            <w14:solidFill>
              <w14:schemeClr w14:val="tx1"/>
            </w14:solidFill>
          </w14:textFill>
        </w:rPr>
        <w:t>如商检或设备测试中发现设备性能指标或功能上不符合招标文件和合同时，将被看作性能不合格，设备使用单位有权拒收并要求赔偿。</w:t>
      </w:r>
    </w:p>
    <w:p w14:paraId="03358E61">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（3）产品验收要求</w:t>
      </w:r>
    </w:p>
    <w:p w14:paraId="042FB89B">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①</w:t>
      </w:r>
      <w:r>
        <w:rPr>
          <w:rFonts w:hint="eastAsia" w:ascii="宋体" w:hAnsi="宋体" w:cs="宋体"/>
          <w:color w:val="000000" w:themeColor="text1"/>
          <w14:textFill>
            <w14:solidFill>
              <w14:schemeClr w14:val="tx1"/>
            </w14:solidFill>
          </w14:textFill>
        </w:rPr>
        <w:t>要求对全部设备、产品、型号、规格、数量、外型、外观、包装及资料、文件（如装箱单、保修单、随箱介质等）进行验收。</w:t>
      </w:r>
    </w:p>
    <w:p w14:paraId="41172EED">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②</w:t>
      </w:r>
      <w:r>
        <w:rPr>
          <w:rFonts w:hint="eastAsia" w:ascii="宋体" w:hAnsi="宋体" w:cs="宋体"/>
          <w:color w:val="000000" w:themeColor="text1"/>
          <w14:textFill>
            <w14:solidFill>
              <w14:schemeClr w14:val="tx1"/>
            </w14:solidFill>
          </w14:textFill>
        </w:rPr>
        <w:t>凡列入《中华人民共和国实施强制性产品认证的产品目录》的产品在验收时应出具CCC认证证书复印件，并以在产品外部加施认证标志作为验收依据之一。</w:t>
      </w:r>
    </w:p>
    <w:p w14:paraId="1A619299">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ascii="宋体" w:hAnsi="宋体" w:cs="宋体"/>
          <w:color w:val="000000" w:themeColor="text1"/>
          <w14:textFill>
            <w14:solidFill>
              <w14:schemeClr w14:val="tx1"/>
            </w14:solidFill>
          </w14:textFill>
        </w:rPr>
      </w:pPr>
      <w:r>
        <w:rPr>
          <w:rFonts w:hint="default" w:ascii="Calibri" w:hAnsi="Calibri" w:cs="Calibri"/>
          <w:color w:val="000000" w:themeColor="text1"/>
          <w:lang w:val="en-US" w:eastAsia="zh-CN"/>
          <w14:textFill>
            <w14:solidFill>
              <w14:schemeClr w14:val="tx1"/>
            </w14:solidFill>
          </w14:textFill>
        </w:rPr>
        <w:t>③</w:t>
      </w:r>
      <w:r>
        <w:rPr>
          <w:rFonts w:hint="eastAsia" w:ascii="宋体" w:hAnsi="宋体" w:cs="宋体"/>
          <w:color w:val="000000" w:themeColor="text1"/>
          <w14:textFill>
            <w14:solidFill>
              <w14:schemeClr w14:val="tx1"/>
            </w14:solidFill>
          </w14:textFill>
        </w:rPr>
        <w:t>投标人应负责在项目验收时将系统的全部有关产品说明书、原厂家安装手册、技术文件、资料及安装、验收报告等文档汇集成册交付设备使用单位。</w:t>
      </w:r>
    </w:p>
    <w:p w14:paraId="40B2B9FE">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4）采购人所购货物全部通过验收，经采购人确认并出具验收合格证明（以采购人职能部门确认的为准），视为验收合格。 </w:t>
      </w:r>
    </w:p>
    <w:p w14:paraId="7B6C2F0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采购人在验收中如发现货物不符合合同的约定，有权拒绝接受货物，并在7天内签发拒绝收货通知书，采购人不因此构成迟延受领，亦不承担任何延迟责任；投标人应自拒绝收货书签发之日起5天内重新提供符合合同约定的货物，否则，视为投标人逾期交货。 </w:t>
      </w:r>
    </w:p>
    <w:p w14:paraId="3FE2B9BA">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rPr>
      </w:pPr>
      <w:r>
        <w:rPr>
          <w:rFonts w:hint="eastAsia"/>
          <w:color w:val="000000" w:themeColor="text1"/>
          <w:lang w:val="en-US" w:eastAsia="zh-CN"/>
          <w14:textFill>
            <w14:solidFill>
              <w14:schemeClr w14:val="tx1"/>
            </w14:solidFill>
          </w14:textFill>
        </w:rPr>
        <w:t>6）经双方沟通协商后，投标人仍对验收结果有异议，由采购人所在地商检部门进行复检。商检部门的检验结果表明货物不符合合同约定的，因复检发生的费用由投标人承担；检验结果表明货物符合合同约定的，因复检发生的费用由采购人承担。</w:t>
      </w:r>
    </w:p>
    <w:p w14:paraId="3D19D62F">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4、付款方式</w:t>
      </w:r>
    </w:p>
    <w:p w14:paraId="64477A6F">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szCs w:val="24"/>
        </w:rPr>
      </w:pPr>
      <w:r>
        <w:rPr>
          <w:rFonts w:hint="eastAsia" w:ascii="宋体" w:hAnsi="宋体"/>
          <w:color w:val="000000" w:themeColor="text1"/>
          <w:szCs w:val="24"/>
          <w14:textFill>
            <w14:solidFill>
              <w14:schemeClr w14:val="tx1"/>
            </w14:solidFill>
          </w14:textFill>
        </w:rPr>
        <w:t>合同签订后支付合同金额的30%作为预付款，剩余的合同金额70%待货到安装、培训、运行且验收合格，并收到中标人开具的等额发票后60天内付款。</w:t>
      </w:r>
    </w:p>
    <w:p w14:paraId="4443AE06">
      <w:pPr>
        <w:keepNext w:val="0"/>
        <w:keepLines w:val="0"/>
        <w:pageBreakBefore w:val="0"/>
        <w:widowControl w:val="0"/>
        <w:kinsoku/>
        <w:overflowPunct/>
        <w:topLinePunct w:val="0"/>
        <w:bidi w:val="0"/>
        <w:adjustRightInd/>
        <w:snapToGrid/>
        <w:spacing w:line="360" w:lineRule="auto"/>
        <w:jc w:val="left"/>
        <w:textAlignment w:val="auto"/>
        <w:rPr>
          <w:rFonts w:ascii="宋体" w:hAnsi="宋体" w:cs="宋体"/>
          <w:b/>
          <w:bCs/>
        </w:rPr>
      </w:pPr>
      <w:r>
        <w:rPr>
          <w:rFonts w:hint="eastAsia" w:ascii="宋体" w:hAnsi="宋体" w:cs="宋体"/>
          <w:b/>
          <w:bCs/>
        </w:rPr>
        <w:t>5、售后服务条款</w:t>
      </w:r>
    </w:p>
    <w:p w14:paraId="46E31A43">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olor w:val="000000" w:themeColor="text1"/>
          <w:szCs w:val="24"/>
          <w:lang w:val="zh-CN"/>
          <w14:textFill>
            <w14:solidFill>
              <w14:schemeClr w14:val="tx1"/>
            </w14:solidFill>
          </w14:textFill>
        </w:rPr>
        <w:t>★</w:t>
      </w:r>
      <w:r>
        <w:rPr>
          <w:rFonts w:hint="eastAsia" w:ascii="宋体" w:hAnsi="宋体" w:cs="宋体"/>
          <w:color w:val="000000" w:themeColor="text1"/>
          <w14:textFill>
            <w14:solidFill>
              <w14:schemeClr w14:val="tx1"/>
            </w14:solidFill>
          </w14:textFill>
        </w:rPr>
        <w:t>1</w:t>
      </w:r>
      <w:r>
        <w:rPr>
          <w:rFonts w:hint="eastAsia" w:ascii="宋体" w:hAnsi="宋体" w:cs="宋体"/>
          <w:color w:val="000000" w:themeColor="text1"/>
          <w:lang w:val="en-US" w:eastAsia="zh-CN"/>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保修</w:t>
      </w:r>
      <w:r>
        <w:rPr>
          <w:rFonts w:hint="eastAsia" w:ascii="宋体" w:hAnsi="宋体" w:cs="宋体"/>
          <w:color w:val="000000" w:themeColor="text1"/>
          <w14:textFill>
            <w14:solidFill>
              <w14:schemeClr w14:val="tx1"/>
            </w14:solidFill>
          </w14:textFill>
        </w:rPr>
        <w:t>期限：不少于</w:t>
      </w:r>
      <w:r>
        <w:rPr>
          <w:rFonts w:hint="eastAsia" w:ascii="宋体" w:hAnsi="宋体" w:cs="宋体"/>
          <w:color w:val="000000" w:themeColor="text1"/>
          <w:lang w:val="en-US" w:eastAsia="zh-CN"/>
          <w14:textFill>
            <w14:solidFill>
              <w14:schemeClr w14:val="tx1"/>
            </w14:solidFill>
          </w14:textFill>
        </w:rPr>
        <w:t>10</w:t>
      </w:r>
      <w:r>
        <w:rPr>
          <w:rFonts w:hint="eastAsia" w:ascii="宋体" w:hAnsi="宋体" w:cs="宋体"/>
          <w:color w:val="000000" w:themeColor="text1"/>
          <w14:textFill>
            <w14:solidFill>
              <w14:schemeClr w14:val="tx1"/>
            </w14:solidFill>
          </w14:textFill>
        </w:rPr>
        <w:t>年。（</w:t>
      </w:r>
      <w:r>
        <w:rPr>
          <w:rFonts w:hint="eastAsia" w:ascii="宋体" w:hAnsi="宋体" w:cs="宋体"/>
          <w:color w:val="000000" w:themeColor="text1"/>
          <w:lang w:eastAsia="zh-CN"/>
          <w14:textFill>
            <w14:solidFill>
              <w14:schemeClr w14:val="tx1"/>
            </w14:solidFill>
          </w14:textFill>
        </w:rPr>
        <w:t>注：</w:t>
      </w:r>
      <w:r>
        <w:rPr>
          <w:rFonts w:hint="eastAsia" w:ascii="宋体" w:hAnsi="宋体" w:cs="宋体"/>
          <w:color w:val="000000" w:themeColor="text1"/>
          <w14:textFill>
            <w14:solidFill>
              <w14:schemeClr w14:val="tx1"/>
            </w14:solidFill>
          </w14:textFill>
        </w:rPr>
        <w:t>质保期限自验收合格签字之日起算，其中10万元以上以采购人职能部门确认并出具的验收报告的验收时间为准。</w:t>
      </w:r>
      <w:r>
        <w:rPr>
          <w:rFonts w:hint="eastAsia" w:ascii="宋体" w:hAnsi="宋体" w:cs="宋体"/>
          <w:color w:val="000000" w:themeColor="text1"/>
          <w:lang w:eastAsia="zh-CN"/>
          <w14:textFill>
            <w14:solidFill>
              <w14:schemeClr w14:val="tx1"/>
            </w14:solidFill>
          </w14:textFill>
        </w:rPr>
        <w:t>售后服务承诺函详见合同模板附件</w:t>
      </w:r>
      <w:r>
        <w:rPr>
          <w:rFonts w:hint="eastAsia" w:ascii="宋体" w:hAnsi="宋体" w:cs="宋体"/>
          <w:color w:val="000000" w:themeColor="text1"/>
          <w:lang w:val="en-US" w:eastAsia="zh-CN"/>
          <w14:textFill>
            <w14:solidFill>
              <w14:schemeClr w14:val="tx1"/>
            </w14:solidFill>
          </w14:textFill>
        </w:rPr>
        <w:t>5</w:t>
      </w:r>
      <w:r>
        <w:rPr>
          <w:rFonts w:hint="eastAsia" w:ascii="宋体" w:hAnsi="宋体" w:cs="宋体"/>
          <w:color w:val="000000" w:themeColor="text1"/>
          <w14:textFill>
            <w14:solidFill>
              <w14:schemeClr w14:val="tx1"/>
            </w14:solidFill>
          </w14:textFill>
        </w:rPr>
        <w:t>）保修期限自货物通过</w:t>
      </w:r>
      <w:r>
        <w:rPr>
          <w:rFonts w:hint="eastAsia" w:ascii="宋体" w:hAnsi="宋体" w:cs="宋体"/>
          <w:color w:val="000000" w:themeColor="text1"/>
          <w:lang w:eastAsia="zh-CN"/>
          <w14:textFill>
            <w14:solidFill>
              <w14:schemeClr w14:val="tx1"/>
            </w14:solidFill>
          </w14:textFill>
        </w:rPr>
        <w:t>采购人</w:t>
      </w:r>
      <w:r>
        <w:rPr>
          <w:rFonts w:hint="eastAsia" w:ascii="宋体" w:hAnsi="宋体" w:cs="宋体"/>
          <w:color w:val="000000" w:themeColor="text1"/>
          <w14:textFill>
            <w14:solidFill>
              <w14:schemeClr w14:val="tx1"/>
            </w14:solidFill>
          </w14:textFill>
        </w:rPr>
        <w:t>设备与物资管理部组织的验收合格之日起算，保修期内如货物有任何质量问题，</w:t>
      </w:r>
      <w:r>
        <w:rPr>
          <w:rFonts w:hint="eastAsia" w:ascii="宋体" w:hAnsi="宋体" w:cs="宋体"/>
          <w:color w:val="000000" w:themeColor="text1"/>
          <w:lang w:eastAsia="zh-CN"/>
          <w14:textFill>
            <w14:solidFill>
              <w14:schemeClr w14:val="tx1"/>
            </w14:solidFill>
          </w14:textFill>
        </w:rPr>
        <w:t>投标人</w:t>
      </w:r>
      <w:r>
        <w:rPr>
          <w:rFonts w:hint="eastAsia" w:ascii="宋体" w:hAnsi="宋体" w:cs="宋体"/>
          <w:color w:val="000000" w:themeColor="text1"/>
          <w14:textFill>
            <w14:solidFill>
              <w14:schemeClr w14:val="tx1"/>
            </w14:solidFill>
          </w14:textFill>
        </w:rPr>
        <w:t>对所供货物实行保修、包换、包退、包维修保养等。</w:t>
      </w:r>
    </w:p>
    <w:p w14:paraId="39BC8B72">
      <w:pPr>
        <w:keepNext w:val="0"/>
        <w:keepLines w:val="0"/>
        <w:pageBreakBefore w:val="0"/>
        <w:widowControl w:val="0"/>
        <w:kinsoku/>
        <w:overflowPunct/>
        <w:topLinePunct w:val="0"/>
        <w:bidi w:val="0"/>
        <w:adjustRightInd/>
        <w:snapToGrid/>
        <w:spacing w:line="360" w:lineRule="auto"/>
        <w:ind w:firstLine="420" w:firstLineChars="200"/>
        <w:jc w:val="left"/>
        <w:textAlignment w:val="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2</w:t>
      </w:r>
      <w:r>
        <w:rPr>
          <w:rFonts w:hint="eastAsia" w:ascii="宋体" w:hAnsi="宋体" w:cs="宋体"/>
          <w:color w:val="000000" w:themeColor="text1"/>
          <w:lang w:val="en-US" w:eastAsia="zh-CN"/>
          <w14:textFill>
            <w14:solidFill>
              <w14:schemeClr w14:val="tx1"/>
            </w14:solidFill>
          </w14:textFill>
        </w:rPr>
        <w:t>）保修期内，如设备、零部件或物资因非人为因素出现故障而造成短期停用时，则保修期相应顺延。如停用时间累积超过60天则保修期重新计算。</w:t>
      </w:r>
    </w:p>
    <w:p w14:paraId="7EE9A8C0">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3</w:t>
      </w:r>
      <w:r>
        <w:rPr>
          <w:rFonts w:hint="eastAsia" w:ascii="宋体" w:hAnsi="宋体" w:cs="宋体"/>
          <w:color w:val="000000" w:themeColor="text1"/>
          <w:lang w:eastAsia="zh-CN"/>
          <w14:textFill>
            <w14:solidFill>
              <w14:schemeClr w14:val="tx1"/>
            </w14:solidFill>
          </w14:textFill>
        </w:rPr>
        <w:t>）对采购人的服务通知，投标人在接报后1小时内响应，4小时内到达现场，48小时处理完毕。若在48小时内仍未能有效解决，投标人须免费提供同档次的设备予采购人临时使用。如投标人或保修承担方未按前述约定到现场处理的，采购人有权自行采取措施，由此所发生的费用均由投标人承担，采购人有权从应付的货款中直接扣减该费用，不足部分采购人有权继续向投标人追索。保修期内，货物因同一生产质量问题经投标人或保修承担方2次修理后仍无法修复或仍发生故障的，采购人有权要求投标人或保修承担方在合理期限内更换全新的产品。货物的保修期随着检修期的出现而延长，且以检修期的双倍计算延长保修期。新更换的配件及/或新产品，保修期不得少于</w:t>
      </w:r>
      <w:r>
        <w:rPr>
          <w:rFonts w:hint="eastAsia" w:ascii="宋体" w:hAnsi="宋体" w:cs="宋体"/>
          <w:color w:val="000000" w:themeColor="text1"/>
          <w:lang w:val="en-US" w:eastAsia="zh-CN"/>
          <w14:textFill>
            <w14:solidFill>
              <w14:schemeClr w14:val="tx1"/>
            </w14:solidFill>
          </w14:textFill>
        </w:rPr>
        <w:t>10年</w:t>
      </w:r>
      <w:r>
        <w:rPr>
          <w:rFonts w:hint="eastAsia" w:ascii="宋体" w:hAnsi="宋体" w:cs="宋体"/>
          <w:color w:val="000000" w:themeColor="text1"/>
          <w:lang w:eastAsia="zh-CN"/>
          <w14:textFill>
            <w14:solidFill>
              <w14:schemeClr w14:val="tx1"/>
            </w14:solidFill>
          </w14:textFill>
        </w:rPr>
        <w:t>。换下的旧配件须交由采购人自行处置。</w:t>
      </w:r>
    </w:p>
    <w:p w14:paraId="5A696281">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4）保修期届满后，如采购人需要投标人继续提供维保服务，由双方另行协商。若采购人购买投标人提供全保型的维修维护服务合同，投标人承诺每年的合同金额不得高于设备原值的6％。</w:t>
      </w:r>
    </w:p>
    <w:p w14:paraId="58C164E7">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eastAsia"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5）货物的主要的维修配件及价格详见本项目合同模板附件2（请投标人如实填写，将列入投标人诚信评价，如有欺瞒，采购人可有权终止本合同，并今后不再由投标人供货）</w:t>
      </w:r>
    </w:p>
    <w:p w14:paraId="2AB27310">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hint="default" w:ascii="宋体" w:hAnsi="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6）投标人承诺为设备提供终身维修。</w:t>
      </w:r>
    </w:p>
    <w:p w14:paraId="3CD0F955">
      <w:pPr>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21"/>
          <w:highlight w:val="none"/>
          <w14:textFill>
            <w14:solidFill>
              <w14:schemeClr w14:val="tx1"/>
            </w14:solidFill>
          </w14:textFill>
        </w:rPr>
      </w:pPr>
      <w:r>
        <w:rPr>
          <w:rFonts w:hint="eastAsia" w:ascii="宋体" w:hAnsi="宋体" w:eastAsia="宋体" w:cs="宋体"/>
          <w:b/>
          <w:bCs/>
          <w:color w:val="000000" w:themeColor="text1"/>
          <w:kern w:val="21"/>
          <w:highlight w:val="none"/>
          <w14:textFill>
            <w14:solidFill>
              <w14:schemeClr w14:val="tx1"/>
            </w14:solidFill>
          </w14:textFill>
        </w:rPr>
        <w:t>★</w:t>
      </w:r>
      <w:r>
        <w:rPr>
          <w:rFonts w:hint="eastAsia" w:ascii="宋体" w:hAnsi="宋体" w:eastAsia="宋体" w:cs="宋体"/>
          <w:b/>
          <w:bCs/>
          <w:color w:val="000000" w:themeColor="text1"/>
          <w:kern w:val="21"/>
          <w:highlight w:val="none"/>
          <w:lang w:val="en-US" w:eastAsia="zh-CN"/>
          <w14:textFill>
            <w14:solidFill>
              <w14:schemeClr w14:val="tx1"/>
            </w14:solidFill>
          </w14:textFill>
        </w:rPr>
        <w:t>6、</w:t>
      </w:r>
      <w:r>
        <w:rPr>
          <w:rFonts w:hint="eastAsia" w:ascii="宋体" w:hAnsi="宋体" w:eastAsia="宋体" w:cs="宋体"/>
          <w:b/>
          <w:bCs/>
          <w:color w:val="000000" w:themeColor="text1"/>
          <w:kern w:val="21"/>
          <w:highlight w:val="none"/>
          <w14:textFill>
            <w14:solidFill>
              <w14:schemeClr w14:val="tx1"/>
            </w14:solidFill>
          </w14:textFill>
        </w:rPr>
        <w:t>投标人提供的设备需要医疗器械注册或备案的（如该项目货物不需要医疗器械注册或备案的请提供相关证明文件）：</w:t>
      </w:r>
    </w:p>
    <w:p w14:paraId="2F4A4B10">
      <w:pPr>
        <w:pageBreakBefore w:val="0"/>
        <w:kinsoku/>
        <w:wordWrap w:val="0"/>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000000" w:themeColor="text1"/>
          <w:kern w:val="21"/>
          <w:highlight w:val="none"/>
          <w14:textFill>
            <w14:solidFill>
              <w14:schemeClr w14:val="tx1"/>
            </w14:solidFill>
          </w14:textFill>
        </w:rPr>
      </w:pPr>
      <w:r>
        <w:rPr>
          <w:rFonts w:hint="eastAsia" w:ascii="宋体" w:hAnsi="宋体" w:eastAsia="宋体" w:cs="宋体"/>
          <w:b/>
          <w:bCs/>
          <w:color w:val="000000" w:themeColor="text1"/>
          <w:kern w:val="21"/>
          <w:highlight w:val="none"/>
          <w14:textFill>
            <w14:solidFill>
              <w14:schemeClr w14:val="tx1"/>
            </w14:solidFill>
          </w14:textFill>
        </w:rPr>
        <w:t>1</w:t>
      </w:r>
      <w:r>
        <w:rPr>
          <w:rFonts w:hint="eastAsia" w:ascii="宋体" w:hAnsi="宋体" w:eastAsia="宋体" w:cs="宋体"/>
          <w:b/>
          <w:bCs/>
          <w:color w:val="000000" w:themeColor="text1"/>
          <w:kern w:val="21"/>
          <w:highlight w:val="none"/>
          <w:lang w:val="en-US" w:eastAsia="zh-CN"/>
          <w14:textFill>
            <w14:solidFill>
              <w14:schemeClr w14:val="tx1"/>
            </w14:solidFill>
          </w14:textFill>
        </w:rPr>
        <w:t>)</w:t>
      </w:r>
      <w:r>
        <w:rPr>
          <w:rFonts w:hint="eastAsia" w:ascii="宋体" w:hAnsi="宋体" w:eastAsia="宋体" w:cs="宋体"/>
          <w:b/>
          <w:bCs/>
          <w:color w:val="000000" w:themeColor="text1"/>
          <w:kern w:val="21"/>
          <w:highlight w:val="none"/>
          <w14:textFill>
            <w14:solidFill>
              <w14:schemeClr w14:val="tx1"/>
            </w14:solidFill>
          </w14:textFill>
        </w:rPr>
        <w:t>投标人需要提供有效期内的医疗器械注册证或备案证的复印件并加盖公章。</w:t>
      </w:r>
    </w:p>
    <w:p w14:paraId="26710AB5">
      <w:pPr>
        <w:keepNext w:val="0"/>
        <w:keepLines w:val="0"/>
        <w:pageBreakBefore w:val="0"/>
        <w:widowControl w:val="0"/>
        <w:kinsoku/>
        <w:overflowPunct/>
        <w:topLinePunct w:val="0"/>
        <w:autoSpaceDE w:val="0"/>
        <w:autoSpaceDN w:val="0"/>
        <w:bidi w:val="0"/>
        <w:adjustRightInd/>
        <w:snapToGrid/>
        <w:spacing w:line="360" w:lineRule="auto"/>
        <w:ind w:firstLine="422" w:firstLineChars="200"/>
        <w:textAlignment w:val="auto"/>
        <w:rPr>
          <w:rFonts w:hint="eastAsia" w:ascii="宋体" w:hAnsi="宋体" w:cs="宋体"/>
        </w:rPr>
      </w:pPr>
      <w:r>
        <w:rPr>
          <w:rFonts w:hint="eastAsia" w:ascii="宋体" w:hAnsi="宋体" w:eastAsia="宋体" w:cs="宋体"/>
          <w:b/>
          <w:bCs/>
          <w:color w:val="000000" w:themeColor="text1"/>
          <w:kern w:val="21"/>
          <w:highlight w:val="none"/>
          <w14:textFill>
            <w14:solidFill>
              <w14:schemeClr w14:val="tx1"/>
            </w14:solidFill>
          </w14:textFill>
        </w:rPr>
        <w:t>2</w:t>
      </w:r>
      <w:r>
        <w:rPr>
          <w:rFonts w:hint="eastAsia" w:ascii="宋体" w:hAnsi="宋体" w:eastAsia="宋体" w:cs="宋体"/>
          <w:b/>
          <w:bCs/>
          <w:color w:val="000000" w:themeColor="text1"/>
          <w:kern w:val="21"/>
          <w:highlight w:val="none"/>
          <w:lang w:val="en-US" w:eastAsia="zh-CN"/>
          <w14:textFill>
            <w14:solidFill>
              <w14:schemeClr w14:val="tx1"/>
            </w14:solidFill>
          </w14:textFill>
        </w:rPr>
        <w:t>)</w:t>
      </w:r>
      <w:r>
        <w:rPr>
          <w:rFonts w:hint="eastAsia" w:ascii="宋体" w:hAnsi="宋体" w:eastAsia="宋体" w:cs="宋体"/>
          <w:b/>
          <w:bCs/>
          <w:color w:val="000000" w:themeColor="text1"/>
          <w:kern w:val="21"/>
          <w:highlight w:val="none"/>
          <w14:textFill>
            <w14:solidFill>
              <w14:schemeClr w14:val="tx1"/>
            </w14:solidFill>
          </w14:textFill>
        </w:rPr>
        <w:t>投标文件《分项报价明细表》中的“规格型号、制造商名称”信息必须与所投产品的注册证或备案证的“型号规格、注册人或备案人名称”信息一致，否则投标无效。</w:t>
      </w:r>
    </w:p>
    <w:p w14:paraId="4408C015">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04825667">
      <w:pPr>
        <w:keepNext w:val="0"/>
        <w:keepLines w:val="0"/>
        <w:pageBreakBefore w:val="0"/>
        <w:numPr>
          <w:ilvl w:val="0"/>
          <w:numId w:val="1"/>
        </w:numPr>
        <w:wordWrap w:val="0"/>
        <w:overflowPunct/>
        <w:topLinePunct w:val="0"/>
        <w:autoSpaceDE w:val="0"/>
        <w:autoSpaceDN w:val="0"/>
        <w:bidi w:val="0"/>
        <w:adjustRightInd/>
        <w:snapToGrid/>
        <w:spacing w:line="360" w:lineRule="auto"/>
        <w:ind w:right="0"/>
        <w:jc w:val="left"/>
        <w:textAlignment w:val="auto"/>
        <w:outlineLvl w:val="2"/>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技术要求</w:t>
      </w:r>
    </w:p>
    <w:p w14:paraId="56DAA40A">
      <w:pPr>
        <w:jc w:val="both"/>
        <w:outlineLvl w:val="3"/>
        <w:rPr>
          <w:rFonts w:hint="default" w:eastAsiaTheme="minorEastAsia"/>
          <w:b/>
          <w:sz w:val="24"/>
          <w:szCs w:val="24"/>
          <w:lang w:val="en-US" w:eastAsia="zh-CN"/>
        </w:rPr>
      </w:pPr>
      <w:r>
        <w:rPr>
          <w:rFonts w:hint="eastAsia"/>
          <w:b/>
          <w:sz w:val="24"/>
          <w:szCs w:val="24"/>
          <w:lang w:eastAsia="zh-CN"/>
        </w:rPr>
        <w:t>包一：</w:t>
      </w:r>
      <w:r>
        <w:rPr>
          <w:rFonts w:hint="eastAsia"/>
          <w:b/>
          <w:sz w:val="24"/>
          <w:szCs w:val="24"/>
        </w:rPr>
        <w:t>光学生物测量仪（一）</w:t>
      </w:r>
      <w:r>
        <w:rPr>
          <w:rFonts w:hint="eastAsia"/>
          <w:b/>
          <w:sz w:val="24"/>
          <w:szCs w:val="24"/>
          <w:lang w:val="en-US" w:eastAsia="zh-CN"/>
        </w:rPr>
        <w:t>1套</w:t>
      </w:r>
    </w:p>
    <w:p w14:paraId="04AF0292">
      <w:pPr>
        <w:jc w:val="left"/>
        <w:rPr>
          <w:rFonts w:hint="eastAsia"/>
        </w:rPr>
      </w:pPr>
      <w:r>
        <w:rPr>
          <w:rFonts w:hint="eastAsia"/>
        </w:rPr>
        <w:t>（一）、基本功能</w:t>
      </w:r>
    </w:p>
    <w:p w14:paraId="511B5A43">
      <w:pPr>
        <w:ind w:firstLine="210" w:firstLineChars="100"/>
        <w:jc w:val="left"/>
        <w:rPr>
          <w:rFonts w:hint="eastAsia"/>
        </w:rPr>
      </w:pPr>
      <w:r>
        <w:rPr>
          <w:rFonts w:hint="eastAsia"/>
        </w:rPr>
        <w:t>1、设备功能:参数测量、人工晶体度数计算、角膜地形图、晶体优选、晶体分析、定位标记图像</w:t>
      </w:r>
    </w:p>
    <w:p w14:paraId="1DC8ED13">
      <w:pPr>
        <w:ind w:left="630" w:leftChars="100" w:hanging="420" w:hangingChars="200"/>
        <w:jc w:val="left"/>
        <w:rPr>
          <w:rFonts w:hint="eastAsia"/>
        </w:rPr>
      </w:pPr>
      <w:r>
        <w:rPr>
          <w:rFonts w:hint="eastAsia"/>
        </w:rPr>
        <w:t>2、可测眼球状态：正常眼、角膜术后、无晶体眼、人工晶体眼、有晶体人工晶体眼、硅油眼、水眼</w:t>
      </w:r>
    </w:p>
    <w:p w14:paraId="02D75A4F">
      <w:pPr>
        <w:ind w:left="630" w:leftChars="100" w:hanging="420" w:hangingChars="200"/>
        <w:jc w:val="left"/>
        <w:rPr>
          <w:rFonts w:hint="eastAsia"/>
        </w:rPr>
      </w:pPr>
      <w:r>
        <w:rPr>
          <w:rFonts w:hint="eastAsia"/>
        </w:rPr>
        <w:t>3、测量参数：眼轴长度、角膜厚度、前房深度、晶体厚度、玻璃体腔长度、角膜前表面曲率、角膜后表面曲率、白-白（角膜直径）、瞳孔直径、Kappa角，Alpha角</w:t>
      </w:r>
    </w:p>
    <w:p w14:paraId="1AB21F57">
      <w:pPr>
        <w:jc w:val="left"/>
        <w:rPr>
          <w:rFonts w:hint="eastAsia"/>
        </w:rPr>
      </w:pPr>
      <w:r>
        <w:rPr>
          <w:rFonts w:hint="eastAsia"/>
        </w:rPr>
        <w:t>（二）、硬件指标</w:t>
      </w:r>
    </w:p>
    <w:p w14:paraId="23CFF0AA">
      <w:pPr>
        <w:ind w:firstLine="210" w:firstLineChars="100"/>
        <w:jc w:val="left"/>
        <w:rPr>
          <w:rFonts w:hint="eastAsia"/>
        </w:rPr>
      </w:pPr>
      <w:r>
        <w:rPr>
          <w:rFonts w:hint="eastAsia"/>
        </w:rPr>
        <w:t>1、光源</w:t>
      </w:r>
    </w:p>
    <w:p w14:paraId="617BEE45">
      <w:pPr>
        <w:ind w:firstLine="210" w:firstLineChars="100"/>
        <w:jc w:val="left"/>
        <w:rPr>
          <w:rFonts w:hint="eastAsia"/>
        </w:rPr>
      </w:pPr>
      <w:r>
        <w:rPr>
          <w:rFonts w:hint="eastAsia"/>
        </w:rPr>
        <w:t>1.1测量光源：扫频激光</w:t>
      </w:r>
    </w:p>
    <w:p w14:paraId="16109A61">
      <w:pPr>
        <w:ind w:firstLine="210" w:firstLineChars="100"/>
        <w:jc w:val="left"/>
        <w:rPr>
          <w:rFonts w:hint="eastAsia"/>
        </w:rPr>
      </w:pPr>
      <w:r>
        <w:rPr>
          <w:rFonts w:hint="eastAsia"/>
        </w:rPr>
        <w:t>1.2眼轴长测量光源波长：1060nm</w:t>
      </w:r>
    </w:p>
    <w:p w14:paraId="26A01C90">
      <w:pPr>
        <w:ind w:firstLine="210" w:firstLineChars="100"/>
        <w:jc w:val="left"/>
        <w:rPr>
          <w:rFonts w:hint="eastAsia"/>
        </w:rPr>
      </w:pPr>
      <w:r>
        <w:rPr>
          <w:rFonts w:hint="eastAsia"/>
        </w:rPr>
        <w:t>1.3扫描速度：25000次/秒 A扫描</w:t>
      </w:r>
    </w:p>
    <w:p w14:paraId="255FE6EF">
      <w:pPr>
        <w:ind w:firstLine="210" w:firstLineChars="100"/>
        <w:jc w:val="left"/>
        <w:rPr>
          <w:rFonts w:hint="eastAsia"/>
        </w:rPr>
      </w:pPr>
      <w:r>
        <w:rPr>
          <w:rFonts w:hint="eastAsia"/>
        </w:rPr>
        <w:t>1.4角膜曲率测量点：36个</w:t>
      </w:r>
    </w:p>
    <w:p w14:paraId="2F153E75">
      <w:pPr>
        <w:ind w:firstLine="210" w:firstLineChars="100"/>
        <w:jc w:val="left"/>
        <w:rPr>
          <w:rFonts w:hint="eastAsia"/>
        </w:rPr>
      </w:pPr>
      <w:r>
        <w:rPr>
          <w:rFonts w:hint="eastAsia"/>
        </w:rPr>
        <w:t>2、测量生物参数</w:t>
      </w:r>
    </w:p>
    <w:p w14:paraId="1D6091A1">
      <w:pPr>
        <w:jc w:val="left"/>
        <w:rPr>
          <w:rFonts w:hint="eastAsia"/>
        </w:rPr>
      </w:pPr>
      <w:r>
        <w:rPr>
          <w:rFonts w:hint="eastAsia"/>
        </w:rPr>
        <w:t>▲2.1眼轴长度AL：14-44mm</w:t>
      </w:r>
    </w:p>
    <w:p w14:paraId="5BA809D7">
      <w:pPr>
        <w:ind w:firstLine="210" w:firstLineChars="100"/>
        <w:jc w:val="left"/>
        <w:rPr>
          <w:rFonts w:hint="eastAsia"/>
        </w:rPr>
      </w:pPr>
      <w:r>
        <w:rPr>
          <w:rFonts w:hint="eastAsia"/>
        </w:rPr>
        <w:t>2.2角膜曲率半径：5-11mm</w:t>
      </w:r>
    </w:p>
    <w:p w14:paraId="1B8303D2">
      <w:pPr>
        <w:jc w:val="left"/>
        <w:rPr>
          <w:rFonts w:hint="eastAsia"/>
        </w:rPr>
      </w:pPr>
      <w:r>
        <w:rPr>
          <w:rFonts w:hint="eastAsia"/>
        </w:rPr>
        <w:t>▲2.3前房深度ACD：0.7-9.5mm</w:t>
      </w:r>
    </w:p>
    <w:p w14:paraId="74F9137A">
      <w:pPr>
        <w:jc w:val="left"/>
        <w:rPr>
          <w:rFonts w:hint="eastAsia"/>
        </w:rPr>
      </w:pPr>
      <w:r>
        <w:rPr>
          <w:rFonts w:hint="eastAsia"/>
        </w:rPr>
        <w:t>▲2.4白-白角膜直径WTW：7-16mm</w:t>
      </w:r>
    </w:p>
    <w:p w14:paraId="3D56973B">
      <w:pPr>
        <w:jc w:val="left"/>
        <w:rPr>
          <w:rFonts w:hint="eastAsia"/>
        </w:rPr>
      </w:pPr>
      <w:r>
        <w:rPr>
          <w:rFonts w:hint="eastAsia"/>
        </w:rPr>
        <w:t>▲2.5晶体厚度：0.5-10mm</w:t>
      </w:r>
    </w:p>
    <w:p w14:paraId="668D40B7">
      <w:pPr>
        <w:jc w:val="left"/>
        <w:rPr>
          <w:rFonts w:hint="eastAsia"/>
        </w:rPr>
      </w:pPr>
      <w:r>
        <w:rPr>
          <w:rFonts w:hint="eastAsia"/>
        </w:rPr>
        <w:t>▲2.6中央角膜厚度CCT：0.2-1.5mm</w:t>
      </w:r>
    </w:p>
    <w:p w14:paraId="05D6DD1D">
      <w:pPr>
        <w:jc w:val="left"/>
        <w:rPr>
          <w:rFonts w:hint="eastAsia"/>
        </w:rPr>
      </w:pPr>
      <w:r>
        <w:rPr>
          <w:rFonts w:hint="eastAsia"/>
        </w:rPr>
        <w:t>▲2.7瞳孔直径测量范围：2-14mm</w:t>
      </w:r>
    </w:p>
    <w:p w14:paraId="303C1F71">
      <w:pPr>
        <w:ind w:firstLine="210" w:firstLineChars="100"/>
        <w:jc w:val="left"/>
        <w:rPr>
          <w:rFonts w:hint="eastAsia"/>
        </w:rPr>
      </w:pPr>
      <w:r>
        <w:rPr>
          <w:rFonts w:hint="eastAsia"/>
        </w:rPr>
        <w:t>3、显示分辨率</w:t>
      </w:r>
    </w:p>
    <w:p w14:paraId="2D220C56">
      <w:pPr>
        <w:ind w:firstLine="210" w:firstLineChars="100"/>
        <w:jc w:val="left"/>
        <w:rPr>
          <w:rFonts w:hint="eastAsia"/>
        </w:rPr>
      </w:pPr>
      <w:r>
        <w:rPr>
          <w:rFonts w:hint="eastAsia"/>
        </w:rPr>
        <w:t>3.1眼轴长度：0.01mm</w:t>
      </w:r>
    </w:p>
    <w:p w14:paraId="7896716A">
      <w:pPr>
        <w:ind w:firstLine="210" w:firstLineChars="100"/>
        <w:jc w:val="left"/>
        <w:rPr>
          <w:rFonts w:hint="eastAsia"/>
        </w:rPr>
      </w:pPr>
      <w:r>
        <w:rPr>
          <w:rFonts w:hint="eastAsia"/>
        </w:rPr>
        <w:t>3.2角膜曲率半径：0.01mm</w:t>
      </w:r>
    </w:p>
    <w:p w14:paraId="17345998">
      <w:pPr>
        <w:ind w:firstLine="210" w:firstLineChars="100"/>
        <w:jc w:val="left"/>
        <w:rPr>
          <w:rFonts w:hint="eastAsia"/>
        </w:rPr>
      </w:pPr>
      <w:r>
        <w:rPr>
          <w:rFonts w:hint="eastAsia"/>
        </w:rPr>
        <w:t>3.3前房深度：0.01mm</w:t>
      </w:r>
    </w:p>
    <w:p w14:paraId="439404A2">
      <w:pPr>
        <w:ind w:firstLine="210" w:firstLineChars="100"/>
        <w:jc w:val="left"/>
        <w:rPr>
          <w:rFonts w:hint="eastAsia"/>
        </w:rPr>
      </w:pPr>
      <w:r>
        <w:rPr>
          <w:rFonts w:hint="eastAsia"/>
        </w:rPr>
        <w:t>3.4白-白角膜直径：0.01mm</w:t>
      </w:r>
    </w:p>
    <w:p w14:paraId="590D0803">
      <w:pPr>
        <w:ind w:firstLine="210" w:firstLineChars="100"/>
        <w:jc w:val="left"/>
        <w:rPr>
          <w:rFonts w:hint="eastAsia"/>
        </w:rPr>
      </w:pPr>
      <w:r>
        <w:rPr>
          <w:rFonts w:hint="eastAsia"/>
        </w:rPr>
        <w:t>3.5晶体厚度：0.01mm</w:t>
      </w:r>
    </w:p>
    <w:p w14:paraId="215AF812">
      <w:pPr>
        <w:ind w:firstLine="210" w:firstLineChars="100"/>
        <w:jc w:val="left"/>
        <w:rPr>
          <w:rFonts w:hint="eastAsia"/>
        </w:rPr>
      </w:pPr>
      <w:r>
        <w:rPr>
          <w:rFonts w:hint="eastAsia"/>
        </w:rPr>
        <w:t>3.6中央角膜厚度：1μm</w:t>
      </w:r>
    </w:p>
    <w:p w14:paraId="67C73DC3">
      <w:pPr>
        <w:ind w:firstLine="210" w:firstLineChars="100"/>
        <w:jc w:val="left"/>
        <w:rPr>
          <w:rFonts w:hint="eastAsia"/>
        </w:rPr>
      </w:pPr>
      <w:r>
        <w:rPr>
          <w:rFonts w:hint="eastAsia"/>
        </w:rPr>
        <w:t>3.7瞳孔直径：0.01mm</w:t>
      </w:r>
    </w:p>
    <w:p w14:paraId="0D55F9BF">
      <w:pPr>
        <w:jc w:val="left"/>
        <w:rPr>
          <w:rFonts w:hint="eastAsia"/>
        </w:rPr>
      </w:pPr>
      <w:r>
        <w:rPr>
          <w:rFonts w:hint="eastAsia"/>
        </w:rPr>
        <w:t>▲4、测量原理。</w:t>
      </w:r>
    </w:p>
    <w:p w14:paraId="3A42FB9E">
      <w:pPr>
        <w:ind w:firstLine="210" w:firstLineChars="100"/>
        <w:jc w:val="left"/>
        <w:rPr>
          <w:rFonts w:hint="eastAsia"/>
        </w:rPr>
      </w:pPr>
      <w:r>
        <w:rPr>
          <w:rFonts w:hint="eastAsia"/>
        </w:rPr>
        <w:t>4.1测量原理：扫频OCT测量技术</w:t>
      </w:r>
    </w:p>
    <w:p w14:paraId="0271FBB6">
      <w:pPr>
        <w:ind w:firstLine="210" w:firstLineChars="100"/>
        <w:jc w:val="left"/>
        <w:rPr>
          <w:rFonts w:hint="eastAsia"/>
        </w:rPr>
      </w:pPr>
      <w:r>
        <w:rPr>
          <w:rFonts w:hint="eastAsia"/>
        </w:rPr>
        <w:t>4.2可视化测量：一次拍摄可呈现12方位角膜顶点至视网膜层的OCT全程图像</w:t>
      </w:r>
    </w:p>
    <w:p w14:paraId="4C029CDB">
      <w:pPr>
        <w:ind w:firstLine="210" w:firstLineChars="100"/>
        <w:jc w:val="left"/>
        <w:rPr>
          <w:rFonts w:hint="eastAsia"/>
        </w:rPr>
      </w:pPr>
      <w:r>
        <w:rPr>
          <w:rFonts w:hint="eastAsia"/>
        </w:rPr>
        <w:t>4.3固视确认功能，可显示眼底OCT影像</w:t>
      </w:r>
    </w:p>
    <w:p w14:paraId="67A0C5ED">
      <w:pPr>
        <w:ind w:firstLine="210" w:firstLineChars="100"/>
        <w:jc w:val="left"/>
        <w:rPr>
          <w:rFonts w:hint="eastAsia"/>
        </w:rPr>
      </w:pPr>
      <w:r>
        <w:rPr>
          <w:rFonts w:hint="eastAsia"/>
        </w:rPr>
        <w:t>4.4测量模式：可自动/手动测量切换</w:t>
      </w:r>
    </w:p>
    <w:p w14:paraId="648EA411">
      <w:pPr>
        <w:ind w:firstLine="210" w:firstLineChars="100"/>
        <w:jc w:val="left"/>
        <w:rPr>
          <w:rFonts w:hint="eastAsia"/>
        </w:rPr>
      </w:pPr>
      <w:r>
        <w:rPr>
          <w:rFonts w:hint="eastAsia"/>
        </w:rPr>
        <w:t>4.5左右眼识别方式：自动识别</w:t>
      </w:r>
    </w:p>
    <w:p w14:paraId="68D77C5F">
      <w:pPr>
        <w:jc w:val="left"/>
        <w:rPr>
          <w:rFonts w:hint="eastAsia"/>
        </w:rPr>
      </w:pPr>
      <w:r>
        <w:rPr>
          <w:rFonts w:hint="eastAsia"/>
        </w:rPr>
        <w:t>▲4.6全角膜曲率测量：直接测量真实角膜前后表面曲率。</w:t>
      </w:r>
    </w:p>
    <w:p w14:paraId="1D7EF848">
      <w:pPr>
        <w:jc w:val="left"/>
        <w:rPr>
          <w:rFonts w:hint="eastAsia"/>
        </w:rPr>
      </w:pPr>
      <w:r>
        <w:rPr>
          <w:rFonts w:hint="eastAsia"/>
        </w:rPr>
        <w:t>▲4.7角膜地形图：直接测量获得角膜地形图及数据。</w:t>
      </w:r>
    </w:p>
    <w:p w14:paraId="216D2A77">
      <w:pPr>
        <w:ind w:firstLine="210" w:firstLineChars="100"/>
        <w:jc w:val="left"/>
        <w:rPr>
          <w:rFonts w:hint="eastAsia"/>
        </w:rPr>
      </w:pPr>
      <w:r>
        <w:rPr>
          <w:rFonts w:hint="eastAsia"/>
        </w:rPr>
        <w:t>5、人工晶体计算公式：</w:t>
      </w:r>
    </w:p>
    <w:p w14:paraId="3B76E71F">
      <w:pPr>
        <w:ind w:left="420" w:hanging="420" w:hangingChars="200"/>
        <w:jc w:val="left"/>
        <w:rPr>
          <w:rFonts w:hint="eastAsia"/>
        </w:rPr>
      </w:pPr>
      <w:r>
        <w:rPr>
          <w:rFonts w:hint="eastAsia"/>
        </w:rPr>
        <w:t>▲5.1全内置人工晶体计算公式：SRK T、SRK Ⅱ、HofferQ、Holladay、Haigis、KANE公式组、EVO公式组</w:t>
      </w:r>
    </w:p>
    <w:p w14:paraId="481FB4A8">
      <w:pPr>
        <w:ind w:left="420" w:leftChars="100" w:hanging="210" w:hangingChars="100"/>
        <w:jc w:val="left"/>
        <w:rPr>
          <w:rFonts w:hint="eastAsia"/>
        </w:rPr>
      </w:pPr>
      <w:r>
        <w:rPr>
          <w:rFonts w:hint="eastAsia"/>
        </w:rPr>
        <w:t>5.2散光晶体计算：具有KANE、EVO公式法，可在测量机器上直接计算散光矫正型人工晶状体的球镜和柱镜度数</w:t>
      </w:r>
    </w:p>
    <w:p w14:paraId="194AB7AD">
      <w:pPr>
        <w:ind w:firstLine="210" w:firstLineChars="100"/>
        <w:jc w:val="left"/>
        <w:rPr>
          <w:rFonts w:hint="eastAsia"/>
        </w:rPr>
      </w:pPr>
      <w:r>
        <w:rPr>
          <w:rFonts w:hint="eastAsia"/>
        </w:rPr>
        <w:t>6.专用光学人工晶体常数数据库：具有500款以上晶体光学A常数，保证各种人工晶体度数精确。</w:t>
      </w:r>
    </w:p>
    <w:p w14:paraId="3A9CC648">
      <w:pPr>
        <w:ind w:firstLine="210" w:firstLineChars="100"/>
        <w:jc w:val="left"/>
        <w:rPr>
          <w:rFonts w:hint="eastAsia"/>
        </w:rPr>
      </w:pPr>
      <w:r>
        <w:rPr>
          <w:rFonts w:hint="eastAsia"/>
        </w:rPr>
        <w:t>7.可以传输至网络连接或者网络连接打印机。</w:t>
      </w:r>
    </w:p>
    <w:p w14:paraId="12AA8994">
      <w:pPr>
        <w:ind w:firstLine="210" w:firstLineChars="100"/>
        <w:jc w:val="left"/>
        <w:rPr>
          <w:rFonts w:hint="eastAsia" w:eastAsiaTheme="minorEastAsia"/>
          <w:lang w:val="en-US" w:eastAsia="zh-CN"/>
        </w:rPr>
      </w:pPr>
      <w:r>
        <w:rPr>
          <w:rFonts w:hint="eastAsia"/>
          <w:lang w:val="en-US" w:eastAsia="zh-CN"/>
        </w:rPr>
        <w:t>8、</w:t>
      </w:r>
      <w:r>
        <w:rPr>
          <w:rFonts w:hint="eastAsia" w:ascii="Tahoma" w:hAnsi="Tahoma" w:cs="Tahoma"/>
          <w:color w:val="393939"/>
          <w:szCs w:val="21"/>
          <w:lang w:val="en-US" w:eastAsia="zh-CN"/>
        </w:rPr>
        <w:t>维保10年</w:t>
      </w:r>
    </w:p>
    <w:p w14:paraId="3C70863F">
      <w:pPr>
        <w:ind w:firstLine="210" w:firstLineChars="100"/>
        <w:jc w:val="left"/>
      </w:pPr>
      <w:bookmarkStart w:id="0" w:name="_GoBack"/>
      <w:bookmarkEnd w:id="0"/>
      <w:r>
        <w:rPr>
          <w:rFonts w:hint="eastAsia"/>
          <w:lang w:val="en-US" w:eastAsia="zh-CN"/>
        </w:rPr>
        <w:t>9、</w:t>
      </w:r>
      <w:r>
        <w:rPr>
          <w:rFonts w:hint="eastAsia"/>
        </w:rPr>
        <w:t>配置</w:t>
      </w:r>
      <w:r>
        <w:t>清单：</w:t>
      </w:r>
    </w:p>
    <w:p w14:paraId="633521DE">
      <w:pPr>
        <w:numPr>
          <w:ilvl w:val="0"/>
          <w:numId w:val="2"/>
        </w:numPr>
        <w:ind w:firstLine="400"/>
        <w:jc w:val="left"/>
        <w:rPr>
          <w:rFonts w:hint="eastAsia"/>
        </w:rPr>
      </w:pPr>
      <w:r>
        <w:rPr>
          <w:rFonts w:hint="eastAsia"/>
        </w:rPr>
        <w:t>光学生物测量仪主机 1台</w:t>
      </w:r>
    </w:p>
    <w:p w14:paraId="39984920">
      <w:pPr>
        <w:numPr>
          <w:ilvl w:val="0"/>
          <w:numId w:val="2"/>
        </w:numPr>
        <w:ind w:firstLine="400"/>
        <w:jc w:val="left"/>
        <w:rPr>
          <w:rFonts w:hint="eastAsia"/>
        </w:rPr>
      </w:pPr>
      <w:r>
        <w:rPr>
          <w:rFonts w:hint="eastAsia"/>
        </w:rPr>
        <w:t>键鼠套装           1套</w:t>
      </w:r>
    </w:p>
    <w:p w14:paraId="54DAABBB">
      <w:pPr>
        <w:numPr>
          <w:ilvl w:val="0"/>
          <w:numId w:val="2"/>
        </w:numPr>
        <w:ind w:firstLine="400"/>
        <w:jc w:val="left"/>
        <w:rPr>
          <w:rFonts w:hint="eastAsia"/>
        </w:rPr>
      </w:pPr>
      <w:r>
        <w:rPr>
          <w:rFonts w:hint="eastAsia"/>
        </w:rPr>
        <w:t>电动升降台         1台</w:t>
      </w:r>
    </w:p>
    <w:p w14:paraId="07C972E5">
      <w:pPr>
        <w:numPr>
          <w:ilvl w:val="0"/>
          <w:numId w:val="2"/>
        </w:numPr>
        <w:ind w:firstLine="400"/>
        <w:jc w:val="left"/>
        <w:rPr>
          <w:rFonts w:hint="eastAsia"/>
        </w:rPr>
      </w:pPr>
      <w:r>
        <w:rPr>
          <w:rFonts w:hint="eastAsia"/>
        </w:rPr>
        <w:t>显示器             1个</w:t>
      </w:r>
    </w:p>
    <w:p w14:paraId="53C3F909">
      <w:pPr>
        <w:numPr>
          <w:ilvl w:val="0"/>
          <w:numId w:val="2"/>
        </w:numPr>
        <w:ind w:firstLine="400"/>
        <w:jc w:val="left"/>
        <w:rPr>
          <w:rFonts w:hint="eastAsia"/>
        </w:rPr>
      </w:pPr>
      <w:r>
        <w:rPr>
          <w:rFonts w:hint="eastAsia"/>
        </w:rPr>
        <w:t>国产打印机             1台</w:t>
      </w:r>
    </w:p>
    <w:p w14:paraId="30583D65">
      <w:pPr>
        <w:numPr>
          <w:ilvl w:val="0"/>
          <w:numId w:val="2"/>
        </w:numPr>
        <w:ind w:firstLine="400"/>
        <w:jc w:val="left"/>
        <w:rPr>
          <w:rFonts w:hint="eastAsia"/>
        </w:rPr>
      </w:pPr>
      <w:r>
        <w:rPr>
          <w:rFonts w:hint="eastAsia"/>
        </w:rPr>
        <w:t>变压器             1个</w:t>
      </w:r>
    </w:p>
    <w:p w14:paraId="57FAA622">
      <w:pPr>
        <w:numPr>
          <w:ilvl w:val="0"/>
          <w:numId w:val="2"/>
        </w:numPr>
        <w:ind w:firstLine="400"/>
        <w:rPr>
          <w:rFonts w:hint="eastAsia"/>
          <w:sz w:val="24"/>
          <w:szCs w:val="24"/>
        </w:rPr>
      </w:pPr>
      <w:r>
        <w:rPr>
          <w:rFonts w:hint="eastAsia"/>
        </w:rPr>
        <w:t>电脑主机</w:t>
      </w:r>
      <w:r>
        <w:rPr>
          <w:rFonts w:hint="eastAsia"/>
          <w:sz w:val="24"/>
          <w:szCs w:val="24"/>
        </w:rPr>
        <w:t>（国产</w:t>
      </w:r>
      <w:r>
        <w:rPr>
          <w:sz w:val="24"/>
          <w:szCs w:val="24"/>
        </w:rPr>
        <w:t>CPU</w:t>
      </w:r>
      <w:r>
        <w:rPr>
          <w:rFonts w:hint="eastAsia"/>
          <w:sz w:val="24"/>
          <w:szCs w:val="24"/>
        </w:rPr>
        <w:t>品牌，如：龙芯</w:t>
      </w:r>
      <w:r>
        <w:rPr>
          <w:sz w:val="24"/>
          <w:szCs w:val="24"/>
        </w:rPr>
        <w:t>Loongson</w:t>
      </w:r>
      <w:r>
        <w:rPr>
          <w:rFonts w:hint="eastAsia"/>
          <w:sz w:val="24"/>
          <w:szCs w:val="24"/>
        </w:rPr>
        <w:t>、海光</w:t>
      </w:r>
      <w:r>
        <w:rPr>
          <w:sz w:val="24"/>
          <w:szCs w:val="24"/>
        </w:rPr>
        <w:t>Hygon</w:t>
      </w:r>
      <w:r>
        <w:rPr>
          <w:rFonts w:hint="eastAsia"/>
          <w:sz w:val="24"/>
          <w:szCs w:val="24"/>
        </w:rPr>
        <w:t>、飞腾</w:t>
      </w:r>
      <w:r>
        <w:rPr>
          <w:sz w:val="24"/>
          <w:szCs w:val="24"/>
        </w:rPr>
        <w:t>Phytium</w:t>
      </w:r>
      <w:r>
        <w:rPr>
          <w:rFonts w:hint="eastAsia"/>
          <w:sz w:val="24"/>
          <w:szCs w:val="24"/>
        </w:rPr>
        <w:t>、申威</w:t>
      </w:r>
      <w:r>
        <w:rPr>
          <w:rFonts w:ascii="MS Mincho" w:hAnsi="MS Mincho" w:cs="MS Mincho"/>
          <w:sz w:val="24"/>
          <w:szCs w:val="24"/>
        </w:rPr>
        <w:t>‌</w:t>
      </w:r>
      <w:r>
        <w:rPr>
          <w:rFonts w:hint="eastAsia" w:ascii="宋体" w:hAnsi="宋体" w:eastAsia="宋体" w:cs="宋体"/>
          <w:sz w:val="24"/>
          <w:szCs w:val="24"/>
        </w:rPr>
        <w:t>、鲲鹏华为、兆芯</w:t>
      </w:r>
      <w:r>
        <w:rPr>
          <w:rFonts w:ascii="MS Mincho" w:hAnsi="MS Mincho" w:cs="MS Mincho"/>
          <w:sz w:val="24"/>
          <w:szCs w:val="24"/>
        </w:rPr>
        <w:t>‌</w:t>
      </w:r>
      <w:r>
        <w:rPr>
          <w:rFonts w:hint="eastAsia" w:ascii="宋体" w:hAnsi="宋体" w:eastAsia="宋体" w:cs="宋体"/>
          <w:sz w:val="24"/>
          <w:szCs w:val="24"/>
        </w:rPr>
        <w:t>等</w:t>
      </w:r>
      <w:r>
        <w:rPr>
          <w:sz w:val="24"/>
          <w:szCs w:val="24"/>
        </w:rPr>
        <w:t xml:space="preserve">           1</w:t>
      </w:r>
      <w:r>
        <w:rPr>
          <w:rFonts w:hint="eastAsia"/>
          <w:sz w:val="24"/>
          <w:szCs w:val="24"/>
        </w:rPr>
        <w:t>个</w:t>
      </w:r>
    </w:p>
    <w:p w14:paraId="01952A7F">
      <w:pPr>
        <w:rPr>
          <w:rFonts w:hint="eastAsia"/>
        </w:rPr>
      </w:pPr>
    </w:p>
    <w:p w14:paraId="4892F281">
      <w:pPr>
        <w:outlineLvl w:val="3"/>
        <w:rPr>
          <w:rFonts w:hint="default"/>
          <w:b/>
          <w:bCs/>
          <w:sz w:val="24"/>
          <w:szCs w:val="24"/>
          <w:lang w:val="en-US" w:eastAsia="zh-CN"/>
        </w:rPr>
      </w:pPr>
      <w:r>
        <w:rPr>
          <w:rFonts w:hint="eastAsia"/>
          <w:b/>
          <w:bCs/>
          <w:sz w:val="24"/>
          <w:szCs w:val="24"/>
          <w:lang w:eastAsia="zh-CN"/>
        </w:rPr>
        <w:t>包二：光学生物测量仪（一）</w:t>
      </w:r>
      <w:r>
        <w:rPr>
          <w:rFonts w:hint="eastAsia"/>
          <w:b/>
          <w:bCs/>
          <w:sz w:val="24"/>
          <w:szCs w:val="24"/>
          <w:lang w:val="en-US" w:eastAsia="zh-CN"/>
        </w:rPr>
        <w:t xml:space="preserve">2套 </w:t>
      </w:r>
    </w:p>
    <w:p w14:paraId="5D7643AD">
      <w:pPr>
        <w:widowControl/>
        <w:numPr>
          <w:ilvl w:val="0"/>
          <w:numId w:val="3"/>
        </w:numPr>
        <w:spacing w:line="315" w:lineRule="atLeast"/>
        <w:jc w:val="left"/>
        <w:rPr>
          <w:rFonts w:ascii="Tahoma" w:hAnsi="Tahoma" w:cs="Tahoma"/>
          <w:color w:val="393939"/>
          <w:szCs w:val="21"/>
          <w:shd w:val="clear" w:color="auto" w:fill="FFFFFF"/>
        </w:rPr>
      </w:pPr>
      <w:r>
        <w:rPr>
          <w:rFonts w:ascii="Tahoma" w:hAnsi="Tahoma" w:cs="Tahoma"/>
          <w:color w:val="393939"/>
          <w:szCs w:val="21"/>
          <w:shd w:val="clear" w:color="auto" w:fill="FFFFFF"/>
        </w:rPr>
        <w:t>、基本功能</w:t>
      </w:r>
      <w:r>
        <w:rPr>
          <w:rFonts w:ascii="Tahoma" w:hAnsi="Tahoma" w:cs="Tahoma"/>
          <w:color w:val="393939"/>
          <w:szCs w:val="21"/>
        </w:rPr>
        <w:br w:type="textWrapping"/>
      </w:r>
      <w:r>
        <w:rPr>
          <w:rFonts w:ascii="Tahoma" w:hAnsi="Tahoma" w:cs="Tahoma"/>
          <w:color w:val="393939"/>
          <w:szCs w:val="21"/>
          <w:shd w:val="clear" w:color="auto" w:fill="FFFFFF"/>
        </w:rPr>
        <w:t>1、测量眼球生物参数：如眼轴长度、角膜曲率、前房深度、白-白（角膜直径）、晶体厚度、中央角膜厚度、瞳孔直径、视轴偏心率等，并计算人工晶体度数，可用于人工晶体植入术及青少年视力检测。</w:t>
      </w:r>
      <w:r>
        <w:rPr>
          <w:rFonts w:ascii="Tahoma" w:hAnsi="Tahoma" w:cs="Tahoma"/>
          <w:color w:val="393939"/>
          <w:szCs w:val="21"/>
        </w:rPr>
        <w:br w:type="textWrapping"/>
      </w:r>
      <w:r>
        <w:rPr>
          <w:rFonts w:ascii="Tahoma" w:hAnsi="Tahoma" w:cs="Tahoma"/>
          <w:color w:val="393939"/>
          <w:szCs w:val="21"/>
          <w:shd w:val="clear" w:color="auto" w:fill="FFFFFF"/>
        </w:rPr>
        <w:t>（二）、具体参数</w:t>
      </w:r>
      <w:r>
        <w:rPr>
          <w:rFonts w:ascii="Tahoma" w:hAnsi="Tahoma" w:cs="Tahoma"/>
          <w:color w:val="393939"/>
          <w:szCs w:val="21"/>
        </w:rPr>
        <w:br w:type="textWrapping"/>
      </w:r>
      <w:r>
        <w:rPr>
          <w:rFonts w:ascii="Tahoma" w:hAnsi="Tahoma" w:cs="Tahoma"/>
          <w:color w:val="393939"/>
          <w:szCs w:val="21"/>
          <w:shd w:val="clear" w:color="auto" w:fill="FFFFFF"/>
        </w:rPr>
        <w:t>1、光源</w:t>
      </w:r>
      <w:r>
        <w:rPr>
          <w:rFonts w:ascii="Tahoma" w:hAnsi="Tahoma" w:cs="Tahoma"/>
          <w:color w:val="393939"/>
          <w:szCs w:val="21"/>
        </w:rPr>
        <w:br w:type="textWrapping"/>
      </w:r>
      <w:r>
        <w:rPr>
          <w:rFonts w:ascii="Tahoma" w:hAnsi="Tahoma" w:cs="Tahoma"/>
          <w:color w:val="393939"/>
          <w:szCs w:val="21"/>
          <w:shd w:val="clear" w:color="auto" w:fill="FFFFFF"/>
        </w:rPr>
        <w:t>1.1眼轴长测量光源：可调谐激光</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 xml:space="preserve"> 1.2眼轴长测量光源波长：1035nm-1077nm</w:t>
      </w:r>
      <w:r>
        <w:rPr>
          <w:rFonts w:ascii="Tahoma" w:hAnsi="Tahoma" w:cs="Tahoma"/>
          <w:color w:val="393939"/>
          <w:szCs w:val="21"/>
        </w:rPr>
        <w:br w:type="textWrapping"/>
      </w:r>
      <w:r>
        <w:rPr>
          <w:rFonts w:ascii="Tahoma" w:hAnsi="Tahoma" w:cs="Tahoma"/>
          <w:color w:val="393939"/>
          <w:szCs w:val="21"/>
          <w:shd w:val="clear" w:color="auto" w:fill="FFFFFF"/>
        </w:rPr>
        <w:t>1.3单次测量时间（脉冲持续时间）：0.5s</w:t>
      </w:r>
      <w:r>
        <w:rPr>
          <w:rFonts w:ascii="Tahoma" w:hAnsi="Tahoma" w:cs="Tahoma"/>
          <w:color w:val="393939"/>
          <w:szCs w:val="21"/>
        </w:rPr>
        <w:br w:type="textWrapping"/>
      </w:r>
      <w:r>
        <w:rPr>
          <w:rFonts w:ascii="Tahoma" w:hAnsi="Tahoma" w:cs="Tahoma"/>
          <w:color w:val="393939"/>
          <w:szCs w:val="21"/>
          <w:shd w:val="clear" w:color="auto" w:fill="FFFFFF"/>
        </w:rPr>
        <w:t>1.4最大输出功率 ＜1.67mW</w:t>
      </w:r>
      <w:r>
        <w:rPr>
          <w:rFonts w:ascii="Tahoma" w:hAnsi="Tahoma" w:cs="Tahoma"/>
          <w:color w:val="393939"/>
          <w:szCs w:val="21"/>
        </w:rPr>
        <w:br w:type="textWrapping"/>
      </w:r>
      <w:r>
        <w:rPr>
          <w:rFonts w:ascii="Tahoma" w:hAnsi="Tahoma" w:cs="Tahoma"/>
          <w:color w:val="393939"/>
          <w:szCs w:val="21"/>
          <w:shd w:val="clear" w:color="auto" w:fill="FFFFFF"/>
        </w:rPr>
        <w:t>2、测量生物参数</w:t>
      </w:r>
      <w:r>
        <w:rPr>
          <w:rFonts w:ascii="Tahoma" w:hAnsi="Tahoma" w:cs="Tahoma"/>
          <w:color w:val="393939"/>
          <w:szCs w:val="21"/>
        </w:rPr>
        <w:br w:type="textWrapping"/>
      </w:r>
      <w:r>
        <w:rPr>
          <w:rFonts w:ascii="Tahoma" w:hAnsi="Tahoma" w:cs="Tahoma"/>
          <w:color w:val="393939"/>
          <w:szCs w:val="21"/>
          <w:shd w:val="clear" w:color="auto" w:fill="FFFFFF"/>
        </w:rPr>
        <w:t>2.1眼轴长度AL：14-38mm</w:t>
      </w:r>
      <w:r>
        <w:rPr>
          <w:rFonts w:ascii="Tahoma" w:hAnsi="Tahoma" w:cs="Tahoma"/>
          <w:color w:val="393939"/>
          <w:szCs w:val="21"/>
        </w:rPr>
        <w:br w:type="textWrapping"/>
      </w:r>
      <w:r>
        <w:rPr>
          <w:rFonts w:ascii="Tahoma" w:hAnsi="Tahoma" w:cs="Tahoma"/>
          <w:color w:val="393939"/>
          <w:szCs w:val="21"/>
          <w:shd w:val="clear" w:color="auto" w:fill="FFFFFF"/>
        </w:rPr>
        <w:t>2.2 角膜曲率半径K1/K2：5-11mm</w:t>
      </w:r>
      <w:r>
        <w:rPr>
          <w:rFonts w:ascii="Tahoma" w:hAnsi="Tahoma" w:cs="Tahoma"/>
          <w:color w:val="393939"/>
          <w:szCs w:val="21"/>
        </w:rPr>
        <w:br w:type="textWrapping"/>
      </w:r>
      <w:r>
        <w:rPr>
          <w:rFonts w:ascii="Tahoma" w:hAnsi="Tahoma" w:cs="Tahoma"/>
          <w:color w:val="393939"/>
          <w:szCs w:val="21"/>
          <w:shd w:val="clear" w:color="auto" w:fill="FFFFFF"/>
        </w:rPr>
        <w:t>2.3 前房深度ACD/iACD：0.7-8mm</w:t>
      </w:r>
      <w:r>
        <w:rPr>
          <w:rFonts w:ascii="Tahoma" w:hAnsi="Tahoma" w:cs="Tahoma"/>
          <w:color w:val="393939"/>
          <w:szCs w:val="21"/>
        </w:rPr>
        <w:br w:type="textWrapping"/>
      </w:r>
      <w:r>
        <w:rPr>
          <w:rFonts w:ascii="Tahoma" w:hAnsi="Tahoma" w:cs="Tahoma"/>
          <w:color w:val="393939"/>
          <w:szCs w:val="21"/>
          <w:shd w:val="clear" w:color="auto" w:fill="FFFFFF"/>
        </w:rPr>
        <w:t>2.4 白-白角膜直径WTW：8.3-16mm</w:t>
      </w:r>
      <w:r>
        <w:rPr>
          <w:rFonts w:ascii="Tahoma" w:hAnsi="Tahoma" w:cs="Tahoma"/>
          <w:color w:val="393939"/>
          <w:szCs w:val="21"/>
        </w:rPr>
        <w:br w:type="textWrapping"/>
      </w:r>
      <w:r>
        <w:rPr>
          <w:rFonts w:ascii="Tahoma" w:hAnsi="Tahoma" w:cs="Tahoma"/>
          <w:color w:val="393939"/>
          <w:szCs w:val="21"/>
          <w:shd w:val="clear" w:color="auto" w:fill="FFFFFF"/>
        </w:rPr>
        <w:t>2.5 晶体厚度：1-10mm（晶状体眼）、0.13-2.5mm（人工晶状体眼）</w:t>
      </w:r>
      <w:r>
        <w:rPr>
          <w:rFonts w:ascii="Tahoma" w:hAnsi="Tahoma" w:cs="Tahoma"/>
          <w:color w:val="393939"/>
          <w:szCs w:val="21"/>
        </w:rPr>
        <w:br w:type="textWrapping"/>
      </w:r>
      <w:r>
        <w:rPr>
          <w:rFonts w:ascii="Tahoma" w:hAnsi="Tahoma" w:cs="Tahoma"/>
          <w:color w:val="393939"/>
          <w:szCs w:val="21"/>
          <w:shd w:val="clear" w:color="auto" w:fill="FFFFFF"/>
        </w:rPr>
        <w:t>2.6 中央角膜厚度CCT：0.2-1.2mm</w:t>
      </w:r>
      <w:r>
        <w:rPr>
          <w:rFonts w:ascii="Tahoma" w:hAnsi="Tahoma" w:cs="Tahoma"/>
          <w:color w:val="393939"/>
          <w:szCs w:val="21"/>
        </w:rPr>
        <w:br w:type="textWrapping"/>
      </w:r>
      <w:r>
        <w:rPr>
          <w:rFonts w:ascii="Tahoma" w:hAnsi="Tahoma" w:cs="Tahoma"/>
          <w:color w:val="393939"/>
          <w:szCs w:val="21"/>
          <w:shd w:val="clear" w:color="auto" w:fill="FFFFFF"/>
        </w:rPr>
        <w:t>2.7 瞳孔直径P：1.5-9.8mm</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2.8视轴中心点（Px, Py; Ix, Iy）。</w:t>
      </w:r>
      <w:r>
        <w:rPr>
          <w:rFonts w:ascii="Tahoma" w:hAnsi="Tahoma" w:cs="Tahoma"/>
          <w:color w:val="393939"/>
          <w:szCs w:val="21"/>
        </w:rPr>
        <w:br w:type="textWrapping"/>
      </w:r>
      <w:r>
        <w:rPr>
          <w:rFonts w:ascii="Tahoma" w:hAnsi="Tahoma" w:cs="Tahoma"/>
          <w:color w:val="393939"/>
          <w:szCs w:val="21"/>
          <w:shd w:val="clear" w:color="auto" w:fill="FFFFFF"/>
        </w:rPr>
        <w:t>3、测量精确度</w:t>
      </w:r>
      <w:r>
        <w:rPr>
          <w:rFonts w:ascii="Tahoma" w:hAnsi="Tahoma" w:cs="Tahoma"/>
          <w:color w:val="393939"/>
          <w:szCs w:val="21"/>
        </w:rPr>
        <w:br w:type="textWrapping"/>
      </w:r>
      <w:r>
        <w:rPr>
          <w:rFonts w:ascii="Tahoma" w:hAnsi="Tahoma" w:cs="Tahoma"/>
          <w:color w:val="393939"/>
          <w:szCs w:val="21"/>
          <w:shd w:val="clear" w:color="auto" w:fill="FFFFFF"/>
        </w:rPr>
        <w:t>3.1 眼轴长度：0.01mm</w:t>
      </w:r>
      <w:r>
        <w:rPr>
          <w:rFonts w:ascii="Tahoma" w:hAnsi="Tahoma" w:cs="Tahoma"/>
          <w:color w:val="393939"/>
          <w:szCs w:val="21"/>
        </w:rPr>
        <w:br w:type="textWrapping"/>
      </w:r>
      <w:r>
        <w:rPr>
          <w:rFonts w:ascii="Tahoma" w:hAnsi="Tahoma" w:cs="Tahoma"/>
          <w:color w:val="393939"/>
          <w:szCs w:val="21"/>
          <w:shd w:val="clear" w:color="auto" w:fill="FFFFFF"/>
        </w:rPr>
        <w:t>3.2 角膜曲率半径：0.01mm</w:t>
      </w:r>
      <w:r>
        <w:rPr>
          <w:rFonts w:ascii="Tahoma" w:hAnsi="Tahoma" w:cs="Tahoma"/>
          <w:color w:val="393939"/>
          <w:szCs w:val="21"/>
        </w:rPr>
        <w:br w:type="textWrapping"/>
      </w:r>
      <w:r>
        <w:rPr>
          <w:rFonts w:ascii="Tahoma" w:hAnsi="Tahoma" w:cs="Tahoma"/>
          <w:color w:val="393939"/>
          <w:szCs w:val="21"/>
          <w:shd w:val="clear" w:color="auto" w:fill="FFFFFF"/>
        </w:rPr>
        <w:t>3.3 前房深度：0.01mm</w:t>
      </w:r>
      <w:r>
        <w:rPr>
          <w:rFonts w:ascii="Tahoma" w:hAnsi="Tahoma" w:cs="Tahoma"/>
          <w:color w:val="393939"/>
          <w:szCs w:val="21"/>
        </w:rPr>
        <w:br w:type="textWrapping"/>
      </w:r>
      <w:r>
        <w:rPr>
          <w:rFonts w:ascii="Tahoma" w:hAnsi="Tahoma" w:cs="Tahoma"/>
          <w:color w:val="393939"/>
          <w:szCs w:val="21"/>
          <w:shd w:val="clear" w:color="auto" w:fill="FFFFFF"/>
        </w:rPr>
        <w:t>3.4 白-白角膜直径：0.1mm</w:t>
      </w:r>
      <w:r>
        <w:rPr>
          <w:rFonts w:ascii="Tahoma" w:hAnsi="Tahoma" w:cs="Tahoma"/>
          <w:color w:val="393939"/>
          <w:szCs w:val="21"/>
        </w:rPr>
        <w:br w:type="textWrapping"/>
      </w:r>
      <w:r>
        <w:rPr>
          <w:rFonts w:ascii="Tahoma" w:hAnsi="Tahoma" w:cs="Tahoma"/>
          <w:color w:val="393939"/>
          <w:szCs w:val="21"/>
          <w:shd w:val="clear" w:color="auto" w:fill="FFFFFF"/>
        </w:rPr>
        <w:t>3.5 晶体厚度：0.01mm</w:t>
      </w:r>
      <w:r>
        <w:rPr>
          <w:rFonts w:ascii="Tahoma" w:hAnsi="Tahoma" w:cs="Tahoma"/>
          <w:color w:val="393939"/>
          <w:szCs w:val="21"/>
        </w:rPr>
        <w:br w:type="textWrapping"/>
      </w:r>
      <w:r>
        <w:rPr>
          <w:rFonts w:ascii="Tahoma" w:hAnsi="Tahoma" w:cs="Tahoma"/>
          <w:color w:val="393939"/>
          <w:szCs w:val="21"/>
          <w:shd w:val="clear" w:color="auto" w:fill="FFFFFF"/>
        </w:rPr>
        <w:t>3.6 中央角膜厚度：1μm</w:t>
      </w:r>
      <w:r>
        <w:rPr>
          <w:rFonts w:ascii="Tahoma" w:hAnsi="Tahoma" w:cs="Tahoma"/>
          <w:color w:val="393939"/>
          <w:szCs w:val="21"/>
        </w:rPr>
        <w:br w:type="textWrapping"/>
      </w:r>
      <w:r>
        <w:rPr>
          <w:rFonts w:ascii="Tahoma" w:hAnsi="Tahoma" w:cs="Tahoma"/>
          <w:color w:val="393939"/>
          <w:szCs w:val="21"/>
          <w:shd w:val="clear" w:color="auto" w:fill="FFFFFF"/>
        </w:rPr>
        <w:t>3.7 瞳孔直径：0.1mm</w:t>
      </w:r>
      <w:r>
        <w:rPr>
          <w:rFonts w:ascii="Tahoma" w:hAnsi="Tahoma" w:cs="Tahoma"/>
          <w:color w:val="393939"/>
          <w:szCs w:val="21"/>
        </w:rPr>
        <w:br w:type="textWrapping"/>
      </w:r>
      <w:r>
        <w:rPr>
          <w:rFonts w:ascii="Tahoma" w:hAnsi="Tahoma" w:cs="Tahoma"/>
          <w:color w:val="393939"/>
          <w:szCs w:val="21"/>
          <w:shd w:val="clear" w:color="auto" w:fill="FFFFFF"/>
        </w:rPr>
        <w:t>4、重复性</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4.1眼轴长度：9μm。</w:t>
      </w:r>
      <w:r>
        <w:rPr>
          <w:rFonts w:ascii="Tahoma" w:hAnsi="Tahoma" w:cs="Tahoma"/>
          <w:color w:val="393939"/>
          <w:szCs w:val="21"/>
        </w:rPr>
        <w:br w:type="textWrapping"/>
      </w:r>
      <w:r>
        <w:rPr>
          <w:rFonts w:ascii="Tahoma" w:hAnsi="Tahoma" w:cs="Tahoma"/>
          <w:color w:val="393939"/>
          <w:szCs w:val="21"/>
          <w:shd w:val="clear" w:color="auto" w:fill="FFFFFF"/>
        </w:rPr>
        <w:t>4.2 角膜曲率：0.07D，柱镜度数＞0.75 D 轴向4.5°</w:t>
      </w:r>
      <w:r>
        <w:rPr>
          <w:rFonts w:ascii="Tahoma" w:hAnsi="Tahoma" w:cs="Tahoma"/>
          <w:color w:val="393939"/>
          <w:szCs w:val="21"/>
        </w:rPr>
        <w:br w:type="textWrapping"/>
      </w:r>
      <w:r>
        <w:rPr>
          <w:rFonts w:ascii="Tahoma" w:hAnsi="Tahoma" w:cs="Tahoma"/>
          <w:color w:val="393939"/>
          <w:szCs w:val="21"/>
          <w:shd w:val="clear" w:color="auto" w:fill="FFFFFF"/>
        </w:rPr>
        <w:t>4.3 前房深度：10μm</w:t>
      </w:r>
      <w:r>
        <w:rPr>
          <w:rFonts w:ascii="Tahoma" w:hAnsi="Tahoma" w:cs="Tahoma"/>
          <w:color w:val="393939"/>
          <w:szCs w:val="21"/>
        </w:rPr>
        <w:br w:type="textWrapping"/>
      </w:r>
      <w:r>
        <w:rPr>
          <w:rFonts w:ascii="Tahoma" w:hAnsi="Tahoma" w:cs="Tahoma"/>
          <w:color w:val="393939"/>
          <w:szCs w:val="21"/>
          <w:shd w:val="clear" w:color="auto" w:fill="FFFFFF"/>
        </w:rPr>
        <w:t>4.4 白-白角膜直径：90μm</w:t>
      </w:r>
      <w:r>
        <w:rPr>
          <w:rFonts w:ascii="Tahoma" w:hAnsi="Tahoma" w:cs="Tahoma"/>
          <w:color w:val="393939"/>
          <w:szCs w:val="21"/>
        </w:rPr>
        <w:br w:type="textWrapping"/>
      </w:r>
      <w:r>
        <w:rPr>
          <w:rFonts w:ascii="Tahoma" w:hAnsi="Tahoma" w:cs="Tahoma"/>
          <w:color w:val="393939"/>
          <w:szCs w:val="21"/>
          <w:shd w:val="clear" w:color="auto" w:fill="FFFFFF"/>
        </w:rPr>
        <w:t>4.5 晶体厚度：19μm</w:t>
      </w:r>
      <w:r>
        <w:rPr>
          <w:rFonts w:ascii="Tahoma" w:hAnsi="Tahoma" w:cs="Tahoma"/>
          <w:color w:val="393939"/>
          <w:szCs w:val="21"/>
        </w:rPr>
        <w:br w:type="textWrapping"/>
      </w:r>
      <w:r>
        <w:rPr>
          <w:rFonts w:ascii="Tahoma" w:hAnsi="Tahoma" w:cs="Tahoma"/>
          <w:color w:val="393939"/>
          <w:szCs w:val="21"/>
          <w:shd w:val="clear" w:color="auto" w:fill="FFFFFF"/>
        </w:rPr>
        <w:t>4.6 中央角膜厚度：2μm</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5、测量原理。</w:t>
      </w:r>
      <w:r>
        <w:rPr>
          <w:rFonts w:ascii="Tahoma" w:hAnsi="Tahoma" w:cs="Tahoma"/>
          <w:color w:val="393939"/>
          <w:szCs w:val="21"/>
        </w:rPr>
        <w:br w:type="textWrapping"/>
      </w:r>
      <w:r>
        <w:rPr>
          <w:rFonts w:ascii="Tahoma" w:hAnsi="Tahoma" w:cs="Tahoma"/>
          <w:color w:val="393939"/>
          <w:szCs w:val="21"/>
          <w:shd w:val="clear" w:color="auto" w:fill="FFFFFF"/>
        </w:rPr>
        <w:t>5.1测量原理：扫频OCT测量技术</w:t>
      </w:r>
      <w:r>
        <w:rPr>
          <w:rFonts w:ascii="Tahoma" w:hAnsi="Tahoma" w:cs="Tahoma"/>
          <w:color w:val="393939"/>
          <w:szCs w:val="21"/>
        </w:rPr>
        <w:br w:type="textWrapping"/>
      </w:r>
      <w:r>
        <w:rPr>
          <w:rFonts w:ascii="Tahoma" w:hAnsi="Tahoma" w:cs="Tahoma"/>
          <w:color w:val="393939"/>
          <w:szCs w:val="21"/>
          <w:shd w:val="clear" w:color="auto" w:fill="FFFFFF"/>
        </w:rPr>
        <w:t>5.2可视化测量，可呈现角膜顶点至视网膜层的OCT全程图像</w:t>
      </w:r>
      <w:r>
        <w:rPr>
          <w:rFonts w:ascii="Tahoma" w:hAnsi="Tahoma" w:cs="Tahoma"/>
          <w:color w:val="393939"/>
          <w:szCs w:val="21"/>
        </w:rPr>
        <w:br w:type="textWrapping"/>
      </w:r>
      <w:r>
        <w:rPr>
          <w:rFonts w:ascii="Tahoma" w:hAnsi="Tahoma" w:cs="Tahoma"/>
          <w:color w:val="393939"/>
          <w:szCs w:val="21"/>
          <w:shd w:val="clear" w:color="auto" w:fill="FFFFFF"/>
        </w:rPr>
        <w:t>5.3固视确认功能，可显示眼底OCT影像，100%真视轴</w:t>
      </w:r>
      <w:r>
        <w:rPr>
          <w:rFonts w:ascii="Tahoma" w:hAnsi="Tahoma" w:cs="Tahoma"/>
          <w:color w:val="393939"/>
          <w:szCs w:val="21"/>
        </w:rPr>
        <w:br w:type="textWrapping"/>
      </w:r>
      <w:r>
        <w:rPr>
          <w:rFonts w:ascii="Tahoma" w:hAnsi="Tahoma" w:cs="Tahoma"/>
          <w:color w:val="393939"/>
          <w:szCs w:val="21"/>
          <w:shd w:val="clear" w:color="auto" w:fill="FFFFFF"/>
        </w:rPr>
        <w:t>5.4角膜曲率测量：远心光学技术</w:t>
      </w:r>
      <w:r>
        <w:rPr>
          <w:rFonts w:ascii="Tahoma" w:hAnsi="Tahoma" w:cs="Tahoma"/>
          <w:color w:val="393939"/>
          <w:szCs w:val="21"/>
        </w:rPr>
        <w:br w:type="textWrapping"/>
      </w:r>
      <w:r>
        <w:rPr>
          <w:rFonts w:ascii="Tahoma" w:hAnsi="Tahoma" w:cs="Tahoma"/>
          <w:color w:val="393939"/>
          <w:szCs w:val="21"/>
          <w:shd w:val="clear" w:color="auto" w:fill="FFFFFF"/>
        </w:rPr>
        <w:t>6测量模式：可自动/手动测量切换</w:t>
      </w:r>
      <w:r>
        <w:rPr>
          <w:rFonts w:ascii="Tahoma" w:hAnsi="Tahoma" w:cs="Tahoma"/>
          <w:color w:val="393939"/>
          <w:szCs w:val="21"/>
        </w:rPr>
        <w:br w:type="textWrapping"/>
      </w:r>
      <w:r>
        <w:rPr>
          <w:rFonts w:ascii="Tahoma" w:hAnsi="Tahoma" w:cs="Tahoma"/>
          <w:color w:val="393939"/>
          <w:szCs w:val="21"/>
          <w:shd w:val="clear" w:color="auto" w:fill="FFFFFF"/>
        </w:rPr>
        <w:t>7左右眼识别方式：自动识别</w:t>
      </w:r>
      <w:r>
        <w:rPr>
          <w:rFonts w:ascii="Tahoma" w:hAnsi="Tahoma" w:cs="Tahoma"/>
          <w:color w:val="393939"/>
          <w:szCs w:val="21"/>
        </w:rPr>
        <w:br w:type="textWrapping"/>
      </w:r>
      <w:r>
        <w:rPr>
          <w:rFonts w:ascii="Tahoma" w:hAnsi="Tahoma" w:cs="Tahoma"/>
          <w:color w:val="393939"/>
          <w:szCs w:val="21"/>
          <w:shd w:val="clear" w:color="auto" w:fill="FFFFFF"/>
        </w:rPr>
        <w:t>8可测眼睛：正常眼,硅油眼，无晶体眼和人工晶体眼,角膜屈光手术后眼，有晶体人工晶体眼</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9全角膜曲率测量：直接测量真实角膜前后表面曲率。</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10.角膜地形图：直接测量获得角膜地形图。</w:t>
      </w:r>
      <w:r>
        <w:rPr>
          <w:rFonts w:ascii="Tahoma" w:hAnsi="Tahoma" w:cs="Tahoma"/>
          <w:color w:val="393939"/>
          <w:szCs w:val="21"/>
        </w:rPr>
        <w:br w:type="textWrapping"/>
      </w:r>
      <w:r>
        <w:rPr>
          <w:rFonts w:hint="eastAsia" w:ascii="Microsoft YaHei UI" w:hAnsi="Microsoft YaHei UI" w:eastAsia="Microsoft YaHei UI" w:cs="Microsoft YaHei UI"/>
          <w:color w:val="393939"/>
          <w:szCs w:val="21"/>
          <w:shd w:val="clear" w:color="auto" w:fill="FFFFFF"/>
        </w:rPr>
        <w:t>▲</w:t>
      </w:r>
      <w:r>
        <w:rPr>
          <w:rFonts w:ascii="Tahoma" w:hAnsi="Tahoma" w:cs="Tahoma"/>
          <w:color w:val="393939"/>
          <w:szCs w:val="21"/>
          <w:shd w:val="clear" w:color="auto" w:fill="FFFFFF"/>
        </w:rPr>
        <w:t>11.全内置第五代人工晶体计算公式至少包含以下计算公式：</w:t>
      </w:r>
      <w:r>
        <w:rPr>
          <w:rFonts w:ascii="Tahoma" w:hAnsi="Tahoma" w:cs="Tahoma"/>
          <w:color w:val="393939"/>
          <w:szCs w:val="21"/>
        </w:rPr>
        <w:br w:type="textWrapping"/>
      </w:r>
      <w:r>
        <w:rPr>
          <w:rFonts w:ascii="Tahoma" w:hAnsi="Tahoma" w:cs="Tahoma"/>
          <w:color w:val="393939"/>
          <w:szCs w:val="21"/>
          <w:shd w:val="clear" w:color="auto" w:fill="FFFFFF"/>
        </w:rPr>
        <w:t>11.1 Barrett Suite: Barrett Universal ll、Barrett TK Universal ll, Barrett Toric、Barrett Tk Toric, Barrett True K</w:t>
      </w:r>
      <w:r>
        <w:rPr>
          <w:rFonts w:ascii="Tahoma" w:hAnsi="Tahoma" w:cs="Tahoma"/>
          <w:color w:val="393939"/>
          <w:szCs w:val="21"/>
        </w:rPr>
        <w:br w:type="textWrapping"/>
      </w:r>
      <w:r>
        <w:rPr>
          <w:rFonts w:ascii="Tahoma" w:hAnsi="Tahoma" w:cs="Tahoma"/>
          <w:color w:val="393939"/>
          <w:szCs w:val="21"/>
          <w:shd w:val="clear" w:color="auto" w:fill="FFFFFF"/>
        </w:rPr>
        <w:t>11.2 Haigis Suite: Haigis, Haigis-L, Haigis-T Hoffer Q、Holladay 1、Holladay 2、SRK/T</w:t>
      </w:r>
      <w:r>
        <w:rPr>
          <w:rFonts w:ascii="Tahoma" w:hAnsi="Tahoma" w:cs="Tahoma"/>
          <w:color w:val="393939"/>
          <w:szCs w:val="21"/>
        </w:rPr>
        <w:br w:type="textWrapping"/>
      </w:r>
      <w:r>
        <w:rPr>
          <w:rFonts w:ascii="Tahoma" w:hAnsi="Tahoma" w:cs="Tahoma"/>
          <w:color w:val="393939"/>
          <w:szCs w:val="21"/>
          <w:shd w:val="clear" w:color="auto" w:fill="FFFFFF"/>
        </w:rPr>
        <w:t>11.3散光晶体计算：具有Haigis-T公式法，可在测量机器上直接计算散光矫正型人工晶状体的球镜和柱镜度数</w:t>
      </w:r>
      <w:r>
        <w:rPr>
          <w:rFonts w:ascii="Tahoma" w:hAnsi="Tahoma" w:cs="Tahoma"/>
          <w:color w:val="393939"/>
          <w:szCs w:val="21"/>
        </w:rPr>
        <w:br w:type="textWrapping"/>
      </w:r>
      <w:r>
        <w:rPr>
          <w:rFonts w:ascii="Tahoma" w:hAnsi="Tahoma" w:cs="Tahoma"/>
          <w:color w:val="393939"/>
          <w:szCs w:val="21"/>
          <w:shd w:val="clear" w:color="auto" w:fill="FFFFFF"/>
        </w:rPr>
        <w:t>12.专用光学人工晶体常数数据库，具有300款以上晶体光学A常数，保证各种人工晶体度数精确</w:t>
      </w:r>
      <w:r>
        <w:rPr>
          <w:rFonts w:ascii="Tahoma" w:hAnsi="Tahoma" w:cs="Tahoma"/>
          <w:color w:val="393939"/>
          <w:szCs w:val="21"/>
        </w:rPr>
        <w:br w:type="textWrapping"/>
      </w:r>
      <w:r>
        <w:rPr>
          <w:rFonts w:ascii="Tahoma" w:hAnsi="Tahoma" w:cs="Tahoma"/>
          <w:color w:val="393939"/>
          <w:szCs w:val="21"/>
          <w:shd w:val="clear" w:color="auto" w:fill="FFFFFF"/>
        </w:rPr>
        <w:t>13.可以传输至网络连接或者网络连接打印机</w:t>
      </w:r>
    </w:p>
    <w:p w14:paraId="486F7AF6">
      <w:pPr>
        <w:widowControl/>
        <w:numPr>
          <w:ilvl w:val="0"/>
          <w:numId w:val="4"/>
        </w:numPr>
        <w:spacing w:line="315" w:lineRule="atLeast"/>
        <w:jc w:val="left"/>
        <w:rPr>
          <w:rFonts w:hint="eastAsia" w:ascii="Tahoma" w:hAnsi="Tahoma" w:cs="Tahoma"/>
          <w:color w:val="393939"/>
          <w:szCs w:val="21"/>
          <w:lang w:val="en-US" w:eastAsia="zh-CN"/>
        </w:rPr>
      </w:pPr>
      <w:r>
        <w:rPr>
          <w:rFonts w:hint="eastAsia" w:ascii="Tahoma" w:hAnsi="Tahoma" w:cs="Tahoma"/>
          <w:color w:val="393939"/>
          <w:szCs w:val="21"/>
          <w:lang w:val="en-US" w:eastAsia="zh-CN"/>
        </w:rPr>
        <w:t>维保10年</w:t>
      </w:r>
    </w:p>
    <w:p w14:paraId="67BEE5ED">
      <w:pPr>
        <w:widowControl/>
        <w:numPr>
          <w:ilvl w:val="0"/>
          <w:numId w:val="4"/>
        </w:numPr>
        <w:spacing w:line="315" w:lineRule="atLeast"/>
        <w:ind w:left="0" w:leftChars="0" w:firstLine="0" w:firstLineChars="0"/>
        <w:jc w:val="left"/>
        <w:rPr>
          <w:rFonts w:ascii="Tahoma" w:hAnsi="Tahoma" w:cs="Tahoma"/>
          <w:color w:val="393939"/>
          <w:szCs w:val="21"/>
          <w:shd w:val="clear" w:color="auto" w:fill="FFFFFF"/>
        </w:rPr>
      </w:pPr>
      <w:r>
        <w:rPr>
          <w:rFonts w:ascii="Tahoma" w:hAnsi="Tahoma" w:cs="Tahoma"/>
          <w:color w:val="393939"/>
          <w:szCs w:val="21"/>
          <w:shd w:val="clear" w:color="auto" w:fill="FFFFFF"/>
        </w:rPr>
        <w:t>配置清单:</w:t>
      </w:r>
    </w:p>
    <w:p w14:paraId="5007ECF1">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光学生物测量仪主机 1台</w:t>
      </w:r>
    </w:p>
    <w:p w14:paraId="62347E67">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分析软件 1个</w:t>
      </w:r>
    </w:p>
    <w:p w14:paraId="1E40D617">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电动升降台 1台</w:t>
      </w:r>
    </w:p>
    <w:p w14:paraId="66DF6147">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显示器 1个</w:t>
      </w:r>
    </w:p>
    <w:p w14:paraId="5F4615D0">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激光打印机 1台</w:t>
      </w:r>
    </w:p>
    <w:p w14:paraId="73B05469">
      <w:pPr>
        <w:widowControl/>
        <w:numPr>
          <w:ilvl w:val="0"/>
          <w:numId w:val="5"/>
        </w:numPr>
        <w:spacing w:line="315" w:lineRule="atLeast"/>
        <w:ind w:left="0" w:leftChars="0" w:firstLine="400" w:firstLineChars="0"/>
        <w:jc w:val="left"/>
        <w:rPr>
          <w:rFonts w:hint="eastAsia"/>
          <w:b/>
          <w:sz w:val="24"/>
        </w:rPr>
      </w:pPr>
      <w:r>
        <w:rPr>
          <w:rFonts w:ascii="Tahoma" w:hAnsi="Tahoma" w:cs="Tahoma"/>
          <w:color w:val="393939"/>
          <w:szCs w:val="21"/>
          <w:shd w:val="clear" w:color="auto" w:fill="FFFFFF"/>
        </w:rPr>
        <w:t>遮光罩 1个</w:t>
      </w:r>
    </w:p>
    <w:p w14:paraId="1744E8D6"/>
    <w:sectPr>
      <w:pgSz w:w="11906" w:h="16838"/>
      <w:pgMar w:top="1440" w:right="1349" w:bottom="144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S Mincho">
    <w:altName w:val="仓耳渔阳体 W05"/>
    <w:panose1 w:val="02020609040205080304"/>
    <w:charset w:val="80"/>
    <w:family w:val="modern"/>
    <w:pitch w:val="default"/>
    <w:sig w:usb0="00000000" w:usb1="00000000" w:usb2="00000012" w:usb3="00000000" w:csb0="4002009F" w:csb1="DFD7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仓耳渔阳体 W05">
    <w:panose1 w:val="02020400000000000000"/>
    <w:charset w:val="80"/>
    <w:family w:val="auto"/>
    <w:pitch w:val="default"/>
    <w:sig w:usb0="80000023" w:usb1="08C10458" w:usb2="00000012"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B52775"/>
    <w:multiLevelType w:val="singleLevel"/>
    <w:tmpl w:val="92B52775"/>
    <w:lvl w:ilvl="0" w:tentative="0">
      <w:start w:val="1"/>
      <w:numFmt w:val="decimalEnclosedCircleChinese"/>
      <w:suff w:val="nothing"/>
      <w:lvlText w:val="%1　"/>
      <w:lvlJc w:val="left"/>
      <w:pPr>
        <w:ind w:left="0" w:firstLine="400"/>
      </w:pPr>
      <w:rPr>
        <w:rFonts w:hint="eastAsia"/>
      </w:rPr>
    </w:lvl>
  </w:abstractNum>
  <w:abstractNum w:abstractNumId="1">
    <w:nsid w:val="B08FACA2"/>
    <w:multiLevelType w:val="singleLevel"/>
    <w:tmpl w:val="B08FACA2"/>
    <w:lvl w:ilvl="0" w:tentative="0">
      <w:start w:val="1"/>
      <w:numFmt w:val="chineseCounting"/>
      <w:suff w:val="nothing"/>
      <w:lvlText w:val="（%1）"/>
      <w:lvlJc w:val="left"/>
      <w:rPr>
        <w:rFonts w:hint="eastAsia"/>
      </w:rPr>
    </w:lvl>
  </w:abstractNum>
  <w:abstractNum w:abstractNumId="2">
    <w:nsid w:val="F6C8866A"/>
    <w:multiLevelType w:val="singleLevel"/>
    <w:tmpl w:val="F6C8866A"/>
    <w:lvl w:ilvl="0" w:tentative="0">
      <w:start w:val="1"/>
      <w:numFmt w:val="decimalEnclosedCircleChinese"/>
      <w:suff w:val="nothing"/>
      <w:lvlText w:val="%1　"/>
      <w:lvlJc w:val="left"/>
      <w:pPr>
        <w:ind w:left="0" w:firstLine="400"/>
      </w:pPr>
      <w:rPr>
        <w:rFonts w:hint="eastAsia"/>
      </w:rPr>
    </w:lvl>
  </w:abstractNum>
  <w:abstractNum w:abstractNumId="3">
    <w:nsid w:val="5B382606"/>
    <w:multiLevelType w:val="singleLevel"/>
    <w:tmpl w:val="5B382606"/>
    <w:lvl w:ilvl="0" w:tentative="0">
      <w:start w:val="14"/>
      <w:numFmt w:val="decimal"/>
      <w:suff w:val="nothing"/>
      <w:lvlText w:val="%1、"/>
      <w:lvlJc w:val="left"/>
    </w:lvl>
  </w:abstractNum>
  <w:abstractNum w:abstractNumId="4">
    <w:nsid w:val="69D2F9C7"/>
    <w:multiLevelType w:val="singleLevel"/>
    <w:tmpl w:val="69D2F9C7"/>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44"/>
    <w:rsid w:val="00020378"/>
    <w:rsid w:val="00284444"/>
    <w:rsid w:val="006B1370"/>
    <w:rsid w:val="12A91495"/>
    <w:rsid w:val="31E46E42"/>
    <w:rsid w:val="37D57300"/>
    <w:rsid w:val="42504B90"/>
    <w:rsid w:val="467243D1"/>
    <w:rsid w:val="6E5400E3"/>
    <w:rsid w:val="70484066"/>
    <w:rsid w:val="710E46C2"/>
    <w:rsid w:val="7ADA1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unhideWhenUsed/>
    <w:qFormat/>
    <w:uiPriority w:val="0"/>
    <w:pPr>
      <w:spacing w:line="360" w:lineRule="auto"/>
    </w:pPr>
    <w:rPr>
      <w:sz w:val="21"/>
      <w:szCs w:val="20"/>
    </w:rPr>
  </w:style>
  <w:style w:type="paragraph" w:customStyle="1" w:styleId="6">
    <w:name w:val="null3"/>
    <w:qFormat/>
    <w:uiPriority w:val="0"/>
    <w:rPr>
      <w:rFonts w:hint="eastAsia" w:ascii="Calibri" w:hAnsi="Calibri" w:eastAsia="宋体" w:cs="Times New Roman"/>
      <w:lang w:val="en-US" w:eastAsia="zh-Hans" w:bidi="ar-SA"/>
    </w:rPr>
  </w:style>
  <w:style w:type="paragraph" w:customStyle="1" w:styleId="7">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5753</Words>
  <Characters>6434</Characters>
  <Lines>16</Lines>
  <Paragraphs>4</Paragraphs>
  <TotalTime>10</TotalTime>
  <ScaleCrop>false</ScaleCrop>
  <LinksUpToDate>false</LinksUpToDate>
  <CharactersWithSpaces>6573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2025-09-02T01:07:00Z</dcterms:created>
  <dc:creator>Lenovo</dc:creator>
  <cp:lastModifiedBy>ljfgd79</cp:lastModifiedBy>
  <dcterms:modified xsi:type="dcterms:W3CDTF">2025-10-09T03:57:29Z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4D91DD63CADD4D06BDA56284089219D0_13</vt:lpwstr>
  </property>
  <property fmtid="{D5CDD505-2E9C-101B-9397-08002B2CF9AE}" pid="4" name="KSOTemplateDocerSaveRecord">
    <vt:lpwstr>eyJoZGlkIjoiNTczZGNkYTI3OTMyNTlmMmViYTVlZTFhNWQ3ZmIxNDMiLCJ1c2VySWQiOiIyMDQwNTIzNTEifQ==</vt:lpwstr>
  </property>
</Properties>
</file>