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440606-2026-01025</w:t>
      </w:r>
    </w:p>
    <w:p>
      <w:pPr>
        <w:pStyle w:val="null3"/>
        <w:jc w:val="center"/>
        <w:outlineLvl w:val="3"/>
      </w:pPr>
      <w:r>
        <w:rPr>
          <w:sz w:val="24"/>
          <w:b/>
        </w:rPr>
        <w:t>采购项目编号：</w:t>
      </w:r>
      <w:r>
        <w:rPr>
          <w:sz w:val="24"/>
          <w:b/>
        </w:rPr>
        <w:t>440606-2026-01025</w:t>
      </w:r>
    </w:p>
    <w:p>
      <w:pPr>
        <w:pStyle w:val="null3"/>
        <w:jc w:val="center"/>
        <w:outlineLvl w:val="3"/>
      </w:pPr>
      <w:r>
        <w:rPr>
          <w:sz w:val="24"/>
          <w:b/>
        </w:rPr>
        <w:t>项目名称：</w:t>
      </w:r>
      <w:r>
        <w:rPr>
          <w:sz w:val="24"/>
          <w:b/>
        </w:rPr>
        <w:t>容桂街道2026-2027年度除四害采购服务项目</w:t>
      </w:r>
    </w:p>
    <w:p>
      <w:pPr>
        <w:pStyle w:val="null3"/>
        <w:jc w:val="center"/>
        <w:outlineLvl w:val="3"/>
      </w:pPr>
      <w:r>
        <w:rPr>
          <w:sz w:val="24"/>
          <w:b/>
        </w:rPr>
        <w:t>采购人：</w:t>
      </w:r>
      <w:r>
        <w:rPr>
          <w:sz w:val="24"/>
          <w:b/>
        </w:rPr>
        <w:t>佛山市顺德区容桂街道综合行政执法队</w:t>
      </w:r>
    </w:p>
    <w:p>
      <w:pPr>
        <w:pStyle w:val="null3"/>
        <w:jc w:val="center"/>
        <w:outlineLvl w:val="3"/>
      </w:pPr>
      <w:r>
        <w:rPr>
          <w:sz w:val="24"/>
          <w:b/>
        </w:rPr>
        <w:t>采购代理机构：</w:t>
      </w:r>
      <w:r>
        <w:rPr>
          <w:sz w:val="24"/>
          <w:b/>
        </w:rPr>
        <w:t>广东华伦招标有限公司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广东华伦招标有限公司</w:t>
      </w:r>
      <w:r>
        <w:rPr/>
        <w:t>受</w:t>
      </w:r>
      <w:r>
        <w:rPr/>
        <w:t>佛山市顺德区容桂街道综合行政执法队</w:t>
      </w:r>
      <w:r>
        <w:rPr/>
        <w:t>的委托，采用</w:t>
      </w:r>
      <w:r>
        <w:rPr/>
        <w:t>公开招标</w:t>
      </w:r>
      <w:r>
        <w:rPr/>
        <w:t>方式组织采购</w:t>
      </w:r>
      <w:r>
        <w:rPr/>
        <w:t>容桂街道2026-2027年度除四害采购服务项目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容桂街道2026-2027年度除四害采购服务项目</w:t>
      </w:r>
    </w:p>
    <w:p>
      <w:pPr>
        <w:pStyle w:val="null3"/>
        <w:ind w:firstLine="480"/>
      </w:pPr>
      <w:r>
        <w:rPr/>
        <w:t>采购计划编号：</w:t>
      </w:r>
      <w:r>
        <w:rPr/>
        <w:t>440606-2026-01025</w:t>
      </w:r>
    </w:p>
    <w:p>
      <w:pPr>
        <w:pStyle w:val="null3"/>
        <w:ind w:firstLine="480"/>
      </w:pPr>
      <w:r>
        <w:rPr/>
        <w:t>采购项目编号：</w:t>
      </w:r>
      <w:r>
        <w:rPr/>
        <w:t>440606-2026-01025</w:t>
      </w:r>
    </w:p>
    <w:p>
      <w:pPr>
        <w:pStyle w:val="null3"/>
        <w:ind w:firstLine="480"/>
      </w:pPr>
      <w:r>
        <w:rPr/>
        <w:t>采购方式：</w:t>
      </w:r>
      <w:r>
        <w:rPr/>
        <w:t>公开招标</w:t>
      </w:r>
    </w:p>
    <w:p>
      <w:pPr>
        <w:pStyle w:val="null3"/>
        <w:ind w:firstLine="480"/>
      </w:pPr>
      <w:r>
        <w:rPr/>
        <w:t>预算金额：</w:t>
      </w:r>
      <w:r>
        <w:rPr/>
        <w:t>4,573,638.56</w:t>
      </w:r>
      <w:r>
        <w:rPr/>
        <w:t>元</w:t>
      </w:r>
    </w:p>
    <w:p>
      <w:pPr>
        <w:pStyle w:val="null3"/>
        <w:outlineLvl w:val="3"/>
      </w:pPr>
      <w:r>
        <w:rPr>
          <w:sz w:val="24"/>
          <w:b/>
        </w:rPr>
        <w:t>2.项目内容及需求情况（采购项目技术规格、参数及要求）</w:t>
      </w:r>
    </w:p>
    <w:p>
      <w:pPr>
        <w:pStyle w:val="null3"/>
      </w:pPr>
      <w:r>
        <w:rPr/>
        <w:t>采购包1(容桂街道2026-2027年度除四害采购服务项目A标段):</w:t>
      </w:r>
    </w:p>
    <w:p>
      <w:pPr>
        <w:pStyle w:val="null3"/>
      </w:pPr>
      <w:r>
        <w:rPr/>
        <w:t>采购包预算金额：1,677,586.50元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容桂街道2026-2027年度除四害采购服务项目A标段</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合同履行期限：2年，自2026年4月1日到2028年3月31日（具体以实际签订时间为准）。合同一年一签，采购人有权根据考核情况决定是否与中标人续签第二年合同。</w:t>
      </w:r>
    </w:p>
    <w:p>
      <w:pPr>
        <w:pStyle w:val="null3"/>
      </w:pPr>
      <w:r>
        <w:rPr/>
        <w:t>采购包2(容桂街道2026-2027年度除四害采购服务项目B标段):</w:t>
      </w:r>
    </w:p>
    <w:p>
      <w:pPr>
        <w:pStyle w:val="null3"/>
      </w:pPr>
      <w:r>
        <w:rPr/>
        <w:t>采购包预算金额：1,642,838.44元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其他服务</w:t>
            </w:r>
          </w:p>
        </w:tc>
        <w:tc>
          <w:tcPr>
            <w:tcW w:type="dxa" w:w="2136"/>
          </w:tcPr>
          <w:p>
            <w:pPr>
              <w:pStyle w:val="null3"/>
            </w:pPr>
            <w:r>
              <w:rPr/>
              <w:t>容桂街道2026-2027年度除四害采购服务项目B标段</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合同履行期限：2年，自2026年4月1日到2028年3月31日（具体以实际签订时间为准）。合同一年一签，采购人有权根据考核情况决定是否与中标人续签第二年合同。</w:t>
      </w:r>
    </w:p>
    <w:p>
      <w:pPr>
        <w:pStyle w:val="null3"/>
      </w:pPr>
      <w:r>
        <w:rPr/>
        <w:t>采购包3(容桂街道2026-2027年度除四害采购服务项目C标段):</w:t>
      </w:r>
    </w:p>
    <w:p>
      <w:pPr>
        <w:pStyle w:val="null3"/>
      </w:pPr>
      <w:r>
        <w:rPr/>
        <w:t>采购包预算金额：1,253,213.62元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其他服务</w:t>
            </w:r>
          </w:p>
        </w:tc>
        <w:tc>
          <w:tcPr>
            <w:tcW w:type="dxa" w:w="2136"/>
          </w:tcPr>
          <w:p>
            <w:pPr>
              <w:pStyle w:val="null3"/>
            </w:pPr>
            <w:r>
              <w:rPr/>
              <w:t>容桂街道2026-2027年度除四害采购服务项目C标段</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合同履行期限：2年，自2026年4月1日到2028年3月31日（具体以实际签订时间为准）。合同一年一签，采购人有权根据考核情况决定是否与中标人续签第二年合同。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提供相应证明材料。），或提供《政府采购供应商资格信用承诺函》（承诺函格式见采购公告附件）。</w:t>
      </w:r>
    </w:p>
    <w:p>
      <w:pPr>
        <w:pStyle w:val="null3"/>
      </w:pPr>
      <w:r>
        <w:rPr/>
        <w:t>3）具有良好的商业信誉和健全的财务会计制度：供应商必须具有良好的商业信誉和健全的财务会计制度（提供2024或2025年度财务状况报告或基本开户行出具的资信证明或提供《政府采购供应商资格信用承诺函》（承诺函格式见采购公告附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政府采购供应商资格信用承诺函》（承诺函格式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采购包1（容桂街道2026-2027年度除四害采购服务项目A标段）：</w:t>
      </w:r>
      <w:r>
        <w:rPr/>
        <w:t>采购包整体专门面向小微企业采购，监狱企业、残疾人福利性单位视同小微企业。（1）中小企业评审及《中小企业声明函》填写要求：①本项目为服务类项目，投标人须根据本项目采购类别选择对应的《中小企业声明函》填写。②根据中小企业划分标准，本项目所属行业为其他未列明行业。③投标人提交的《中小企业声明函》应按要求完整填报所有信息。（2）监狱企业评审要求：提供由省级以上监狱管理局、戒毒管理局（含新疆生产建设兵团）出具的属于监狱企业的证明文件。（3）残疾人福利性单位评审要求：提供《残疾人福利性单位声明函》。</w:t>
      </w:r>
    </w:p>
    <w:p>
      <w:pPr>
        <w:pStyle w:val="null3"/>
        <w:jc w:val="left"/>
      </w:pPr>
      <w:r>
        <w:rPr/>
        <w:t>采购包2（容桂街道2026-2027年度除四害采购服务项目B标段）：</w:t>
      </w:r>
      <w:r>
        <w:rPr/>
        <w:t>采购包整体专门面向小微企业采购，监狱企业、残疾人福利性单位视同小微企业。（1）中小企业评审及《中小企业声明函》填写要求：①本项目为服务类项目，投标人须根据本项目采购类别选择对应的《中小企业声明函》填写。②根据中小企业划分标准，本项目所属行业为其他未列明行业。③投标人提交的《中小企业声明函》应按要求完整填报所有信息。（2）监狱企业评审要求：提供由省级以上监狱管理局、戒毒管理局（含新疆生产建设兵团）出具的属于监狱企业的证明文件。（3）残疾人福利性单位评审要求：提供《残疾人福利性单位声明函》。</w:t>
      </w:r>
    </w:p>
    <w:p>
      <w:pPr>
        <w:pStyle w:val="null3"/>
        <w:jc w:val="left"/>
      </w:pPr>
      <w:r>
        <w:rPr/>
        <w:t>采购包3（容桂街道2026-2027年度除四害采购服务项目C标段）：</w:t>
      </w:r>
      <w:r>
        <w:rPr/>
        <w:t>采购包整体专门面向小微企业采购，监狱企业、残疾人福利性单位视同小微企业。（1）中小企业评审及《中小企业声明函》填写要求：①本项目为服务类项目，投标人须根据本项目采购类别选择对应的《中小企业声明函》填写。②根据中小企业划分标准，本项目所属行业为其他未列明行业。③投标人提交的《中小企业声明函》应按要求完整填报所有信息。（2）监狱企业评审要求：提供由省级以上监狱管理局、戒毒管理局（含新疆生产建设兵团）出具的属于监狱企业的证明文件。（3）残疾人福利性单位评审要求：提供《残疾人福利性单位声明函》。</w:t>
      </w:r>
    </w:p>
    <w:p>
      <w:pPr>
        <w:pStyle w:val="null3"/>
        <w:outlineLvl w:val="3"/>
      </w:pPr>
      <w:r>
        <w:rPr>
          <w:sz w:val="24"/>
          <w:b/>
        </w:rPr>
        <w:t>3.本项目特定的资格要求：</w:t>
      </w:r>
    </w:p>
    <w:p>
      <w:pPr>
        <w:pStyle w:val="null3"/>
      </w:pPr>
      <w:r>
        <w:rPr/>
        <w:t>采购包1（容桂街道2026-2027年度除四害采购服务项目A标段）：</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3)本项目不接受联合体投标。</w:t>
      </w:r>
    </w:p>
    <w:p>
      <w:pPr>
        <w:pStyle w:val="null3"/>
      </w:pPr>
      <w:r>
        <w:rPr/>
        <w:t>采购包2（容桂街道2026-2027年度除四害采购服务项目B标段）：</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3)本项目不接受联合体投标。</w:t>
      </w:r>
    </w:p>
    <w:p>
      <w:pPr>
        <w:pStyle w:val="null3"/>
      </w:pPr>
      <w:r>
        <w:rPr/>
        <w:t>采购包3（容桂街道2026-2027年度除四害采购服务项目C标段）：</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佛山市顺德区容桂街道综合行政执法队</w:t>
      </w:r>
    </w:p>
    <w:p>
      <w:pPr>
        <w:pStyle w:val="null3"/>
        <w:ind w:firstLine="480"/>
      </w:pPr>
      <w:r>
        <w:rPr/>
        <w:t xml:space="preserve"> 地址：</w:t>
      </w:r>
      <w:r>
        <w:rPr/>
        <w:t>佛山市顺德区容桂街道容奇大道中32号</w:t>
      </w:r>
    </w:p>
    <w:p>
      <w:pPr>
        <w:pStyle w:val="null3"/>
        <w:ind w:firstLine="480"/>
      </w:pPr>
      <w:r>
        <w:rPr/>
        <w:t xml:space="preserve"> 联系方式：</w:t>
      </w:r>
      <w:r>
        <w:rPr/>
        <w:t>0757-23610008</w:t>
      </w:r>
    </w:p>
    <w:p>
      <w:pPr>
        <w:pStyle w:val="null3"/>
        <w:outlineLvl w:val="3"/>
      </w:pPr>
      <w:r>
        <w:rPr>
          <w:sz w:val="24"/>
          <w:b/>
        </w:rPr>
        <w:t xml:space="preserve"> 2.采购代理机构信息</w:t>
      </w:r>
    </w:p>
    <w:p>
      <w:pPr>
        <w:pStyle w:val="null3"/>
        <w:ind w:firstLine="480"/>
      </w:pPr>
      <w:r>
        <w:rPr/>
        <w:t xml:space="preserve"> 名称：</w:t>
      </w:r>
      <w:r>
        <w:rPr/>
        <w:t>广东华伦招标有限公司</w:t>
      </w:r>
    </w:p>
    <w:p>
      <w:pPr>
        <w:pStyle w:val="null3"/>
        <w:ind w:firstLine="480"/>
      </w:pPr>
      <w:r>
        <w:rPr/>
        <w:t xml:space="preserve"> 地址：</w:t>
      </w:r>
      <w:r>
        <w:rPr/>
        <w:t>广东省佛山市顺德区大良沿江北路121号龙威大厦20楼CD区</w:t>
      </w:r>
    </w:p>
    <w:p>
      <w:pPr>
        <w:pStyle w:val="null3"/>
        <w:ind w:firstLine="480"/>
      </w:pPr>
      <w:r>
        <w:rPr/>
        <w:t xml:space="preserve"> 联系方式：</w:t>
      </w:r>
      <w:r>
        <w:rPr/>
        <w:t>0757-22332900</w:t>
      </w:r>
    </w:p>
    <w:p>
      <w:pPr>
        <w:pStyle w:val="null3"/>
        <w:outlineLvl w:val="3"/>
      </w:pPr>
      <w:r>
        <w:rPr>
          <w:sz w:val="24"/>
          <w:b/>
        </w:rPr>
        <w:t xml:space="preserve"> 3.项目联系方式</w:t>
      </w:r>
    </w:p>
    <w:p>
      <w:pPr>
        <w:pStyle w:val="null3"/>
        <w:ind w:firstLine="480"/>
      </w:pPr>
      <w:r>
        <w:rPr/>
        <w:t xml:space="preserve"> 项目联系人：</w:t>
      </w:r>
      <w:r>
        <w:rPr/>
        <w:t>傅剑伟</w:t>
      </w:r>
    </w:p>
    <w:p>
      <w:pPr>
        <w:pStyle w:val="null3"/>
        <w:ind w:firstLine="480"/>
      </w:pPr>
      <w:r>
        <w:rPr/>
        <w:t xml:space="preserve"> 电话：</w:t>
      </w:r>
      <w:r>
        <w:rPr/>
        <w:t>0757-22332900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广东华伦招标有限公司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6230"/>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标段</w:t>
            </w:r>
          </w:p>
        </w:tc>
        <w:tc>
          <w:tcPr>
            <w:tcW w:type="dxa" w:w="6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覆盖的主要社区（村）及各村居区域面积</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A标段（即采购包1）</w:t>
            </w:r>
          </w:p>
        </w:tc>
        <w:tc>
          <w:tcPr>
            <w:tcW w:type="dxa" w:w="6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1、高黎村居(5.63km</w:t>
            </w:r>
            <w:r>
              <w:rPr>
                <w:sz w:val="21"/>
                <w:color w:val="000000"/>
                <w:vertAlign w:val="superscript"/>
              </w:rPr>
              <w:t>2</w:t>
            </w:r>
            <w:r>
              <w:rPr>
                <w:sz w:val="21"/>
                <w:color w:val="000000"/>
              </w:rPr>
              <w:t>)；2、小黄圃村居(9km</w:t>
            </w:r>
            <w:r>
              <w:rPr>
                <w:sz w:val="21"/>
                <w:color w:val="000000"/>
                <w:vertAlign w:val="superscript"/>
              </w:rPr>
              <w:t>2</w:t>
            </w:r>
            <w:r>
              <w:rPr>
                <w:sz w:val="21"/>
                <w:color w:val="000000"/>
              </w:rPr>
              <w:t>)；3、华口村居(5.3km</w:t>
            </w:r>
            <w:r>
              <w:rPr>
                <w:sz w:val="21"/>
                <w:color w:val="000000"/>
                <w:vertAlign w:val="superscript"/>
              </w:rPr>
              <w:t>2</w:t>
            </w:r>
            <w:r>
              <w:rPr>
                <w:sz w:val="21"/>
                <w:color w:val="000000"/>
              </w:rPr>
              <w:t>)；4、容里村居(5.3km</w:t>
            </w:r>
            <w:r>
              <w:rPr>
                <w:sz w:val="21"/>
                <w:color w:val="000000"/>
                <w:vertAlign w:val="superscript"/>
              </w:rPr>
              <w:t>2</w:t>
            </w:r>
            <w:r>
              <w:rPr>
                <w:sz w:val="21"/>
                <w:color w:val="000000"/>
              </w:rPr>
              <w:t>)；5、容边村居(2.4km</w:t>
            </w:r>
            <w:r>
              <w:rPr>
                <w:sz w:val="21"/>
                <w:color w:val="000000"/>
                <w:vertAlign w:val="superscript"/>
              </w:rPr>
              <w:t>2</w:t>
            </w:r>
            <w:r>
              <w:rPr>
                <w:sz w:val="21"/>
                <w:color w:val="000000"/>
              </w:rPr>
              <w:t>)；6、南区村居(1.8km</w:t>
            </w:r>
            <w:r>
              <w:rPr>
                <w:sz w:val="21"/>
                <w:color w:val="000000"/>
                <w:vertAlign w:val="superscript"/>
              </w:rPr>
              <w:t>2</w:t>
            </w:r>
            <w:r>
              <w:rPr>
                <w:sz w:val="21"/>
                <w:color w:val="000000"/>
              </w:rPr>
              <w:t>)；7、扁滘村居(2km</w:t>
            </w:r>
            <w:r>
              <w:rPr>
                <w:sz w:val="21"/>
                <w:color w:val="000000"/>
                <w:vertAlign w:val="superscript"/>
              </w:rPr>
              <w:t>2</w:t>
            </w:r>
            <w:r>
              <w:rPr>
                <w:sz w:val="21"/>
                <w:color w:val="000000"/>
              </w:rPr>
              <w:t>)；8、上佳市居委(1km</w:t>
            </w:r>
            <w:r>
              <w:rPr>
                <w:sz w:val="21"/>
                <w:color w:val="000000"/>
                <w:vertAlign w:val="superscript"/>
              </w:rPr>
              <w:t>2</w:t>
            </w:r>
            <w:r>
              <w:rPr>
                <w:sz w:val="21"/>
                <w:color w:val="000000"/>
              </w:rPr>
              <w:t>)；9、德胜居委(3km</w:t>
            </w:r>
            <w:r>
              <w:rPr>
                <w:sz w:val="21"/>
                <w:color w:val="000000"/>
                <w:vertAlign w:val="superscript"/>
              </w:rPr>
              <w:t>2</w:t>
            </w:r>
            <w:r>
              <w:rPr>
                <w:sz w:val="21"/>
                <w:color w:val="000000"/>
              </w:rPr>
              <w:t>)。</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标段</w:t>
            </w:r>
          </w:p>
        </w:tc>
        <w:tc>
          <w:tcPr>
            <w:tcW w:type="dxa" w:w="6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覆盖的主要社区（村）及各村居区域面积</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B标段（即采购包2）</w:t>
            </w:r>
          </w:p>
        </w:tc>
        <w:tc>
          <w:tcPr>
            <w:tcW w:type="dxa" w:w="6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1、龙涌口村居(1.8 km</w:t>
            </w:r>
            <w:r>
              <w:rPr>
                <w:sz w:val="21"/>
                <w:color w:val="000000"/>
                <w:vertAlign w:val="superscript"/>
              </w:rPr>
              <w:t>2</w:t>
            </w:r>
            <w:r>
              <w:rPr>
                <w:sz w:val="21"/>
                <w:color w:val="000000"/>
              </w:rPr>
              <w:t>)；2、大福基村居(1.52 km</w:t>
            </w:r>
            <w:r>
              <w:rPr>
                <w:sz w:val="21"/>
                <w:color w:val="000000"/>
                <w:vertAlign w:val="superscript"/>
              </w:rPr>
              <w:t>2</w:t>
            </w:r>
            <w:r>
              <w:rPr>
                <w:sz w:val="21"/>
                <w:color w:val="000000"/>
              </w:rPr>
              <w:t>)；3、穗香村居(2.5 km</w:t>
            </w:r>
            <w:r>
              <w:rPr>
                <w:sz w:val="21"/>
                <w:color w:val="000000"/>
                <w:vertAlign w:val="superscript"/>
              </w:rPr>
              <w:t>2</w:t>
            </w:r>
            <w:r>
              <w:rPr>
                <w:sz w:val="21"/>
                <w:color w:val="000000"/>
              </w:rPr>
              <w:t>)；4、四基村居(2.3 km</w:t>
            </w:r>
            <w:r>
              <w:rPr>
                <w:sz w:val="21"/>
                <w:color w:val="000000"/>
                <w:vertAlign w:val="superscript"/>
              </w:rPr>
              <w:t>2</w:t>
            </w:r>
            <w:r>
              <w:rPr>
                <w:sz w:val="21"/>
                <w:color w:val="000000"/>
              </w:rPr>
              <w:t>)；5、红旗居委(2.8 km</w:t>
            </w:r>
            <w:r>
              <w:rPr>
                <w:sz w:val="21"/>
                <w:color w:val="000000"/>
                <w:vertAlign w:val="superscript"/>
              </w:rPr>
              <w:t>2</w:t>
            </w:r>
            <w:r>
              <w:rPr>
                <w:sz w:val="21"/>
                <w:color w:val="000000"/>
              </w:rPr>
              <w:t>)；6、桂洲居委(0.7 km</w:t>
            </w:r>
            <w:r>
              <w:rPr>
                <w:sz w:val="21"/>
                <w:color w:val="000000"/>
                <w:vertAlign w:val="superscript"/>
              </w:rPr>
              <w:t>2</w:t>
            </w:r>
            <w:r>
              <w:rPr>
                <w:sz w:val="21"/>
                <w:color w:val="000000"/>
              </w:rPr>
              <w:t>)；7、细滘村居(4.5 km</w:t>
            </w:r>
            <w:r>
              <w:rPr>
                <w:sz w:val="21"/>
                <w:color w:val="000000"/>
                <w:vertAlign w:val="superscript"/>
              </w:rPr>
              <w:t>2</w:t>
            </w:r>
            <w:r>
              <w:rPr>
                <w:sz w:val="21"/>
                <w:color w:val="000000"/>
              </w:rPr>
              <w:t>)；8、海尾村居(3 km</w:t>
            </w:r>
            <w:r>
              <w:rPr>
                <w:sz w:val="21"/>
                <w:color w:val="000000"/>
                <w:vertAlign w:val="superscript"/>
              </w:rPr>
              <w:t>2</w:t>
            </w:r>
            <w:r>
              <w:rPr>
                <w:sz w:val="21"/>
                <w:color w:val="000000"/>
              </w:rPr>
              <w:t>)；9、马岗村居(12 km</w:t>
            </w:r>
            <w:r>
              <w:rPr>
                <w:sz w:val="21"/>
                <w:color w:val="000000"/>
                <w:vertAlign w:val="superscript"/>
              </w:rPr>
              <w:t>2</w:t>
            </w:r>
            <w:r>
              <w:rPr>
                <w:sz w:val="21"/>
                <w:color w:val="000000"/>
              </w:rPr>
              <w:t>)。</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标段</w:t>
            </w:r>
          </w:p>
        </w:tc>
        <w:tc>
          <w:tcPr>
            <w:tcW w:type="dxa" w:w="6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覆盖的主要社区（村）及各村居区域面积</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C标段（即采购包3）</w:t>
            </w:r>
          </w:p>
        </w:tc>
        <w:tc>
          <w:tcPr>
            <w:tcW w:type="dxa" w:w="6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1、卫红居委(0.8 km</w:t>
            </w:r>
            <w:r>
              <w:rPr>
                <w:sz w:val="21"/>
                <w:color w:val="000000"/>
                <w:vertAlign w:val="superscript"/>
              </w:rPr>
              <w:t>2</w:t>
            </w:r>
            <w:r>
              <w:rPr>
                <w:sz w:val="21"/>
                <w:color w:val="000000"/>
              </w:rPr>
              <w:t>)；2、东风居委(0.8 km</w:t>
            </w:r>
            <w:r>
              <w:rPr>
                <w:sz w:val="21"/>
                <w:color w:val="000000"/>
                <w:vertAlign w:val="superscript"/>
              </w:rPr>
              <w:t>2</w:t>
            </w:r>
            <w:r>
              <w:rPr>
                <w:sz w:val="21"/>
                <w:color w:val="000000"/>
              </w:rPr>
              <w:t>)；3、振华居委(0.6 km</w:t>
            </w:r>
            <w:r>
              <w:rPr>
                <w:sz w:val="21"/>
                <w:color w:val="000000"/>
                <w:vertAlign w:val="superscript"/>
              </w:rPr>
              <w:t>2</w:t>
            </w:r>
            <w:r>
              <w:rPr>
                <w:sz w:val="21"/>
                <w:color w:val="000000"/>
              </w:rPr>
              <w:t>)；4、朝阳居委(0.8 km</w:t>
            </w:r>
            <w:r>
              <w:rPr>
                <w:sz w:val="21"/>
                <w:color w:val="000000"/>
                <w:vertAlign w:val="superscript"/>
              </w:rPr>
              <w:t>2</w:t>
            </w:r>
            <w:r>
              <w:rPr>
                <w:sz w:val="21"/>
                <w:color w:val="000000"/>
              </w:rPr>
              <w:t>)；5、容山居委(1 km</w:t>
            </w:r>
            <w:r>
              <w:rPr>
                <w:sz w:val="21"/>
                <w:color w:val="000000"/>
                <w:vertAlign w:val="superscript"/>
              </w:rPr>
              <w:t>2</w:t>
            </w:r>
            <w:r>
              <w:rPr>
                <w:sz w:val="21"/>
                <w:color w:val="000000"/>
              </w:rPr>
              <w:t>)；6、容新居委(1 km</w:t>
            </w:r>
            <w:r>
              <w:rPr>
                <w:sz w:val="21"/>
                <w:color w:val="000000"/>
                <w:vertAlign w:val="superscript"/>
              </w:rPr>
              <w:t>2</w:t>
            </w:r>
            <w:r>
              <w:rPr>
                <w:sz w:val="21"/>
                <w:color w:val="000000"/>
              </w:rPr>
              <w:t>)；7、红星居委(3 km</w:t>
            </w:r>
            <w:r>
              <w:rPr>
                <w:sz w:val="21"/>
                <w:color w:val="000000"/>
                <w:vertAlign w:val="superscript"/>
              </w:rPr>
              <w:t>2</w:t>
            </w:r>
            <w:r>
              <w:rPr>
                <w:sz w:val="21"/>
                <w:color w:val="000000"/>
              </w:rPr>
              <w:t>)；8、幸福居委(1.8 km</w:t>
            </w:r>
            <w:r>
              <w:rPr>
                <w:sz w:val="21"/>
                <w:color w:val="000000"/>
                <w:vertAlign w:val="superscript"/>
              </w:rPr>
              <w:t>2</w:t>
            </w:r>
            <w:r>
              <w:rPr>
                <w:sz w:val="21"/>
                <w:color w:val="000000"/>
              </w:rPr>
              <w:t>)。</w:t>
            </w:r>
          </w:p>
        </w:tc>
      </w:tr>
    </w:tbl>
    <w:p>
      <w:pPr>
        <w:pStyle w:val="null3"/>
      </w:pPr>
      <w:r>
        <w:rPr/>
        <w:t>采购包1（容桂街道2026-2027年度除四害采购服务项目A标段）</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2年，自2026年4月1日到2028年3月31日（具体以实际签订时间为准）。合同一年一签，采购人有权根据考核情况决定是否与中标人续签第二年合同。</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季度（三个月，下同）支付，采购人根据每季度的服务质量检查考评结果，减去该季度的罚款计算（若有）。每季度支付金额=（中标金额÷2年÷4季度）-该季度的罚款（若有，金额按四舍五入原则精确到分）。该季度的服务费用于考评后15个工作日内向中标人支付。服务期不足一个月的月份则按实际服务天数按实结算，每天服务费=每季度支付金额÷3个月÷当月总天数。 （2）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 （3）付款期间如因特殊情况需调整，由双方协商处理。 （4）合同款项的支付方式：转账结算（银行转账） （5）付款方：采购人；收款方：中标人。 （6）开具发票：中标人收款时必须持有效发票。收款方、出具发票方、合同乙方均必须与中标人名称一致。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1期：根据招标文件要求和中标人的投标承诺及行业标准、国家标准验收，以及详见采购项目技术要求中的“四、监督考评办法”。</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账号：10618800150454</w:t>
            </w:r>
          </w:p>
          <w:p>
            <w:pPr>
              <w:pStyle w:val="null3"/>
            </w:pPr>
            <w:r>
              <w:rPr/>
              <w:t>户名：佛山市顺德区容桂街道综合行政执法队</w:t>
            </w:r>
          </w:p>
          <w:p>
            <w:pPr>
              <w:pStyle w:val="null3"/>
            </w:pPr>
            <w:r>
              <w:rPr/>
              <w:t>开户行：广东顺德农村商业银行股份有限 公司容桂支行</w:t>
            </w:r>
          </w:p>
          <w:p>
            <w:pPr>
              <w:pStyle w:val="null3"/>
            </w:pPr>
            <w:r>
              <w:rPr/>
              <w:t>支票提交方式：当面递交</w:t>
            </w:r>
          </w:p>
          <w:p>
            <w:pPr>
              <w:pStyle w:val="null3"/>
            </w:pPr>
            <w:r>
              <w:rPr/>
              <w:t>汇票、本票提交方式：直接交付</w:t>
            </w:r>
          </w:p>
          <w:p>
            <w:pPr>
              <w:pStyle w:val="null3"/>
            </w:pPr>
            <w:r>
              <w:rPr/>
              <w:t>说明：1.中标人必须在中标通知书发出之日起7个工作日内，须通过转账、银行保函、支票、汇票、本票等形式向采购人提交本项目中标金额的5%作为履约保证金，否则将视为中标人放弃中标，采购人有权对本项目重新进行招标。 2.采购人鼓励中标人使用保函形式提交履约保证金。【1.采用银行保函时，出具履约担保的银行级别：国有商业银行或股份制商业银行。2.银行保函须为见索即付、不可撤销的保函，并须由中国境内注册的银行出具的银行保函，且必须包含以下内容： （1）采购人名称、项目名称、中标人名称、担保金额、担保期限； （2）保证方式为连带责任保证； （3）在采购人向银行提出索赔时，银行将不要求采购人先向中标人提出索赔或要求采购人提供其他任何证明材料； （4）如在履约担保期限内，中标人自行终止合同或违反合同有关规定被采购人终止合同的，则履约担保金归采购人所有； （5）因本保函发生的纠纷，由采购人和中标人协商解决，协商不成的，任意一方均有权将争议提交项目所在地有管辖权的人民法院诉讼解决； （6）中标人在提供履约担保时所发生的一切费用由中标人承担。】 注：保函有效期应覆盖项目服务期后30天失效。 3.在合同期满后，在中标人完成合同相关要求、没有出现任何违约或因任何原因单方中止履行合同义务时，且中标人必须做好下列工作并经采购人书面同意后，则采购人在15个工作日内将履约保证金（银行保函、支票、汇票、本票等）无息退回中标人； （1）在中标人按要求核发最后一个月工人工资后15个工作日内，以书面形式正式通知采购人； （2）已妥善处理本项目的债权债务（工资、税费、社保及其他欠款等）； （3）必须做好过渡期各项工作，顺利交接。 4.如在合同期内，中标人自行终止合同或违反合同有关规定被采购人终止或解除合同的，采购人将不予退还履约保证金。5.</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报价要求，（1）采购项目预算：本项目A标段采购项目两年服务期总预算金额： 1677586.50 元，报价若超过项目采购项目预算金额，其报价将视为无效。 （2）投标报价为全包价，包括除“四害”服务项目及与此相关的人工费、管理费用、相关用具及药物的使用费用、设备折旧费及各项税费等一切与完成本项目相关费用及合同实施过程中应预见和不可预见费用等。采购人不再另外支付任何费用。所有价格均应以人民币报价。 （3）供应商须考虑本项目在实施期间的一切可能产生的费用。 （4）报价合理性：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响应）处理。若评标委员会成员对是否须由投标人作出报价合理性说明，以及书面说明是否采纳等判断不一致的，按照“少数服从多数”的原则确定评标委员会的意见。</w:t>
            </w:r>
          </w:p>
          <w:p>
            <w:pPr>
              <w:pStyle w:val="null3"/>
            </w:pPr>
            <w:r>
              <w:rPr/>
              <w:t>响应服务，1.服务时间内，中标人须提供常设每周7天×24小时服务专线技术支持。 2.对采购人的服务通知，中标人必须符合以下要求：一般事项24小时内处理完毕,另有具体约定时间的按照约定时间执行。</w:t>
            </w:r>
          </w:p>
          <w:p>
            <w:pPr>
              <w:pStyle w:val="null3"/>
            </w:pPr>
            <w:r>
              <w:rPr/>
              <w:t>违约责任，1.中标人未按要求履行合同义务时，须从违约之日起每日按合同总额的3‰比例向采购人支付违约金；逾期15日以上时，采购人有权解除合同，没收履约保证金并要求中标人承担合同总额30%的违约金，由此造成采购人的经济损失由中标人承担。违约金不足以弥补损失的，中标人应按全额赔偿。 2.若中标人将本项目全部或部分转委托给任何第三方的，采购人有权解除合同，没收履约保证金并要求中标人承担合同总额30%的违约金，由此造成采购人的经济损失由中标人承担。违约金不足以弥补损失的，中标人应按全额赔偿。 3.在中标人无不履行或不适当履行其义务的情况下，采购人逾期支付合同款项，并经中标人书面催告后无正当理由后仍不在合理期限内支付的，每拖延一天应按应付未付金额的万分之一标准向中标人支付违约金。 4.若因中标人违约导致采购人因此主张权利所支出的费用（包括但不限于诉讼费、财产保全费、财产保全担保费、评估鉴定费、律师费等）均由中标人承担。</w:t>
            </w:r>
          </w:p>
          <w:p>
            <w:pPr>
              <w:pStyle w:val="null3"/>
            </w:pPr>
            <w:r>
              <w:rPr/>
              <w:t>分包要求，本项目不允许分包。</w:t>
            </w:r>
          </w:p>
          <w:p>
            <w:pPr>
              <w:pStyle w:val="null3"/>
            </w:pPr>
            <w:r>
              <w:rPr/>
              <w:t>退出机制，中标人出现有下列任何一种情况的，采购人有权解除合同，已收取的投标人的“履约保证金”不予返还，并要求中标人承担合同总额30%的违约金，同时列入失信企业名单： （1）中标人主动放弃本项目服务资格； （2）合同正式履行后一个月内人员、设备未满足合同要求的； （3）中标人有纵容、煽动工人怠工、罢工、上访等过激行为超8人以上的，或因中标人无视工人权益引发或导致工人有怠工、罢工、上访等过激行为超8人以上的； （4）采购人对中标人一年内发出三次或以上书面严重警告的。 （5）一年内累计发现3次以上发现配置的服务人员少于要求数量3%。 （6）合同履行期间，违反劳动管理方面的法律、法规、规章及其他一般规范性文件的规定引起8人以上（含8人）群体上访事件或8人以上（含8人）（一宗案件内）劳资纠纷案件败诉或8人以上（含8人）歇工事件的。 （7）未按时足额发放服务人员工资（含加班工资）的人数达8人以上（含8人）的； （8）佛山市最低工资标准发生变化时，中标人拒绝根据有关规定予以相应调整的； （9）弄虚作假（包括但不限于投标时提供虚假材料）及其他不正当行为； （10）违反法律、法规、规章或其他相关规范性文件的规定，影响本项目履行的。 （11）招标文件及本合同书规定的其他终止合同的事由； （12）法律、法规、规章和其他规范性文件规定的终止合同的事由； （13）在实施过程中因处理不当造成重大损失，引发社会恶劣影响的； （14）将本项目转包或违法分包或交由个人承包的； （15）不服从管理，拒绝或不配合采购人安排的工作任务及协助处理应急事件； （16）招标文件中要求其他触发退出机制或解除合同情形。</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容桂街道2026-2027年度除四害采购服务项目A标段</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1,677,586.50</w:t>
            </w:r>
          </w:p>
        </w:tc>
        <w:tc>
          <w:tcPr>
            <w:tcW w:type="dxa" w:w="933"/>
          </w:tcPr>
          <w:p>
            <w:pPr>
              <w:pStyle w:val="null3"/>
              <w:jc w:val="right"/>
            </w:pPr>
            <w:r>
              <w:rPr/>
              <w:t>1,677,586.50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容桂街道2026-2027年度除四害采购服务项目A标段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一、基本配置要求</w:t>
            </w:r>
          </w:p>
          <w:p>
            <w:pPr>
              <w:pStyle w:val="null3"/>
              <w:ind w:firstLine="402"/>
              <w:jc w:val="both"/>
            </w:pPr>
            <w:r>
              <w:rPr>
                <w:sz w:val="21"/>
                <w:b/>
                <w:color w:val="000000"/>
              </w:rPr>
              <w:t>1、人员配置要求</w:t>
            </w:r>
          </w:p>
          <w:p>
            <w:pPr>
              <w:pStyle w:val="null3"/>
              <w:ind w:firstLine="402"/>
              <w:jc w:val="both"/>
            </w:pPr>
            <w:r>
              <w:rPr>
                <w:sz w:val="21"/>
                <w:b/>
                <w:color w:val="000000"/>
              </w:rPr>
              <w:t>投入本项目的人员不得低于以下要求：</w:t>
            </w:r>
          </w:p>
          <w:tbl>
            <w:tblPr>
              <w:tblInd w:type="dxa" w:w="120"/>
              <w:tblBorders>
                <w:top w:val="none" w:color="000000" w:sz="4"/>
                <w:left w:val="none" w:color="000000" w:sz="4"/>
                <w:bottom w:val="none" w:color="000000" w:sz="4"/>
                <w:right w:val="none" w:color="000000" w:sz="4"/>
                <w:insideH w:val="none"/>
                <w:insideV w:val="none"/>
              </w:tblBorders>
            </w:tblPr>
            <w:tblGrid>
              <w:gridCol w:w="1071"/>
              <w:gridCol w:w="3335"/>
              <w:gridCol w:w="1192"/>
            </w:tblGrid>
            <w:tr>
              <w:tc>
                <w:tcPr>
                  <w:tcW w:type="dxa" w:w="10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人员类别</w:t>
                  </w:r>
                </w:p>
              </w:tc>
              <w:tc>
                <w:tcPr>
                  <w:tcW w:type="dxa" w:w="3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具体要求</w:t>
                  </w:r>
                </w:p>
              </w:tc>
              <w:tc>
                <w:tcPr>
                  <w:tcW w:type="dxa" w:w="1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配置人数</w:t>
                  </w:r>
                </w:p>
              </w:tc>
            </w:tr>
            <w:tr>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管理人员</w:t>
                  </w:r>
                </w:p>
              </w:tc>
              <w:tc>
                <w:tcPr>
                  <w:tcW w:type="dxa" w:w="3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负责管理工作团队，并制定每次的除四害工作方案及分配工作，具有除四害工作管理经验。</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除四害专业人员</w:t>
                  </w:r>
                </w:p>
              </w:tc>
              <w:tc>
                <w:tcPr>
                  <w:tcW w:type="dxa" w:w="3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负责主要的除四害工作及技术指导，具有除四害工作经验，技术熟练，政治素质良好。</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r>
                    <w:rPr>
                      <w:sz w:val="21"/>
                      <w:color w:val="000000"/>
                    </w:rPr>
                    <w:t>人</w:t>
                  </w:r>
                </w:p>
              </w:tc>
            </w:tr>
          </w:tbl>
          <w:p>
            <w:pPr>
              <w:pStyle w:val="null3"/>
              <w:jc w:val="both"/>
            </w:pPr>
            <w:r>
              <w:rPr>
                <w:b/>
              </w:rPr>
              <w:t xml:space="preserve"> </w:t>
            </w:r>
          </w:p>
          <w:p>
            <w:pPr>
              <w:pStyle w:val="null3"/>
              <w:jc w:val="both"/>
            </w:pPr>
            <w:r>
              <w:rPr/>
              <w:t xml:space="preserve"> </w:t>
            </w:r>
          </w:p>
          <w:p>
            <w:pPr>
              <w:pStyle w:val="null3"/>
              <w:jc w:val="both"/>
            </w:pPr>
            <w:r>
              <w:rPr>
                <w:sz w:val="21"/>
                <w:color w:val="000000"/>
              </w:rPr>
              <w:t>注：（</w:t>
            </w:r>
            <w:r>
              <w:rPr>
                <w:sz w:val="21"/>
                <w:color w:val="000000"/>
              </w:rPr>
              <w:t>1）在同一标段内，同一人员不得同时从事上述不同岗位的工作；（2）如获中标，投标文件中拟投入的人员不得随意更换，如需更换，更换的人员资质不得低于招标文件要求，且必须经得采购人同意后方可更换，并及时提供更换人员的资料给采购人备案。</w:t>
            </w:r>
          </w:p>
          <w:p>
            <w:pPr>
              <w:pStyle w:val="null3"/>
              <w:ind w:firstLine="402"/>
              <w:jc w:val="both"/>
            </w:pPr>
            <w:r>
              <w:rPr>
                <w:sz w:val="21"/>
                <w:b/>
                <w:color w:val="000000"/>
              </w:rPr>
              <w:t>2、设备配置要求</w:t>
            </w:r>
          </w:p>
          <w:p>
            <w:pPr>
              <w:pStyle w:val="null3"/>
              <w:jc w:val="both"/>
            </w:pPr>
            <w:r>
              <w:rPr>
                <w:sz w:val="21"/>
                <w:b/>
                <w:color w:val="000000"/>
              </w:rPr>
              <w:t>（</w:t>
            </w:r>
            <w:r>
              <w:rPr>
                <w:sz w:val="21"/>
                <w:b/>
                <w:color w:val="000000"/>
              </w:rPr>
              <w:t>1）中标人的自有设备基本配置数量及要求须达到下表要求：</w:t>
            </w:r>
          </w:p>
          <w:tbl>
            <w:tblPr>
              <w:tblInd w:type="dxa" w:w="240"/>
              <w:tblBorders>
                <w:top w:val="none" w:color="000000" w:sz="4"/>
                <w:left w:val="none" w:color="000000" w:sz="4"/>
                <w:bottom w:val="none" w:color="000000" w:sz="4"/>
                <w:right w:val="none" w:color="000000" w:sz="4"/>
                <w:insideH w:val="none"/>
                <w:insideV w:val="none"/>
              </w:tblBorders>
            </w:tblPr>
            <w:tblGrid>
              <w:gridCol w:w="484"/>
              <w:gridCol w:w="983"/>
              <w:gridCol w:w="3268"/>
              <w:gridCol w:w="862"/>
            </w:tblGrid>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3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技术参数要求</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配置数量</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热烟雾机</w:t>
                  </w:r>
                </w:p>
              </w:tc>
              <w:tc>
                <w:tcPr>
                  <w:tcW w:type="dxa" w:w="3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5微米。药液输出量：0-42L/小时。功率:11.6-22KW。药箱容量：5L或以上</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2台</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背负式蓄电池超低容量喷雾器</w:t>
                  </w:r>
                </w:p>
              </w:tc>
              <w:tc>
                <w:tcPr>
                  <w:tcW w:type="dxa" w:w="3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电机：直流无碳刷电机，</w:t>
                  </w:r>
                  <w:r>
                    <w:rPr>
                      <w:sz w:val="21"/>
                      <w:color w:val="000000"/>
                    </w:rPr>
                    <w:t>600W；24V。雾滴直径：10-30微米。药液输出量ml/min：0-330连续可调。药箱容量：5L。空机重量(KG)：10.2。整机外型尺寸：309mm×32mm×506mm。电池：配置2块锂电池。工作时间（连续工作时间：高速档：50-60分钟，低速档80-90分钟。</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4台</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背负式机动超低容量喷雾机</w:t>
                  </w:r>
                </w:p>
              </w:tc>
              <w:tc>
                <w:tcPr>
                  <w:tcW w:type="dxa" w:w="3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2-20微米。额定流量：1-3L/分钟。水平射程：＞8米。外型尺寸：400×470×495cm。 配套动力：2冲程冲程发动机。药箱容量：5L。整机重量：12KG。</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台</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电动喷雾</w:t>
                  </w:r>
                  <w:r>
                    <w:rPr>
                      <w:sz w:val="21"/>
                      <w:color w:val="000000"/>
                    </w:rPr>
                    <w:t>器</w:t>
                  </w:r>
                </w:p>
              </w:tc>
              <w:tc>
                <w:tcPr>
                  <w:tcW w:type="dxa" w:w="3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2-20微米。水平射程&gt;6米</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6台</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机动式喷雾机</w:t>
                  </w:r>
                </w:p>
              </w:tc>
              <w:tc>
                <w:tcPr>
                  <w:tcW w:type="dxa" w:w="3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50-100微米。水平射程&gt;8米</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2台</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车载式喷雾机</w:t>
                  </w:r>
                </w:p>
              </w:tc>
              <w:tc>
                <w:tcPr>
                  <w:tcW w:type="dxa" w:w="3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输出容量</w:t>
                  </w:r>
                  <w:r>
                    <w:rPr>
                      <w:sz w:val="21"/>
                      <w:color w:val="000000"/>
                    </w:rPr>
                    <w:t>50-100公升/小时，达距100米（受制于风速），雾滴80%&lt;40微米，声量80分贝以下。</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鼠屋</w:t>
                  </w:r>
                </w:p>
              </w:tc>
              <w:tc>
                <w:tcPr>
                  <w:tcW w:type="dxa" w:w="3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r>
                    <w:rPr>
                      <w:sz w:val="21"/>
                      <w:color w:val="000000"/>
                    </w:rPr>
                    <w:t>个</w:t>
                  </w:r>
                  <w:r>
                    <w:rPr>
                      <w:sz w:val="21"/>
                      <w:color w:val="000000"/>
                    </w:rPr>
                    <w:t>/年</w:t>
                  </w:r>
                </w:p>
              </w:tc>
            </w:tr>
          </w:tbl>
          <w:p>
            <w:pPr>
              <w:pStyle w:val="null3"/>
              <w:jc w:val="both"/>
            </w:pPr>
            <w:r>
              <w:rPr/>
              <w:t xml:space="preserve"> </w:t>
            </w:r>
          </w:p>
          <w:p>
            <w:pPr>
              <w:pStyle w:val="null3"/>
              <w:jc w:val="both"/>
            </w:pPr>
            <w:r>
              <w:rPr/>
              <w:t xml:space="preserve"> </w:t>
            </w:r>
          </w:p>
          <w:p>
            <w:pPr>
              <w:pStyle w:val="null3"/>
              <w:jc w:val="both"/>
            </w:pPr>
            <w:r>
              <w:rPr>
                <w:sz w:val="21"/>
                <w:b/>
                <w:color w:val="000000"/>
              </w:rPr>
              <w:t>3、投入药物最低用量要求：</w:t>
            </w:r>
          </w:p>
          <w:tbl>
            <w:tblPr>
              <w:tblInd w:type="dxa" w:w="240"/>
              <w:tblBorders>
                <w:top w:val="none" w:color="000000" w:sz="4"/>
                <w:left w:val="none" w:color="000000" w:sz="4"/>
                <w:bottom w:val="none" w:color="000000" w:sz="4"/>
                <w:right w:val="none" w:color="000000" w:sz="4"/>
                <w:insideH w:val="none"/>
                <w:insideV w:val="none"/>
              </w:tblBorders>
            </w:tblPr>
            <w:tblGrid>
              <w:gridCol w:w="905"/>
              <w:gridCol w:w="2610"/>
              <w:gridCol w:w="2082"/>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药物名称</w:t>
                  </w:r>
                </w:p>
              </w:tc>
              <w:tc>
                <w:tcPr>
                  <w:tcW w:type="dxa" w:w="2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每月数量（公斤）</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1"/>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高效氯氟氰菊酯</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1"/>
                      <w:color w:val="000000"/>
                    </w:rPr>
                    <w:t>2</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残杀威</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1"/>
                      <w:color w:val="000000"/>
                    </w:rPr>
                    <w:t>3</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鼠谷</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1"/>
                      <w:color w:val="000000"/>
                    </w:rPr>
                    <w:t>4</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倍硫磷</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1"/>
                      <w:color w:val="000000"/>
                    </w:rPr>
                    <w:t>5</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其他用药</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r>
          </w:tbl>
          <w:p>
            <w:pPr>
              <w:pStyle w:val="null3"/>
              <w:ind w:firstLine="402"/>
              <w:jc w:val="both"/>
            </w:pPr>
            <w:r>
              <w:rPr/>
              <w:t xml:space="preserve"> </w:t>
            </w:r>
          </w:p>
          <w:p>
            <w:pPr>
              <w:pStyle w:val="null3"/>
              <w:ind w:firstLine="402"/>
              <w:jc w:val="both"/>
            </w:pPr>
            <w:r>
              <w:rPr/>
              <w:t xml:space="preserve"> </w:t>
            </w:r>
          </w:p>
          <w:p>
            <w:pPr>
              <w:pStyle w:val="null3"/>
              <w:ind w:firstLine="402"/>
              <w:jc w:val="both"/>
            </w:pPr>
            <w:r>
              <w:rPr>
                <w:sz w:val="21"/>
                <w:b/>
                <w:color w:val="000000"/>
              </w:rPr>
              <w:t>4、</w:t>
            </w:r>
            <w:r>
              <w:rPr>
                <w:sz w:val="21"/>
                <w:b/>
                <w:color w:val="000000"/>
              </w:rPr>
              <w:t>日常作业标准</w:t>
            </w:r>
          </w:p>
          <w:tbl>
            <w:tblPr>
              <w:tblBorders>
                <w:top w:val="none" w:color="000000" w:sz="4"/>
                <w:left w:val="none" w:color="000000" w:sz="4"/>
                <w:bottom w:val="none" w:color="000000" w:sz="4"/>
                <w:right w:val="none" w:color="000000" w:sz="4"/>
                <w:insideH w:val="none"/>
                <w:insideV w:val="none"/>
              </w:tblBorders>
            </w:tblPr>
            <w:tblGrid>
              <w:gridCol w:w="1035"/>
              <w:gridCol w:w="2980"/>
              <w:gridCol w:w="1567"/>
            </w:tblGrid>
            <w:tr>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服务项目</w:t>
                  </w:r>
                </w:p>
              </w:tc>
              <w:tc>
                <w:tcPr>
                  <w:tcW w:type="dxa" w:w="2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服务内容</w:t>
                  </w:r>
                </w:p>
              </w:tc>
              <w:tc>
                <w:tcPr>
                  <w:tcW w:type="dxa" w:w="15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服务要求</w:t>
                  </w:r>
                  <w:r>
                    <w:rPr>
                      <w:sz w:val="21"/>
                      <w:color w:val="000000"/>
                    </w:rPr>
                    <w:t xml:space="preserve">             </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灭鼠</w:t>
                  </w: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1、公共环境和扩大覆盖面范围要每季饱和投放灭鼠药。</w:t>
                  </w:r>
                </w:p>
              </w:tc>
              <w:tc>
                <w:tcPr>
                  <w:tcW w:type="dxa" w:w="1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w:t>
                  </w:r>
                  <w:r>
                    <w:rPr>
                      <w:sz w:val="21"/>
                      <w:color w:val="000000"/>
                    </w:rPr>
                    <w:t>1次</w:t>
                  </w:r>
                </w:p>
              </w:tc>
            </w:tr>
            <w:tr>
              <w:tc>
                <w:tcPr>
                  <w:tcW w:type="dxa" w:w="1035"/>
                  <w:vMerge/>
                  <w:tcBorders>
                    <w:top w:val="none" w:color="000000" w:sz="4"/>
                    <w:left w:val="single" w:color="000000" w:sz="4"/>
                    <w:bottom w:val="single" w:color="000000" w:sz="4"/>
                    <w:right w:val="single" w:color="000000" w:sz="4"/>
                  </w:tcBorders>
                </w:tcP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2、公共环境每月检查鼠迹，发现鼠迹立即清理并及时按常规投放和补充毒饵。</w:t>
                  </w:r>
                </w:p>
              </w:tc>
              <w:tc>
                <w:tcPr>
                  <w:tcW w:type="dxa" w:w="1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5"/>
                  <w:vMerge/>
                  <w:tcBorders>
                    <w:top w:val="none" w:color="000000" w:sz="4"/>
                    <w:left w:val="single" w:color="000000" w:sz="4"/>
                    <w:bottom w:val="single" w:color="000000" w:sz="4"/>
                    <w:right w:val="single" w:color="000000" w:sz="4"/>
                  </w:tcBorders>
                </w:tcP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3、单位灭鼠：每月监测鼠情，按常规投药和补投药。主要重点单位如学校饭堂等每季度进行密度检测。</w:t>
                  </w:r>
                </w:p>
              </w:tc>
              <w:tc>
                <w:tcPr>
                  <w:tcW w:type="dxa" w:w="1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5"/>
                  <w:vMerge/>
                  <w:tcBorders>
                    <w:top w:val="none" w:color="000000" w:sz="4"/>
                    <w:left w:val="single" w:color="000000" w:sz="4"/>
                    <w:bottom w:val="single" w:color="000000" w:sz="4"/>
                    <w:right w:val="single" w:color="000000" w:sz="4"/>
                  </w:tcBorders>
                </w:tcP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4、居民区（不含封闭式物管小区）、学校及幼儿园（私人除外）、公共场所等每月入户询问鼠情1次。</w:t>
                  </w:r>
                </w:p>
              </w:tc>
              <w:tc>
                <w:tcPr>
                  <w:tcW w:type="dxa" w:w="1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5"/>
                  <w:vMerge/>
                  <w:tcBorders>
                    <w:top w:val="none" w:color="000000" w:sz="4"/>
                    <w:left w:val="single" w:color="000000" w:sz="4"/>
                    <w:bottom w:val="single" w:color="000000" w:sz="4"/>
                    <w:right w:val="single" w:color="000000" w:sz="4"/>
                  </w:tcBorders>
                </w:tcP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5、中标人在承包范围内的各村居委须按照标准要求，自行安装灭鼠屋不少于200个，并经甲方验收合格并统筹安装，合同期内如有损毁，须按要求进行补装。</w:t>
                  </w:r>
                </w:p>
              </w:tc>
              <w:tc>
                <w:tcPr>
                  <w:tcW w:type="dxa" w:w="15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平均每居（村）不少于</w:t>
                  </w:r>
                  <w:r>
                    <w:rPr>
                      <w:sz w:val="21"/>
                      <w:color w:val="000000"/>
                    </w:rPr>
                    <w:t>200个</w:t>
                  </w:r>
                </w:p>
              </w:tc>
            </w:tr>
            <w:tr>
              <w:tc>
                <w:tcPr>
                  <w:tcW w:type="dxa" w:w="1035"/>
                  <w:vMerge/>
                  <w:tcBorders>
                    <w:top w:val="none" w:color="000000" w:sz="4"/>
                    <w:left w:val="single" w:color="000000" w:sz="4"/>
                    <w:bottom w:val="single" w:color="000000" w:sz="4"/>
                    <w:right w:val="single" w:color="000000" w:sz="4"/>
                  </w:tcBorders>
                </w:tcP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6、每季度按国家考核标准对鼠密度进行监测。</w:t>
                  </w:r>
                </w:p>
              </w:tc>
              <w:tc>
                <w:tcPr>
                  <w:tcW w:type="dxa" w:w="1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1次</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灭蚊</w:t>
                  </w: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1、大、中型水体必须每周检查一次，发现幼虫孳生立即施药。</w:t>
                  </w:r>
                </w:p>
              </w:tc>
              <w:tc>
                <w:tcPr>
                  <w:tcW w:type="dxa" w:w="1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r>
                    <w:rPr>
                      <w:sz w:val="21"/>
                      <w:color w:val="000000"/>
                    </w:rPr>
                    <w:t>1次</w:t>
                  </w:r>
                </w:p>
              </w:tc>
            </w:tr>
            <w:tr>
              <w:tc>
                <w:tcPr>
                  <w:tcW w:type="dxa" w:w="1035"/>
                  <w:vMerge/>
                  <w:tcBorders>
                    <w:top w:val="none" w:color="000000" w:sz="4"/>
                    <w:left w:val="single" w:color="000000" w:sz="4"/>
                    <w:bottom w:val="single" w:color="000000" w:sz="4"/>
                    <w:right w:val="single" w:color="000000" w:sz="4"/>
                  </w:tcBorders>
                </w:tcP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下水道沉沙井（有积水的），每井吊挂含10克倍硫磷缓释剂木塞1粒，每月更换一次，控制蚊幼虫孳生；沙井装有防蚊闸或存水弯管损坏或不密封的的每两月吊挂含10克倍硫磷缓释剂木塞1粒或投放药物进行灭杀，每月1次，控制蚊幼虫孳生。</w:t>
                  </w:r>
                </w:p>
              </w:tc>
              <w:tc>
                <w:tcPr>
                  <w:tcW w:type="dxa" w:w="15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每月更换</w:t>
                  </w:r>
                  <w:r>
                    <w:rPr>
                      <w:sz w:val="21"/>
                      <w:color w:val="000000"/>
                    </w:rPr>
                    <w:t>1次</w:t>
                  </w:r>
                </w:p>
              </w:tc>
            </w:tr>
            <w:tr>
              <w:tc>
                <w:tcPr>
                  <w:tcW w:type="dxa" w:w="1035"/>
                  <w:vMerge/>
                  <w:tcBorders>
                    <w:top w:val="none" w:color="000000" w:sz="4"/>
                    <w:left w:val="single" w:color="000000" w:sz="4"/>
                    <w:bottom w:val="single" w:color="000000" w:sz="4"/>
                    <w:right w:val="single" w:color="000000" w:sz="4"/>
                  </w:tcBorders>
                </w:tcP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3、经常清理外环境小积水，控制蚊虫孳生，并施药处理。</w:t>
                  </w:r>
                </w:p>
              </w:tc>
              <w:tc>
                <w:tcPr>
                  <w:tcW w:type="dxa" w:w="15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每周</w:t>
                  </w:r>
                  <w:r>
                    <w:rPr>
                      <w:sz w:val="21"/>
                      <w:color w:val="000000"/>
                    </w:rPr>
                    <w:t>1次</w:t>
                  </w:r>
                </w:p>
              </w:tc>
            </w:tr>
            <w:tr>
              <w:tc>
                <w:tcPr>
                  <w:tcW w:type="dxa" w:w="1035"/>
                  <w:vMerge/>
                  <w:tcBorders>
                    <w:top w:val="none" w:color="000000" w:sz="4"/>
                    <w:left w:val="single" w:color="000000" w:sz="4"/>
                    <w:bottom w:val="single" w:color="000000" w:sz="4"/>
                    <w:right w:val="single" w:color="000000" w:sz="4"/>
                  </w:tcBorders>
                </w:tcP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4、下水道烟熏灭蚊：每月结合灭蟑对外环境的下水道进行热烟雾处理。</w:t>
                  </w:r>
                </w:p>
              </w:tc>
              <w:tc>
                <w:tcPr>
                  <w:tcW w:type="dxa" w:w="15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5"/>
                  <w:vMerge/>
                  <w:tcBorders>
                    <w:top w:val="none" w:color="000000" w:sz="4"/>
                    <w:left w:val="single" w:color="000000" w:sz="4"/>
                    <w:bottom w:val="single" w:color="000000" w:sz="4"/>
                    <w:right w:val="single" w:color="000000" w:sz="4"/>
                  </w:tcBorders>
                </w:tcP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5、居民区（不含封闭式物管小区）、学校及幼儿园（私人除外）、政府机关单位、待建地、丛林、公园、废品收购站、公寓楼梯间等特殊场所外环境，每10天全面查治孳生地一次，并作空间喷洒灭成蚊。</w:t>
                  </w:r>
                </w:p>
              </w:tc>
              <w:tc>
                <w:tcPr>
                  <w:tcW w:type="dxa" w:w="15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每月</w:t>
                  </w:r>
                  <w:r>
                    <w:rPr>
                      <w:sz w:val="21"/>
                      <w:color w:val="000000"/>
                    </w:rPr>
                    <w:t>3次</w:t>
                  </w:r>
                </w:p>
              </w:tc>
            </w:tr>
            <w:tr>
              <w:tc>
                <w:tcPr>
                  <w:tcW w:type="dxa" w:w="1035"/>
                  <w:vMerge/>
                  <w:tcBorders>
                    <w:top w:val="none" w:color="000000" w:sz="4"/>
                    <w:left w:val="single" w:color="000000" w:sz="4"/>
                    <w:bottom w:val="single" w:color="000000" w:sz="4"/>
                    <w:right w:val="single" w:color="000000" w:sz="4"/>
                  </w:tcBorders>
                </w:tcP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6、居民住宅区（物业管理小区除外）及公共环境各放2盏蚊灯，每月每村布放诱蚊诱卵器60个，每月进行监测，及时掌握蚊虫密度，向发包方提供监测数据和技术支持。</w:t>
                  </w:r>
                </w:p>
              </w:tc>
              <w:tc>
                <w:tcPr>
                  <w:tcW w:type="dxa" w:w="1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5"/>
                  <w:vMerge/>
                  <w:tcBorders>
                    <w:top w:val="none" w:color="000000" w:sz="4"/>
                    <w:left w:val="single" w:color="000000" w:sz="4"/>
                    <w:bottom w:val="single" w:color="000000" w:sz="4"/>
                    <w:right w:val="single" w:color="000000" w:sz="4"/>
                  </w:tcBorders>
                </w:tcPr>
                <w:p/>
              </w:tc>
              <w:tc>
                <w:tcPr>
                  <w:tcW w:type="dxa" w:w="29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7、定期对项目服务范围进行孳生地清理查治并建立台账。</w:t>
                  </w:r>
                </w:p>
              </w:tc>
              <w:tc>
                <w:tcPr>
                  <w:tcW w:type="dxa" w:w="15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5"/>
                  <w:vMerge/>
                  <w:tcBorders>
                    <w:top w:val="none" w:color="000000" w:sz="4"/>
                    <w:left w:val="single" w:color="000000" w:sz="4"/>
                    <w:bottom w:val="single" w:color="000000" w:sz="4"/>
                    <w:right w:val="single" w:color="000000" w:sz="4"/>
                  </w:tcBorders>
                </w:tcP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8、每季度按国家考核标准对蚊密度进行监测。</w:t>
                  </w:r>
                </w:p>
              </w:tc>
              <w:tc>
                <w:tcPr>
                  <w:tcW w:type="dxa" w:w="1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1次</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灭蝇</w:t>
                  </w: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1、垃圾中转站（安装2个诱蝇笼、定期更换诱饵及维护）、垃圾屋、垃圾池、垃圾桶、垃圾车以及卫生死角、垃圾堆，每周喷药一次。</w:t>
                  </w:r>
                </w:p>
              </w:tc>
              <w:tc>
                <w:tcPr>
                  <w:tcW w:type="dxa" w:w="15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每周</w:t>
                  </w:r>
                  <w:r>
                    <w:rPr>
                      <w:sz w:val="21"/>
                      <w:color w:val="000000"/>
                    </w:rPr>
                    <w:t>1次</w:t>
                  </w:r>
                </w:p>
              </w:tc>
            </w:tr>
            <w:tr>
              <w:tc>
                <w:tcPr>
                  <w:tcW w:type="dxa" w:w="1035"/>
                  <w:vMerge/>
                  <w:tcBorders>
                    <w:top w:val="none" w:color="000000" w:sz="4"/>
                    <w:left w:val="single" w:color="000000" w:sz="4"/>
                    <w:bottom w:val="single" w:color="000000" w:sz="4"/>
                    <w:right w:val="single" w:color="000000" w:sz="4"/>
                  </w:tcBorders>
                </w:tcP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2、公共场所每月作2次滞留喷洒灭成蝇。</w:t>
                  </w:r>
                </w:p>
              </w:tc>
              <w:tc>
                <w:tcPr>
                  <w:tcW w:type="dxa" w:w="1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2次</w:t>
                  </w:r>
                </w:p>
              </w:tc>
            </w:tr>
            <w:tr>
              <w:tc>
                <w:tcPr>
                  <w:tcW w:type="dxa" w:w="1035"/>
                  <w:vMerge/>
                  <w:tcBorders>
                    <w:top w:val="none" w:color="000000" w:sz="4"/>
                    <w:left w:val="single" w:color="000000" w:sz="4"/>
                    <w:bottom w:val="single" w:color="000000" w:sz="4"/>
                    <w:right w:val="single" w:color="000000" w:sz="4"/>
                  </w:tcBorders>
                </w:tcP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3、重点场所孳生地：每周检查处理并喷药灭杀。</w:t>
                  </w:r>
                </w:p>
              </w:tc>
              <w:tc>
                <w:tcPr>
                  <w:tcW w:type="dxa" w:w="1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每周</w:t>
                  </w:r>
                  <w:r>
                    <w:rPr>
                      <w:sz w:val="21"/>
                      <w:color w:val="000000"/>
                    </w:rPr>
                    <w:t>1次</w:t>
                  </w:r>
                </w:p>
              </w:tc>
            </w:tr>
            <w:tr>
              <w:tc>
                <w:tcPr>
                  <w:tcW w:type="dxa" w:w="1035"/>
                  <w:vMerge/>
                  <w:tcBorders>
                    <w:top w:val="none" w:color="000000" w:sz="4"/>
                    <w:left w:val="single" w:color="000000" w:sz="4"/>
                    <w:bottom w:val="single" w:color="000000" w:sz="4"/>
                    <w:right w:val="single" w:color="000000" w:sz="4"/>
                  </w:tcBorders>
                </w:tcP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4、每季度按国家考核标准对成蝇密度进行监测。</w:t>
                  </w:r>
                </w:p>
              </w:tc>
              <w:tc>
                <w:tcPr>
                  <w:tcW w:type="dxa" w:w="1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1次</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灭蟑螂</w:t>
                  </w: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1、定期对服务范围每月检查蟑迹并清理。</w:t>
                  </w:r>
                </w:p>
              </w:tc>
              <w:tc>
                <w:tcPr>
                  <w:tcW w:type="dxa" w:w="1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5"/>
                  <w:vMerge/>
                  <w:tcBorders>
                    <w:top w:val="none" w:color="000000" w:sz="4"/>
                    <w:left w:val="single" w:color="000000" w:sz="4"/>
                    <w:bottom w:val="single" w:color="000000" w:sz="4"/>
                    <w:right w:val="single" w:color="000000" w:sz="4"/>
                  </w:tcBorders>
                </w:tcP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2、下水道灭蟑螂：每两月热烟雾处理1次。</w:t>
                  </w:r>
                </w:p>
              </w:tc>
              <w:tc>
                <w:tcPr>
                  <w:tcW w:type="dxa" w:w="1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每两月</w:t>
                  </w:r>
                  <w:r>
                    <w:rPr>
                      <w:sz w:val="21"/>
                      <w:color w:val="000000"/>
                    </w:rPr>
                    <w:t>1次</w:t>
                  </w:r>
                </w:p>
              </w:tc>
            </w:tr>
            <w:tr>
              <w:tc>
                <w:tcPr>
                  <w:tcW w:type="dxa" w:w="1035"/>
                  <w:vMerge/>
                  <w:tcBorders>
                    <w:top w:val="none" w:color="000000" w:sz="4"/>
                    <w:left w:val="single" w:color="000000" w:sz="4"/>
                    <w:bottom w:val="single" w:color="000000" w:sz="4"/>
                    <w:right w:val="single" w:color="000000" w:sz="4"/>
                  </w:tcBorders>
                </w:tcP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3、每季度按国家考核标准进行结蟑螂密度监测。住户：每季度上门询问蟑情1次，并对有蟑户派发药物及追踪处理。</w:t>
                  </w:r>
                </w:p>
              </w:tc>
              <w:tc>
                <w:tcPr>
                  <w:tcW w:type="dxa" w:w="1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1次</w:t>
                  </w:r>
                </w:p>
              </w:tc>
            </w:tr>
            <w:tr>
              <w:tc>
                <w:tcPr>
                  <w:tcW w:type="dxa" w:w="1035"/>
                  <w:vMerge/>
                  <w:tcBorders>
                    <w:top w:val="none" w:color="000000" w:sz="4"/>
                    <w:left w:val="single" w:color="000000" w:sz="4"/>
                    <w:bottom w:val="single" w:color="000000" w:sz="4"/>
                    <w:right w:val="single" w:color="000000" w:sz="4"/>
                  </w:tcBorders>
                </w:tcP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4、中标人每月每村入户宣传“四害”知识100户(附入户调查表)。</w:t>
                  </w:r>
                </w:p>
              </w:tc>
              <w:tc>
                <w:tcPr>
                  <w:tcW w:type="dxa" w:w="1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5"/>
                  <w:vMerge/>
                  <w:tcBorders>
                    <w:top w:val="none" w:color="000000" w:sz="4"/>
                    <w:left w:val="single" w:color="000000" w:sz="4"/>
                    <w:bottom w:val="single" w:color="000000" w:sz="4"/>
                    <w:right w:val="single" w:color="000000" w:sz="4"/>
                  </w:tcBorders>
                </w:tcP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5、中标人每年在“爱卫月、登革热”等期间不少4次公益宣传。</w:t>
                  </w:r>
                </w:p>
              </w:tc>
              <w:tc>
                <w:tcPr>
                  <w:tcW w:type="dxa" w:w="1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每年</w:t>
                  </w:r>
                  <w:r>
                    <w:rPr>
                      <w:sz w:val="21"/>
                      <w:color w:val="000000"/>
                    </w:rPr>
                    <w:t>4次</w:t>
                  </w:r>
                </w:p>
              </w:tc>
            </w:tr>
            <w:tr>
              <w:tc>
                <w:tcPr>
                  <w:tcW w:type="dxa" w:w="1035"/>
                  <w:vMerge/>
                  <w:tcBorders>
                    <w:top w:val="none" w:color="000000" w:sz="4"/>
                    <w:left w:val="single" w:color="000000" w:sz="4"/>
                    <w:bottom w:val="single" w:color="000000" w:sz="4"/>
                    <w:right w:val="single" w:color="000000" w:sz="4"/>
                  </w:tcBorders>
                </w:tcP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6、中标人每年进社区不少于4次公益讲座和8次的宣传。</w:t>
                  </w:r>
                </w:p>
              </w:tc>
              <w:tc>
                <w:tcPr>
                  <w:tcW w:type="dxa" w:w="1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每年</w:t>
                  </w:r>
                  <w:r>
                    <w:rPr>
                      <w:sz w:val="21"/>
                      <w:color w:val="000000"/>
                    </w:rPr>
                    <w:t>12次</w:t>
                  </w:r>
                </w:p>
              </w:tc>
            </w:tr>
          </w:tbl>
          <w:p>
            <w:pPr>
              <w:pStyle w:val="null3"/>
            </w:pPr>
            <w:r>
              <w:rPr/>
              <w:t xml:space="preserve"> </w:t>
            </w:r>
          </w:p>
          <w:p>
            <w:pPr>
              <w:pStyle w:val="null3"/>
            </w:pPr>
            <w:r>
              <w:rPr/>
              <w:t xml:space="preserve"> </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pPr>
            <w:r>
              <w:rPr>
                <w:sz w:val="21"/>
                <w:b/>
                <w:color w:val="000000"/>
              </w:rPr>
              <w:t>二、服务范围</w:t>
            </w:r>
          </w:p>
          <w:p>
            <w:pPr>
              <w:pStyle w:val="null3"/>
              <w:ind w:firstLine="400"/>
              <w:jc w:val="both"/>
            </w:pPr>
            <w:r>
              <w:rPr>
                <w:sz w:val="21"/>
                <w:color w:val="000000"/>
              </w:rPr>
              <w:t>容桂街道各居村的公共外环境范围灭鼠、灭蚊、灭苍蝇、灭蟑螂工作，通称除</w:t>
            </w:r>
            <w:r>
              <w:rPr>
                <w:sz w:val="21"/>
                <w:color w:val="000000"/>
              </w:rPr>
              <w:t>“四害”。服务范围包括居居民住宅区（物业管理小区除外）（不含封闭式物管小区）、工业区（不含封闭式厂房）、街道属下公立教育机构、敬老院、公共场所、公园、广场、大街小巷、下水道、河涌、市政公用类公厕、垃圾收集站及转运点、垃圾屋，以及四害孳生地，并负责和承担本项目相关安全责任。</w:t>
            </w:r>
          </w:p>
          <w:p>
            <w:pPr>
              <w:pStyle w:val="null3"/>
              <w:ind w:firstLine="400"/>
              <w:jc w:val="both"/>
            </w:pPr>
            <w:r>
              <w:rPr>
                <w:sz w:val="21"/>
                <w:color w:val="000000"/>
              </w:rPr>
              <w:t>中标人对封闭式物管小区范围内的除</w:t>
            </w:r>
            <w:r>
              <w:rPr>
                <w:sz w:val="21"/>
                <w:color w:val="000000"/>
              </w:rPr>
              <w:t>“四害”工作，必须做到实地巡查，做好密度监测，并有义务对存在的问题提出专业的指导意见及技术方案，提高其工作水平。</w:t>
            </w:r>
          </w:p>
          <w:p>
            <w:pPr>
              <w:pStyle w:val="null3"/>
            </w:pPr>
            <w:r>
              <w:rPr>
                <w:sz w:val="21"/>
                <w:color w:val="000000"/>
              </w:rPr>
              <w:t xml:space="preserve">       </w:t>
            </w:r>
            <w:r>
              <w:rPr>
                <w:sz w:val="21"/>
                <w:color w:val="000000"/>
              </w:rPr>
              <w:t>达标区范围：达标区包括居居民住宅区（物业管理小区除外）、学校及幼儿园（私人除外）、敬老院、公共场所、公园、广场、大街小巷、下水道、河涌、市政公用类公厕、垃圾收集站及转运点、垃圾屋等场所和区域。</w:t>
            </w:r>
          </w:p>
        </w:tc>
      </w:tr>
      <w:tr>
        <w:tc>
          <w:tcPr>
            <w:tcW w:type="dxa" w:w="2076"/>
          </w:tcPr>
          <w:p/>
        </w:tc>
        <w:tc>
          <w:tcPr>
            <w:tcW w:type="dxa" w:w="415"/>
          </w:tcPr>
          <w:p>
            <w:pPr>
              <w:pStyle w:val="null3"/>
            </w:pPr>
            <w:r>
              <w:rPr/>
              <w:t>3</w:t>
            </w:r>
          </w:p>
        </w:tc>
        <w:tc>
          <w:tcPr>
            <w:tcW w:type="dxa" w:w="5814"/>
          </w:tcPr>
          <w:p>
            <w:pPr>
              <w:pStyle w:val="null3"/>
            </w:pPr>
            <w:r>
              <w:rPr>
                <w:sz w:val="21"/>
                <w:b/>
                <w:color w:val="000000"/>
              </w:rPr>
              <w:t>三、服务标准</w:t>
            </w:r>
          </w:p>
          <w:p>
            <w:pPr>
              <w:pStyle w:val="null3"/>
              <w:jc w:val="both"/>
            </w:pPr>
            <w:r>
              <w:rPr>
                <w:sz w:val="21"/>
                <w:color w:val="000000"/>
              </w:rPr>
              <w:t>1、控制水平标准：GB/T 27773-2011《病媒生物密度控制水平 蜚蠊》、GB/T 27772-2011《病媒生物密度控制水平 蝇类》、GB/T 27771-2011《病媒生物密度控制水平 蚊虫》、GB/T 27770-2011《病媒生物密度控制水平 鼠类》。</w:t>
            </w:r>
          </w:p>
          <w:p>
            <w:pPr>
              <w:pStyle w:val="null3"/>
              <w:jc w:val="both"/>
            </w:pPr>
            <w:r>
              <w:rPr>
                <w:sz w:val="21"/>
                <w:color w:val="000000"/>
              </w:rPr>
              <w:t>2、监测标准《&lt;中华人民共和国国家标准（GB/T 23796-2009）病媒生物密度监测方法蝇类》、《中华人民共和国国家标准（GB/T 23797-2009）病媒生物密度监测方法蚊虫》、《中华人民共和国国家标准（GB/T 23798-2009）病媒生物密度监测方法鼠类》、《中华人民共和国国家标准（GB/T 23795-2009）病媒生物密度监测方法蜚蠊》。</w:t>
            </w:r>
          </w:p>
          <w:tbl>
            <w:tblPr>
              <w:tblInd w:type="dxa" w:w="120"/>
              <w:tblBorders>
                <w:top w:val="none" w:color="000000" w:sz="4"/>
                <w:left w:val="none" w:color="000000" w:sz="4"/>
                <w:bottom w:val="none" w:color="000000" w:sz="4"/>
                <w:right w:val="none" w:color="000000" w:sz="4"/>
                <w:insideH w:val="none"/>
                <w:insideV w:val="none"/>
              </w:tblBorders>
            </w:tblPr>
            <w:tblGrid>
              <w:gridCol w:w="785"/>
              <w:gridCol w:w="4813"/>
            </w:tblGrid>
            <w:tr>
              <w:tc>
                <w:tcPr>
                  <w:tcW w:type="dxa" w:w="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灭鼠标准</w:t>
                  </w:r>
                </w:p>
              </w:tc>
              <w:tc>
                <w:tcPr>
                  <w:tcW w:type="dxa" w:w="4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color w:val="000000"/>
                    </w:rPr>
                    <w:t>1、15平方米标准房间布放20×20厘米滑石粉块两块，一夜后阳性块不超过3%；有鼠洞、鼠粪、鼠咬痕等鼠迹的房间不超过2%；重点单位防鼠设施不合格处不超过5%。</w:t>
                  </w:r>
                </w:p>
                <w:p>
                  <w:pPr>
                    <w:pStyle w:val="null3"/>
                    <w:jc w:val="both"/>
                  </w:pPr>
                  <w:r>
                    <w:rPr>
                      <w:sz w:val="21"/>
                      <w:color w:val="000000"/>
                    </w:rPr>
                    <w:t>2、不同类型的外环境累计2000米，鼠迹不超过5处。</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灭蚊标准</w:t>
                  </w:r>
                </w:p>
              </w:tc>
              <w:tc>
                <w:tcPr>
                  <w:tcW w:type="dxa" w:w="4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color w:val="000000"/>
                    </w:rPr>
                    <w:t>1、居民住宅、单位内外环境各种存水容器和积水中，蚊幼及蛹的阳性率不超过3%。</w:t>
                  </w:r>
                </w:p>
                <w:p>
                  <w:pPr>
                    <w:pStyle w:val="null3"/>
                    <w:ind w:left="195"/>
                    <w:jc w:val="both"/>
                  </w:pPr>
                  <w:r>
                    <w:rPr>
                      <w:sz w:val="21"/>
                      <w:color w:val="000000"/>
                    </w:rPr>
                    <w:t>2、用500ml收集勺采集城区内大中型水体中的蚊幼或蛹阳性率不超过3%，性勺内幼虫或蛹的平均数不超过5只。</w:t>
                  </w:r>
                </w:p>
                <w:p>
                  <w:pPr>
                    <w:pStyle w:val="null3"/>
                    <w:ind w:left="195"/>
                    <w:jc w:val="both"/>
                  </w:pPr>
                  <w:r>
                    <w:rPr>
                      <w:sz w:val="21"/>
                      <w:color w:val="000000"/>
                    </w:rPr>
                    <w:t>3、特殊场所白天人诱蚊30分钟，平均每人次诱获成蚊数不超过1只。</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灭蟑螂</w:t>
                  </w:r>
                </w:p>
                <w:p>
                  <w:pPr>
                    <w:pStyle w:val="null3"/>
                    <w:jc w:val="center"/>
                  </w:pPr>
                  <w:r>
                    <w:rPr>
                      <w:sz w:val="21"/>
                      <w:color w:val="000000"/>
                    </w:rPr>
                    <w:t>标准</w:t>
                  </w:r>
                </w:p>
              </w:tc>
              <w:tc>
                <w:tcPr>
                  <w:tcW w:type="dxa" w:w="4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color w:val="000000"/>
                    </w:rPr>
                    <w:t>1、室内有蟑螂成虫或若虫阳性房间不超过3%，平均每间房大蠊不超过5只，小蠊不超过10只。</w:t>
                  </w:r>
                </w:p>
                <w:p>
                  <w:pPr>
                    <w:pStyle w:val="null3"/>
                    <w:ind w:left="300"/>
                    <w:jc w:val="both"/>
                  </w:pPr>
                  <w:r>
                    <w:rPr>
                      <w:sz w:val="21"/>
                      <w:color w:val="000000"/>
                    </w:rPr>
                    <w:t>2、有活蟑螂卵鞘房间不超过2%，平均每间房不超过4只。</w:t>
                  </w:r>
                </w:p>
                <w:p>
                  <w:pPr>
                    <w:pStyle w:val="null3"/>
                    <w:ind w:left="300"/>
                    <w:jc w:val="both"/>
                  </w:pPr>
                  <w:r>
                    <w:rPr>
                      <w:sz w:val="21"/>
                      <w:color w:val="000000"/>
                    </w:rPr>
                    <w:t>3、有蟑螂粪便、蜕皮等蟑迹的房间不过5%。</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灭蝇标准</w:t>
                  </w:r>
                </w:p>
              </w:tc>
              <w:tc>
                <w:tcPr>
                  <w:tcW w:type="dxa" w:w="4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color w:val="000000"/>
                    </w:rPr>
                    <w:t>1、重点单位有蝇房间不超过1％，其它单位不超过3％，平均每阳性房间不超过3只；重点单位防蝇设施不合格房间不超过5％；加工、销售直接入口食品的场所不得有蝇。</w:t>
                  </w:r>
                </w:p>
                <w:p>
                  <w:pPr>
                    <w:pStyle w:val="null3"/>
                    <w:ind w:left="300"/>
                    <w:jc w:val="both"/>
                  </w:pPr>
                  <w:r>
                    <w:rPr>
                      <w:sz w:val="21"/>
                      <w:color w:val="000000"/>
                    </w:rPr>
                    <w:t>2、蝇类孳生地得到有效治理，幼虫和蛹的检出率不超过3％。</w:t>
                  </w:r>
                </w:p>
              </w:tc>
            </w:tr>
          </w:tbl>
          <w:p>
            <w:pPr>
              <w:pStyle w:val="null3"/>
            </w:pPr>
            <w:r>
              <w:rPr/>
              <w:t xml:space="preserve"> </w:t>
            </w:r>
          </w:p>
          <w:p>
            <w:pPr>
              <w:pStyle w:val="null3"/>
            </w:pPr>
            <w:r>
              <w:rPr/>
              <w:t xml:space="preserve"> </w:t>
            </w:r>
          </w:p>
          <w:p>
            <w:pPr>
              <w:pStyle w:val="null3"/>
            </w:pPr>
            <w:r>
              <w:rPr/>
              <w:t xml:space="preserve"> </w:t>
            </w:r>
          </w:p>
        </w:tc>
      </w:tr>
      <w:tr>
        <w:tc>
          <w:tcPr>
            <w:tcW w:type="dxa" w:w="2076"/>
          </w:tcPr>
          <w:p/>
        </w:tc>
        <w:tc>
          <w:tcPr>
            <w:tcW w:type="dxa" w:w="415"/>
          </w:tcPr>
          <w:p>
            <w:pPr>
              <w:pStyle w:val="null3"/>
            </w:pPr>
            <w:r>
              <w:rPr/>
              <w:t>4</w:t>
            </w:r>
          </w:p>
        </w:tc>
        <w:tc>
          <w:tcPr>
            <w:tcW w:type="dxa" w:w="5814"/>
          </w:tcPr>
          <w:p>
            <w:pPr>
              <w:pStyle w:val="null3"/>
            </w:pPr>
            <w:r>
              <w:rPr>
                <w:sz w:val="21"/>
                <w:b/>
                <w:color w:val="000000"/>
              </w:rPr>
              <w:t>四、监督考评办法</w:t>
            </w:r>
          </w:p>
          <w:p>
            <w:pPr>
              <w:pStyle w:val="null3"/>
              <w:ind w:firstLine="400"/>
              <w:jc w:val="both"/>
            </w:pPr>
            <w:r>
              <w:rPr>
                <w:sz w:val="21"/>
                <w:color w:val="000000"/>
              </w:rPr>
              <w:t>根据</w:t>
            </w:r>
            <w:r>
              <w:rPr>
                <w:sz w:val="21"/>
                <w:color w:val="000000"/>
              </w:rPr>
              <w:t>区卫生健康局</w:t>
            </w:r>
            <w:r>
              <w:rPr>
                <w:sz w:val="21"/>
                <w:color w:val="000000"/>
              </w:rPr>
              <w:t>【</w:t>
            </w:r>
            <w:r>
              <w:rPr>
                <w:sz w:val="21"/>
                <w:color w:val="000000"/>
              </w:rPr>
              <w:t>2006】4号文，《佛山市顺德区公共环境除四害承包质量考评标准》（试行）的通知精神，制定考评办法如下：</w:t>
            </w:r>
          </w:p>
          <w:p>
            <w:pPr>
              <w:pStyle w:val="null3"/>
              <w:ind w:firstLine="400"/>
              <w:jc w:val="both"/>
            </w:pPr>
            <w:r>
              <w:rPr>
                <w:sz w:val="21"/>
                <w:color w:val="000000"/>
              </w:rPr>
              <w:t>1、考评方式</w:t>
            </w:r>
          </w:p>
          <w:p>
            <w:pPr>
              <w:pStyle w:val="null3"/>
              <w:ind w:firstLine="400"/>
              <w:jc w:val="both"/>
            </w:pPr>
            <w:r>
              <w:rPr>
                <w:sz w:val="21"/>
                <w:color w:val="000000"/>
              </w:rPr>
              <w:t>采取街道</w:t>
            </w:r>
            <w:r>
              <w:rPr>
                <w:sz w:val="21"/>
                <w:color w:val="000000"/>
              </w:rPr>
              <w:t>卫生健康办公室</w:t>
            </w:r>
            <w:r>
              <w:rPr>
                <w:sz w:val="21"/>
                <w:color w:val="000000"/>
              </w:rPr>
              <w:t>、居村委会、容桂街综合行政执法队、社会监督等综合考核方法。</w:t>
            </w:r>
          </w:p>
          <w:p>
            <w:pPr>
              <w:pStyle w:val="null3"/>
              <w:ind w:firstLine="400"/>
              <w:jc w:val="both"/>
            </w:pPr>
            <w:r>
              <w:rPr>
                <w:sz w:val="21"/>
                <w:color w:val="000000"/>
              </w:rPr>
              <w:t>1.</w:t>
            </w:r>
            <w:r>
              <w:rPr>
                <w:sz w:val="21"/>
                <w:color w:val="000000"/>
              </w:rPr>
              <w:t>1</w:t>
            </w:r>
            <w:r>
              <w:rPr>
                <w:sz w:val="21"/>
                <w:color w:val="000000"/>
              </w:rPr>
              <w:t>居（村）委会考核：居（村）委会负责对除四害专业队日常工作进行监督，指导。对专业队放药、喷洒、治理孳生地等工作实行签名确认（采购人或容桂街道</w:t>
            </w:r>
            <w:r>
              <w:rPr>
                <w:sz w:val="21"/>
                <w:color w:val="000000"/>
              </w:rPr>
              <w:t>卫生健康办公室</w:t>
            </w:r>
            <w:r>
              <w:rPr>
                <w:sz w:val="21"/>
                <w:color w:val="000000"/>
              </w:rPr>
              <w:t>印发施工记录表），每月对服务本居</w:t>
            </w:r>
            <w:r>
              <w:rPr>
                <w:sz w:val="21"/>
                <w:color w:val="000000"/>
              </w:rPr>
              <w:t>(村)委会除四害工作进行一次系统检查。</w:t>
            </w:r>
          </w:p>
          <w:p>
            <w:pPr>
              <w:pStyle w:val="null3"/>
              <w:ind w:firstLine="400"/>
              <w:jc w:val="both"/>
            </w:pPr>
            <w:r>
              <w:rPr>
                <w:sz w:val="21"/>
                <w:color w:val="000000"/>
              </w:rPr>
              <w:t>1.</w:t>
            </w:r>
            <w:r>
              <w:rPr>
                <w:sz w:val="21"/>
                <w:color w:val="000000"/>
              </w:rPr>
              <w:t>2</w:t>
            </w:r>
            <w:r>
              <w:rPr>
                <w:sz w:val="21"/>
                <w:color w:val="000000"/>
              </w:rPr>
              <w:t>有关部门考核：容桂街道综合行政执法队结合环境卫生监管进行除四害项目监督，对中标人为垃圾中转站、垃圾屋、主干路下水道放药、喷洒等工作进行签名确认。发现问题及时向中标人提出改进意见，并报告街道</w:t>
            </w:r>
            <w:r>
              <w:rPr>
                <w:sz w:val="21"/>
                <w:color w:val="000000"/>
              </w:rPr>
              <w:t>卫生健康办公室</w:t>
            </w:r>
            <w:r>
              <w:rPr>
                <w:sz w:val="21"/>
                <w:color w:val="000000"/>
              </w:rPr>
              <w:t>备案。容桂街道综合行政执法队和</w:t>
            </w:r>
            <w:r>
              <w:rPr>
                <w:sz w:val="21"/>
                <w:color w:val="000000"/>
              </w:rPr>
              <w:t>卫生健康办公室</w:t>
            </w:r>
            <w:r>
              <w:rPr>
                <w:sz w:val="21"/>
                <w:color w:val="000000"/>
              </w:rPr>
              <w:t>结合平时卫生检查进行考核。</w:t>
            </w:r>
          </w:p>
          <w:p>
            <w:pPr>
              <w:pStyle w:val="null3"/>
              <w:ind w:firstLine="400"/>
              <w:jc w:val="both"/>
            </w:pPr>
            <w:r>
              <w:rPr>
                <w:sz w:val="21"/>
                <w:color w:val="000000"/>
              </w:rPr>
              <w:t>1.</w:t>
            </w:r>
            <w:r>
              <w:rPr>
                <w:sz w:val="21"/>
                <w:color w:val="000000"/>
              </w:rPr>
              <w:t>3</w:t>
            </w:r>
            <w:r>
              <w:rPr>
                <w:sz w:val="21"/>
                <w:color w:val="000000"/>
              </w:rPr>
              <w:t>社会监督：（</w:t>
            </w:r>
            <w:r>
              <w:rPr>
                <w:sz w:val="21"/>
                <w:color w:val="000000"/>
              </w:rPr>
              <w:t>1）群众评议：每季度由居（村）委会进行随机访问居民群众。（2）群众举报或投诉，每季度由街道</w:t>
            </w:r>
            <w:r>
              <w:rPr>
                <w:sz w:val="21"/>
                <w:color w:val="000000"/>
              </w:rPr>
              <w:t>卫生健康办公室</w:t>
            </w:r>
            <w:r>
              <w:rPr>
                <w:sz w:val="21"/>
                <w:color w:val="000000"/>
              </w:rPr>
              <w:t>收集和整理群众举报或投诉资料并计分。</w:t>
            </w:r>
          </w:p>
          <w:p>
            <w:pPr>
              <w:pStyle w:val="null3"/>
              <w:ind w:firstLine="400"/>
              <w:jc w:val="both"/>
            </w:pPr>
            <w:r>
              <w:rPr>
                <w:sz w:val="21"/>
                <w:color w:val="000000"/>
              </w:rPr>
              <w:t>2、评定办法</w:t>
            </w:r>
          </w:p>
          <w:p>
            <w:pPr>
              <w:pStyle w:val="null3"/>
              <w:ind w:firstLine="400"/>
              <w:jc w:val="both"/>
            </w:pPr>
            <w:r>
              <w:rPr>
                <w:sz w:val="21"/>
                <w:color w:val="000000"/>
              </w:rPr>
              <w:t>根据容桂街道综合行政执法队和</w:t>
            </w:r>
            <w:r>
              <w:rPr>
                <w:sz w:val="21"/>
                <w:color w:val="000000"/>
              </w:rPr>
              <w:t>卫生健康办公室</w:t>
            </w:r>
            <w:r>
              <w:rPr>
                <w:sz w:val="21"/>
                <w:color w:val="000000"/>
              </w:rPr>
              <w:t>评定、居（村）委会评定、群众评议四个方面的评议，把分别评出的四项分数作综合评定，得出除四害专业队的季度和年度评定分值。综合评定采用百分制。评定分值：容桂街道综合行政执法队评分占</w:t>
            </w:r>
            <w:r>
              <w:rPr>
                <w:sz w:val="21"/>
                <w:color w:val="000000"/>
              </w:rPr>
              <w:t>40分、</w:t>
            </w:r>
            <w:r>
              <w:rPr>
                <w:sz w:val="21"/>
                <w:color w:val="000000"/>
              </w:rPr>
              <w:t>卫生健康办公室</w:t>
            </w:r>
            <w:r>
              <w:rPr>
                <w:sz w:val="21"/>
                <w:color w:val="000000"/>
              </w:rPr>
              <w:t>评定占</w:t>
            </w:r>
            <w:r>
              <w:rPr>
                <w:sz w:val="21"/>
                <w:color w:val="000000"/>
              </w:rPr>
              <w:t>20分，居（村）委会评定占20分、社会监督（群众评议）占20分。群众举报或投诉属实，在总分直接扣除，每宗1分。</w:t>
            </w:r>
          </w:p>
          <w:p>
            <w:pPr>
              <w:pStyle w:val="null3"/>
              <w:ind w:firstLine="400"/>
              <w:jc w:val="both"/>
            </w:pPr>
            <w:r>
              <w:rPr>
                <w:sz w:val="21"/>
                <w:color w:val="000000"/>
              </w:rPr>
              <w:t>2.</w:t>
            </w:r>
            <w:r>
              <w:rPr>
                <w:sz w:val="21"/>
                <w:color w:val="000000"/>
              </w:rPr>
              <w:t>1</w:t>
            </w:r>
            <w:r>
              <w:rPr>
                <w:sz w:val="21"/>
                <w:color w:val="000000"/>
              </w:rPr>
              <w:t>居（村）委会评定：由居（村）委会根据日常管理和施工情况作综合评定。</w:t>
            </w:r>
          </w:p>
          <w:p>
            <w:pPr>
              <w:pStyle w:val="null3"/>
              <w:ind w:firstLine="400"/>
              <w:jc w:val="both"/>
            </w:pPr>
            <w:r>
              <w:rPr>
                <w:sz w:val="21"/>
                <w:color w:val="000000"/>
              </w:rPr>
              <w:t>2.</w:t>
            </w:r>
            <w:r>
              <w:rPr>
                <w:sz w:val="21"/>
                <w:color w:val="000000"/>
              </w:rPr>
              <w:t>2</w:t>
            </w:r>
            <w:r>
              <w:rPr>
                <w:sz w:val="21"/>
                <w:color w:val="000000"/>
              </w:rPr>
              <w:t>容桂街道综合行政执法队和</w:t>
            </w:r>
            <w:r>
              <w:rPr>
                <w:sz w:val="21"/>
                <w:color w:val="000000"/>
              </w:rPr>
              <w:t>卫生健康办公室</w:t>
            </w:r>
            <w:r>
              <w:rPr>
                <w:sz w:val="21"/>
                <w:color w:val="000000"/>
              </w:rPr>
              <w:t>评定：由有关部门根据日常监督作综合评定。</w:t>
            </w:r>
          </w:p>
          <w:p>
            <w:pPr>
              <w:pStyle w:val="null3"/>
              <w:ind w:firstLine="400"/>
              <w:jc w:val="both"/>
            </w:pPr>
            <w:r>
              <w:rPr>
                <w:sz w:val="21"/>
                <w:color w:val="000000"/>
              </w:rPr>
              <w:t>2.</w:t>
            </w:r>
            <w:r>
              <w:rPr>
                <w:sz w:val="21"/>
                <w:color w:val="000000"/>
              </w:rPr>
              <w:t>3</w:t>
            </w:r>
            <w:r>
              <w:rPr>
                <w:sz w:val="21"/>
                <w:color w:val="000000"/>
              </w:rPr>
              <w:t>群众评价：由居（村）委会季度考核时进行群众满意度测评，按</w:t>
            </w:r>
            <w:r>
              <w:rPr>
                <w:sz w:val="21"/>
                <w:color w:val="000000"/>
              </w:rPr>
              <w:t>10分评定。其中操作规程2分；防治效果7分；检测资料1分。</w:t>
            </w:r>
          </w:p>
          <w:p>
            <w:pPr>
              <w:pStyle w:val="null3"/>
              <w:ind w:firstLine="400"/>
              <w:jc w:val="both"/>
            </w:pPr>
            <w:r>
              <w:rPr>
                <w:sz w:val="21"/>
                <w:color w:val="000000"/>
              </w:rPr>
              <w:t>2.</w:t>
            </w:r>
            <w:r>
              <w:rPr>
                <w:sz w:val="21"/>
                <w:color w:val="000000"/>
              </w:rPr>
              <w:t>4</w:t>
            </w:r>
            <w:r>
              <w:rPr>
                <w:sz w:val="21"/>
                <w:color w:val="000000"/>
              </w:rPr>
              <w:t>社会监督（群众举报或投诉）：以各居村为单位，发生群众举报或投诉，经调查核实，中标人须立即进行跟踪处理，一宗投诉扣除</w:t>
            </w:r>
            <w:r>
              <w:rPr>
                <w:sz w:val="21"/>
                <w:color w:val="000000"/>
              </w:rPr>
              <w:t>1分。如果一个季度内同一地点发生两次群众举报或投诉，经调查情况属实的，扣除2分；当年同一地点群众举报或投诉，经调查情况属实的，超过两次后每增加一次，扣除2分。</w:t>
            </w:r>
          </w:p>
          <w:p>
            <w:pPr>
              <w:pStyle w:val="null3"/>
              <w:ind w:firstLine="400"/>
              <w:jc w:val="both"/>
            </w:pPr>
            <w:r>
              <w:rPr>
                <w:sz w:val="21"/>
                <w:color w:val="000000"/>
              </w:rPr>
              <w:t>3、年终评定</w:t>
            </w:r>
          </w:p>
          <w:p>
            <w:pPr>
              <w:pStyle w:val="null3"/>
              <w:ind w:firstLine="400"/>
              <w:jc w:val="both"/>
            </w:pPr>
            <w:r>
              <w:rPr>
                <w:sz w:val="21"/>
                <w:color w:val="000000"/>
              </w:rPr>
              <w:t>3.1</w:t>
            </w:r>
            <w:r>
              <w:rPr>
                <w:sz w:val="21"/>
                <w:color w:val="000000"/>
              </w:rPr>
              <w:t>根据四个季度考核结果，平均分达</w:t>
            </w:r>
            <w:r>
              <w:rPr>
                <w:sz w:val="21"/>
                <w:color w:val="000000"/>
              </w:rPr>
              <w:t>90分以上（含90分）为合格，采购人与中标人续签第二年的合同。</w:t>
            </w:r>
          </w:p>
          <w:p>
            <w:pPr>
              <w:pStyle w:val="null3"/>
              <w:ind w:firstLine="400"/>
              <w:jc w:val="both"/>
            </w:pPr>
            <w:r>
              <w:rPr>
                <w:sz w:val="21"/>
                <w:color w:val="000000"/>
              </w:rPr>
              <w:t>3.2</w:t>
            </w:r>
            <w:r>
              <w:rPr>
                <w:sz w:val="21"/>
                <w:color w:val="000000"/>
              </w:rPr>
              <w:t>根据四个季度考核结果，平均分</w:t>
            </w:r>
            <w:r>
              <w:rPr>
                <w:sz w:val="21"/>
                <w:color w:val="000000"/>
              </w:rPr>
              <w:t>＜</w:t>
            </w:r>
            <w:r>
              <w:rPr>
                <w:sz w:val="21"/>
                <w:color w:val="000000"/>
              </w:rPr>
              <w:t>90分</w:t>
            </w:r>
            <w:r>
              <w:rPr>
                <w:sz w:val="21"/>
                <w:color w:val="000000"/>
              </w:rPr>
              <w:t>的</w:t>
            </w:r>
            <w:r>
              <w:rPr>
                <w:sz w:val="21"/>
                <w:color w:val="000000"/>
              </w:rPr>
              <w:t>为不合格，合同终止，采购人不再与中标人续签第二年的合同。一切经济和法律责任由中标人承担。</w:t>
            </w:r>
          </w:p>
          <w:p>
            <w:pPr>
              <w:pStyle w:val="null3"/>
              <w:ind w:firstLine="400"/>
              <w:jc w:val="both"/>
            </w:pPr>
            <w:r>
              <w:rPr>
                <w:sz w:val="21"/>
                <w:color w:val="000000"/>
              </w:rPr>
              <w:t>4、质量制约</w:t>
            </w:r>
          </w:p>
          <w:p>
            <w:pPr>
              <w:pStyle w:val="null3"/>
              <w:ind w:firstLine="400"/>
              <w:jc w:val="both"/>
            </w:pPr>
            <w:r>
              <w:rPr>
                <w:sz w:val="21"/>
                <w:color w:val="000000"/>
              </w:rPr>
              <w:t>4.1季度和年度考核合格（发生扣罚和奖励情况除外）如数给付服务费用（以90分为合格基数）；考核不合格，每少1分扣罚季度服务费用2％。对服务质量差和操作规程不符合要求的，并出现其中2项超标的，每次扣罚服务费10000.00元；</w:t>
            </w:r>
            <w:r>
              <w:rPr>
                <w:sz w:val="21"/>
                <w:color w:val="000000"/>
              </w:rPr>
              <w:t>采购人</w:t>
            </w:r>
            <w:r>
              <w:rPr>
                <w:sz w:val="21"/>
                <w:color w:val="000000"/>
              </w:rPr>
              <w:t>提出整改意见，限期整改；逾期不整改，服务质量仍旧低劣，</w:t>
            </w:r>
            <w:r>
              <w:rPr>
                <w:sz w:val="21"/>
                <w:color w:val="000000"/>
              </w:rPr>
              <w:t>“三、服务标准”的四害中如有1项不符合标准的，没收其履约保证金，如有2项不符合标准或连续2次不合格的（不满90分），采购人有权无条件终止和解除服务合同、没收其履约保证金并取消该单位的服务资格。一切经济和法律责任由中标人承担。</w:t>
            </w:r>
          </w:p>
          <w:p>
            <w:pPr>
              <w:pStyle w:val="null3"/>
              <w:ind w:firstLine="400"/>
              <w:jc w:val="both"/>
            </w:pPr>
            <w:r>
              <w:rPr>
                <w:sz w:val="21"/>
                <w:color w:val="000000"/>
              </w:rPr>
              <w:t>4.2扣罚</w:t>
            </w:r>
          </w:p>
          <w:p>
            <w:pPr>
              <w:pStyle w:val="null3"/>
              <w:ind w:firstLine="400"/>
              <w:jc w:val="both"/>
            </w:pPr>
            <w:r>
              <w:rPr>
                <w:sz w:val="21"/>
                <w:color w:val="000000"/>
              </w:rPr>
              <w:t>（</w:t>
            </w:r>
            <w:r>
              <w:rPr>
                <w:sz w:val="21"/>
                <w:color w:val="000000"/>
              </w:rPr>
              <w:t>1）违反操作规程，严重影响工作质量，受到上级部门批评的，扣罚该季度服务费总额的5％；</w:t>
            </w:r>
          </w:p>
          <w:p>
            <w:pPr>
              <w:pStyle w:val="null3"/>
              <w:ind w:firstLine="400"/>
              <w:jc w:val="both"/>
            </w:pPr>
            <w:r>
              <w:rPr>
                <w:sz w:val="21"/>
                <w:color w:val="000000"/>
              </w:rPr>
              <w:t>（</w:t>
            </w:r>
            <w:r>
              <w:rPr>
                <w:sz w:val="21"/>
                <w:color w:val="000000"/>
              </w:rPr>
              <w:t>2）不按规定用药，或施药弄虚作假，施药不足者，扣罚该季度服务费总额的7％；</w:t>
            </w:r>
          </w:p>
          <w:p>
            <w:pPr>
              <w:pStyle w:val="null3"/>
              <w:ind w:firstLine="400"/>
              <w:jc w:val="both"/>
            </w:pPr>
            <w:r>
              <w:rPr>
                <w:sz w:val="21"/>
                <w:color w:val="000000"/>
              </w:rPr>
              <w:t>（</w:t>
            </w:r>
            <w:r>
              <w:rPr>
                <w:sz w:val="21"/>
                <w:color w:val="000000"/>
              </w:rPr>
              <w:t>3）中标人有责任配合采购人接受上级领导部门的监督、检查，并提供必须的材料。遇有上级检查及大型活动等需要突击加班的，必须无条件服从安排，在接到通知后2小时内人员必须按要求带全装备到场开展工作，否则每次扣罚当季服务费的2%，突击任务所产生的费用由中标人负责（含卫生防疫）；突发任务未能按时按质完成，对采购人形象造成负面影响的，每次扣罚当季服务费的5%。</w:t>
            </w:r>
          </w:p>
          <w:p>
            <w:pPr>
              <w:pStyle w:val="null3"/>
              <w:ind w:firstLine="400"/>
              <w:jc w:val="both"/>
            </w:pPr>
            <w:r>
              <w:rPr>
                <w:sz w:val="21"/>
                <w:color w:val="000000"/>
              </w:rPr>
              <w:t>（</w:t>
            </w:r>
            <w:r>
              <w:rPr>
                <w:sz w:val="21"/>
                <w:color w:val="000000"/>
              </w:rPr>
              <w:t>4）在合同履行服务过程中，采购人不定期对中标人的服务人数、资格证、药品登记证及机械设备数量抽查，发现缺人、缺证、缺设备的，每次罚款3000元/人/证/机。累计2次抽查不合格一次罚款20000元，采购人有权无条件终止和解除服务合同，没收履约保证金并取消该单位的服务资格，一切经济和法律责任由中标人承担。</w:t>
            </w:r>
          </w:p>
          <w:p>
            <w:pPr>
              <w:pStyle w:val="null3"/>
              <w:ind w:firstLine="400"/>
              <w:jc w:val="both"/>
            </w:pPr>
            <w:r>
              <w:rPr>
                <w:sz w:val="21"/>
                <w:color w:val="000000"/>
              </w:rPr>
              <w:t>（</w:t>
            </w:r>
            <w:r>
              <w:rPr>
                <w:sz w:val="21"/>
                <w:color w:val="000000"/>
              </w:rPr>
              <w:t>5）中标人需每季度向采购人提供药品采购发票等材料，若检查中发现每季度的采购药品数量不够或型号不一致的，在季度服务费中扣减采购不足的金额。</w:t>
            </w:r>
          </w:p>
          <w:p>
            <w:pPr>
              <w:pStyle w:val="null3"/>
              <w:ind w:firstLine="400"/>
              <w:jc w:val="both"/>
            </w:pPr>
            <w:r>
              <w:rPr>
                <w:sz w:val="21"/>
                <w:color w:val="000000"/>
              </w:rPr>
              <w:t>5、其他要求及注意事项</w:t>
            </w:r>
          </w:p>
          <w:p>
            <w:pPr>
              <w:pStyle w:val="null3"/>
              <w:ind w:firstLine="400"/>
              <w:jc w:val="both"/>
            </w:pPr>
            <w:r>
              <w:rPr>
                <w:sz w:val="21"/>
                <w:color w:val="000000"/>
              </w:rPr>
              <w:t>5.1中标人针对项目实施必须配置与投标要求相应的工员和设备，中标人在最低配置要求的基础上，应加强、加大人力和设备的投入，有效确保除四害工作达到良好效果。</w:t>
            </w:r>
          </w:p>
          <w:p>
            <w:pPr>
              <w:pStyle w:val="null3"/>
              <w:ind w:firstLine="400"/>
              <w:jc w:val="both"/>
            </w:pPr>
            <w:r>
              <w:rPr>
                <w:sz w:val="21"/>
                <w:color w:val="000000"/>
              </w:rPr>
              <w:t>5.2若标段辖区有发现死鼠或居民打死老鼠，中标人必须上门义务处理死鼠。</w:t>
            </w:r>
          </w:p>
          <w:p>
            <w:pPr>
              <w:pStyle w:val="null3"/>
              <w:ind w:firstLine="400"/>
              <w:jc w:val="both"/>
            </w:pPr>
            <w:r>
              <w:rPr>
                <w:sz w:val="21"/>
                <w:color w:val="000000"/>
              </w:rPr>
              <w:t>5.3标段辖区每居委必须布放诱蚊产卵器60个，每月监测一次，记录在案上报数据。</w:t>
            </w:r>
          </w:p>
          <w:p>
            <w:pPr>
              <w:pStyle w:val="null3"/>
              <w:ind w:firstLine="400"/>
              <w:jc w:val="both"/>
            </w:pPr>
            <w:r>
              <w:rPr>
                <w:sz w:val="21"/>
                <w:color w:val="000000"/>
              </w:rPr>
              <w:t>5.4防治药品及相关器械的使用按国家有关部门指定的最新标准执行。</w:t>
            </w:r>
          </w:p>
          <w:p>
            <w:pPr>
              <w:pStyle w:val="null3"/>
              <w:ind w:firstLine="400"/>
              <w:jc w:val="both"/>
            </w:pPr>
            <w:r>
              <w:rPr>
                <w:sz w:val="21"/>
                <w:color w:val="000000"/>
              </w:rPr>
              <w:t>5.5中标人对聘用员工必须严格管理，对他们的行为负全责，如在服务期内发生劳资纠纷、意外（生病、伤亡事故）或违反合同规定、触犯国家法律等，由中标人承担全部责任及因事故产生的一切费用。</w:t>
            </w:r>
          </w:p>
          <w:p>
            <w:pPr>
              <w:pStyle w:val="null3"/>
              <w:ind w:firstLine="400"/>
              <w:jc w:val="both"/>
            </w:pPr>
            <w:r>
              <w:rPr>
                <w:sz w:val="21"/>
                <w:color w:val="000000"/>
              </w:rPr>
              <w:t>5.6为了保障员工人身安全及意外的福利保险，中标人必须依法用工与作业人员签订劳动合同，按顺德区社会劳动保险的有关规定为员工购买社会保险，按时发放工资补贴。人员工资不得低于顺德区最低工资标准。（在每季度5号前将上季度各员工的银行工资转账及社保部门的原始单据交采购人审核）。</w:t>
            </w:r>
          </w:p>
          <w:p>
            <w:pPr>
              <w:pStyle w:val="null3"/>
              <w:ind w:firstLine="400"/>
              <w:jc w:val="both"/>
            </w:pPr>
            <w:r>
              <w:rPr>
                <w:sz w:val="21"/>
                <w:color w:val="000000"/>
              </w:rPr>
              <w:t>5.7中标人为服务人员配备相应的防护用品。</w:t>
            </w:r>
          </w:p>
          <w:p>
            <w:pPr>
              <w:pStyle w:val="null3"/>
              <w:ind w:firstLine="400"/>
              <w:jc w:val="both"/>
            </w:pPr>
            <w:r>
              <w:rPr>
                <w:sz w:val="21"/>
                <w:color w:val="000000"/>
              </w:rPr>
              <w:t>5.8中标人应做好服务人员档案管理资料；做好工作记录，建立施药服务卡，做好资料收集，整理归档。如采购人有需要必须随时提供。</w:t>
            </w:r>
          </w:p>
          <w:p>
            <w:pPr>
              <w:pStyle w:val="null3"/>
              <w:ind w:firstLine="400"/>
              <w:jc w:val="both"/>
            </w:pPr>
            <w:r>
              <w:rPr>
                <w:sz w:val="21"/>
                <w:color w:val="000000"/>
              </w:rPr>
              <w:t>5.9按采购人要求做好各种规范的除“四害”监测纪录，制定科学的年度、季度除“四害”工作计划，包括技术方案、工作方法、用药计划等。每季度15号前将上季度的实施质量和工作情况向采购人作书面报告。</w:t>
            </w:r>
          </w:p>
          <w:p>
            <w:pPr>
              <w:pStyle w:val="null3"/>
              <w:ind w:firstLine="400"/>
              <w:jc w:val="both"/>
            </w:pPr>
            <w:r>
              <w:rPr>
                <w:sz w:val="21"/>
                <w:color w:val="000000"/>
              </w:rPr>
              <w:t>5.10科学用药，不得使用国家禁用或伪劣的灭鼠、杀虫剂，并需安全操作，不污染环境，确保人、畜安全，若因管理操作引起的一切责任由中标人负责。</w:t>
            </w:r>
          </w:p>
          <w:p>
            <w:pPr>
              <w:pStyle w:val="null3"/>
              <w:ind w:firstLine="400"/>
              <w:jc w:val="both"/>
            </w:pPr>
            <w:r>
              <w:rPr>
                <w:sz w:val="21"/>
                <w:color w:val="000000"/>
              </w:rPr>
              <w:t>5.11在服务期内，采购人没有增加服务内容、项目，而中标人自行增加工作人员的，所增加的费用由中标人负责。</w:t>
            </w:r>
          </w:p>
          <w:p>
            <w:pPr>
              <w:pStyle w:val="null3"/>
              <w:ind w:firstLine="400"/>
              <w:jc w:val="both"/>
            </w:pPr>
            <w:r>
              <w:rPr>
                <w:sz w:val="21"/>
                <w:color w:val="000000"/>
              </w:rPr>
              <w:t>5.12每年4-11月在除四害高发季节，中标人须无条件配合政府有关部门做好宣传和指导，并对有需要的市民提供优质服务。</w:t>
            </w:r>
          </w:p>
          <w:p>
            <w:pPr>
              <w:pStyle w:val="null3"/>
              <w:ind w:firstLine="400"/>
              <w:jc w:val="both"/>
            </w:pPr>
            <w:r>
              <w:rPr>
                <w:sz w:val="21"/>
                <w:color w:val="000000"/>
              </w:rPr>
              <w:t>5.13中标人除设立足够的作业人员外，还要指派1名能代表中标人履行管理及在检查考评中能承担责任的人员配合采购人、居（村）及监督员的检查考评，以方便日常检查及监督。中标人指派代表应确保手机通信畅通。</w:t>
            </w:r>
          </w:p>
          <w:p>
            <w:pPr>
              <w:pStyle w:val="null3"/>
              <w:ind w:firstLine="400"/>
              <w:jc w:val="both"/>
            </w:pPr>
            <w:r>
              <w:rPr>
                <w:sz w:val="21"/>
                <w:color w:val="000000"/>
              </w:rPr>
              <w:t>5.14中标人无条件配合政府及有关部门举办的一切活动，协助政府及有相部门处理因“四害”引发的应急事件。</w:t>
            </w:r>
          </w:p>
          <w:p>
            <w:pPr>
              <w:pStyle w:val="null3"/>
              <w:ind w:firstLine="400"/>
              <w:jc w:val="both"/>
            </w:pPr>
            <w:r>
              <w:rPr>
                <w:sz w:val="21"/>
                <w:color w:val="000000"/>
              </w:rPr>
              <w:t>5.15及时向采购人及相关部门反映异常情况。</w:t>
            </w:r>
          </w:p>
          <w:p>
            <w:pPr>
              <w:pStyle w:val="null3"/>
            </w:pPr>
            <w:r>
              <w:rPr>
                <w:sz w:val="21"/>
                <w:color w:val="000000"/>
              </w:rPr>
              <w:t>5.16中标人应在合同签订后购买公共责任险。</w:t>
            </w:r>
          </w:p>
        </w:tc>
      </w:tr>
      <w:tr>
        <w:tc>
          <w:tcPr>
            <w:tcW w:type="dxa" w:w="2076"/>
          </w:tcPr>
          <w:p/>
        </w:tc>
        <w:tc>
          <w:tcPr>
            <w:tcW w:type="dxa" w:w="415"/>
          </w:tcPr>
          <w:p>
            <w:pPr>
              <w:pStyle w:val="null3"/>
            </w:pPr>
            <w:r>
              <w:rPr/>
              <w:t>5</w:t>
            </w:r>
          </w:p>
        </w:tc>
        <w:tc>
          <w:tcPr>
            <w:tcW w:type="dxa" w:w="5814"/>
          </w:tcPr>
          <w:p>
            <w:pPr>
              <w:pStyle w:val="null3"/>
            </w:pPr>
            <w:r>
              <w:rPr>
                <w:sz w:val="21"/>
                <w:b/>
                <w:color w:val="000000"/>
              </w:rPr>
              <w:t>五、其他要求</w:t>
            </w:r>
          </w:p>
          <w:p>
            <w:pPr>
              <w:pStyle w:val="null3"/>
              <w:jc w:val="both"/>
            </w:pPr>
            <w:r>
              <w:rPr>
                <w:sz w:val="21"/>
                <w:color w:val="000000"/>
              </w:rPr>
              <w:t>1、根据省、市、区抗药性监测数据，使用推荐产品。</w:t>
            </w:r>
          </w:p>
          <w:p>
            <w:pPr>
              <w:pStyle w:val="null3"/>
              <w:jc w:val="both"/>
            </w:pPr>
            <w:r>
              <w:rPr>
                <w:sz w:val="21"/>
                <w:color w:val="000000"/>
              </w:rPr>
              <w:t>2、药物必须提供具备“三证”（农药登记证、农药生产许可证、企业标准证）并可追索来源，“四害”中每项必须不少于4种不同厂家的药品轮换使用，降低耐药性。</w:t>
            </w:r>
          </w:p>
          <w:p>
            <w:pPr>
              <w:pStyle w:val="null3"/>
              <w:jc w:val="both"/>
            </w:pPr>
            <w:r>
              <w:rPr>
                <w:sz w:val="21"/>
                <w:color w:val="000000"/>
              </w:rPr>
              <w:t>3、安全操作，灭鼠药物须妥善保管，不得遗失，灭鼠毒饵靠边和隐蔽处投放；不污染环境，确保人、畜安全，若因管理或操作不当而引起的一切责任由中标人承担。</w:t>
            </w:r>
          </w:p>
          <w:p>
            <w:pPr>
              <w:pStyle w:val="null3"/>
            </w:pPr>
            <w:r>
              <w:rPr>
                <w:sz w:val="21"/>
                <w:color w:val="000000"/>
              </w:rPr>
              <w:t>4、现场要求：中标人须在现场设有仓库，用于存放药物及服务用品，并配备仓库管理员进行仓库管理及做好安全管理措施。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采购包2（容桂街道2026-2027年度除四害采购服务项目B标段）</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2年，自2026年4月1日到2028年3月31日（具体以实际签订时间为准）。合同一年一签，采购人有权根据考核情况决定是否与中标人续签第二年合同。</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季度（三个月，下同）支付，采购人根据每季度的服务质量检查考评结果，减去该季度的罚款计算（若有）。每季度支付金额=（中标金额÷2年÷4季度）-该季度的罚款（若有，金额按四舍五入原则精确到分）。该季度的服务费用于考评后15个工作日内向中标人支付。服务期不足一个月的月份则按实际服务天数按实结算，每天服务费=每季度支付金额÷3个月÷当月总天数。 （2）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 （3）付款期间如因特殊情况需调整，由双方协商处理。 （4）合同款项的支付方式：转账结算（银行转账） （5）付款方：采购人；收款方：中标人。 （6）开具发票：中标人收款时必须持有效发票。收款方、出具发票方、合同乙方均必须与中标人名称一致。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1期：根据招标文件要求和中标人的投标承诺及行业标准、国家标准验收，以及详见采购项目技术要求中的“四、监督考评办法”。</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账号：10618800150454</w:t>
            </w:r>
          </w:p>
          <w:p>
            <w:pPr>
              <w:pStyle w:val="null3"/>
            </w:pPr>
            <w:r>
              <w:rPr/>
              <w:t>户名：佛山市顺德区容桂街道综合行政执法队</w:t>
            </w:r>
          </w:p>
          <w:p>
            <w:pPr>
              <w:pStyle w:val="null3"/>
            </w:pPr>
            <w:r>
              <w:rPr/>
              <w:t>开户行：广东顺德农村商业银行股份有限 公司容桂支行</w:t>
            </w:r>
          </w:p>
          <w:p>
            <w:pPr>
              <w:pStyle w:val="null3"/>
            </w:pPr>
            <w:r>
              <w:rPr/>
              <w:t>支票提交方式：当面递交</w:t>
            </w:r>
          </w:p>
          <w:p>
            <w:pPr>
              <w:pStyle w:val="null3"/>
            </w:pPr>
            <w:r>
              <w:rPr/>
              <w:t>汇票、本票提交方式：直接交付</w:t>
            </w:r>
          </w:p>
          <w:p>
            <w:pPr>
              <w:pStyle w:val="null3"/>
            </w:pPr>
            <w:r>
              <w:rPr/>
              <w:t>说明：1.中标人必须在中标通知书发出之日起7个工作日内，须通过转账、银行保函、支票、汇票、本票等形式向采购人提交本项目中标金额的5%作为履约保证金，否则将视为中标人放弃中标，采购人有权对本项目重新进行招标。 2.采购人鼓励中标人使用保函形式提交履约保证金。【1.采用银行保函时，出具履约担保的银行级别：国有商业银行或股份制商业银行。2.银行保函须为见索即付、不可撤销的保函，并须由中国境内注册的银行出具的银行保函，且必须包含以下内容： （1）采购人名称、项目名称、中标人名称、担保金额、担保期限； （2）保证方式为连带责任保证； （3）在采购人向银行提出索赔时，银行将不要求采购人先向中标人提出索赔或要求采购人提供其他任何证明材料； （4）如在履约担保期限内，中标人自行终止合同或违反合同有关规定被采购人终止合同的，则履约担保金归采购人所有； （5）因本保函发生的纠纷，由采购人和中标人协商解决，协商不成的，任意一方均有权将争议提交项目所在地有管辖权的人民法院诉讼解决； （6）中标人在提供履约担保时所发生的一切费用由中标人承担。】 注：保函有效期应覆盖项目服务期后30天失效。 3.在合同期满后，在中标人完成合同相关要求、没有出现任何违约或因任何原因单方中止履行合同义务时，且中标人必须做好下列工作并经采购人书面同意后，则采购人在15个工作日内将履约保证金（银行保函、支票、汇票、本票等）无息退回中标人； （1）在中标人按要求核发最后一个月工人工资后15个工作日内，以书面形式正式通知采购人； （2）已妥善处理本项目的债权债务（工资、税费、社保及其他欠款等）； （3）必须做好过渡期各项工作，顺利交接。 4.如在合同期内，中标人自行终止合同或违反合同有关规定被采购人终止或解除合同的，采购人将不予退还履约保证金。5.</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报价要求，（1）采购项目预算：本项目B标段采购项目两年服务期总预算金额： 1642838.44 元，报价若超过项目采购项目预算金额，其报价将视为无效。 （2）投标报价为全包价，包括除“四害”服务项目及与此相关的人工费、管理费用、相关用具及药物的使用费用、设备折旧费及各项税费等一切与完成本项目相关费用及合同实施过程中应预见和不可预见费用等。采购人不再另外支付任何费用。所有价格均应以人民币报价。 （3）供应商须考虑本项目在实施期间的一切可能产生的费用。 （4）报价合理性：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响应）处理。若评标委员会成员对是否须由投标人作出报价合理性说明，以及书面说明是否采纳等判断不一致的，按照“少数服从多数”的原则确定评标委员会的意见。</w:t>
            </w:r>
          </w:p>
          <w:p>
            <w:pPr>
              <w:pStyle w:val="null3"/>
            </w:pPr>
            <w:r>
              <w:rPr/>
              <w:t>响应服务，1.服务时间内，中标人须提供常设每周7天×24小时服务专线技术支持。 2.对采购人的服务通知，中标人必须符合以下要求：一般事项24小时内处理完毕,另有具体约定时间的按照约定时间执行。</w:t>
            </w:r>
          </w:p>
          <w:p>
            <w:pPr>
              <w:pStyle w:val="null3"/>
            </w:pPr>
            <w:r>
              <w:rPr/>
              <w:t>违约责任，1.中标人未按要求履行合同义务时，须从违约之日起每日按合同总额的3‰比例向采购人支付违约金；逾期15日以上时，采购人有权解除合同，没收履约保证金并要求中标人承担合同总额30%的违约金，由此造成采购人的经济损失由中标人承担。违约金不足以弥补损失的，中标人应按全额赔偿。 2.若中标人将本项目全部或部分转委托给任何第三方的，采购人有权解除合同，没收履约保证金并要求中标人承担合同总额30%的违约金，由此造成采购人的经济损失由中标人承担。违约金不足以弥补损失的，中标人应按全额赔偿。 3.在中标人无不履行或不适当履行其义务的情况下，采购人逾期支付合同款项，并经中标人书面催告后无正当理由后仍不在合理期限内支付的，每拖延一天应按应付未付金额的万分之一标准向中标人支付违约金。 4.若因中标人违约导致采购人因此主张权利所支出的费用（包括但不限于诉讼费、财产保全费、财产保全担保费、评估鉴定费、律师费等）均由中标人承担。</w:t>
            </w:r>
          </w:p>
          <w:p>
            <w:pPr>
              <w:pStyle w:val="null3"/>
            </w:pPr>
            <w:r>
              <w:rPr/>
              <w:t>分包要求，本项目不允许分包。</w:t>
            </w:r>
          </w:p>
          <w:p>
            <w:pPr>
              <w:pStyle w:val="null3"/>
            </w:pPr>
            <w:r>
              <w:rPr/>
              <w:t>退出机制，中标人出现有下列任何一种情况的，采购人有权解除合同，已收取的投标人的“履约保证金”不予返还，并要求中标人承担合同总额30%的违约金，同时列入失信企业名单： （1）中标人主动放弃本项目服务资格； （2）合同正式履行后一个月内人员、设备未满足合同要求的； （3）中标人有纵容、煽动工人怠工、罢工、上访等过激行为超8人以上的，或因中标人无视工人权益引发或导致工人有怠工、罢工、上访等过激行为超8人以上的； （4）采购人对中标人一年内发出三次或以上书面严重警告的。 （5）一年内累计发现3次以上发现配置的服务人员少于要求数量3%。 （6）合同履行期间，违反劳动管理方面的法律、法规、规章及其他一般规范性文件的规定引起8人以上（含8人）群体上访事件或8人以上（含8人）（一宗案件内）劳资纠纷案件败诉或8人以上（含8人）歇工事件的。 （7）未按时足额发放服务人员工资（含加班工资）的人数达8人以上（含8人）的； （8）佛山市最低工资标准发生变化时，中标人拒绝根据有关规定予以相应调整的； （9）弄虚作假（包括但不限于投标时提供虚假材料）及其他不正当行为； （10）违反法律、法规、规章或其他相关规范性文件的规定，影响本项目履行的。 （11）招标文件及本合同书规定的其他终止合同的事由； （12）法律、法规、规章和其他规范性文件规定的终止合同的事由； （13）在实施过程中因处理不当造成重大损失，引发社会恶劣影响的； （14）将本项目转包或违法分包或交由个人承包的； （15）不服从管理，拒绝或不配合采购人安排的工作任务及协助处理应急事件； （16）招标文件中要求其他触发退出机制或解除合同情形。</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容桂街道2026-2027年度除四害采购服务项目B标段</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1,642,838.44</w:t>
            </w:r>
          </w:p>
        </w:tc>
        <w:tc>
          <w:tcPr>
            <w:tcW w:type="dxa" w:w="933"/>
          </w:tcPr>
          <w:p>
            <w:pPr>
              <w:pStyle w:val="null3"/>
              <w:jc w:val="right"/>
            </w:pPr>
            <w:r>
              <w:rPr/>
              <w:t>1,642,838.44</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容桂街道2026-2027年度除四害采购服务项目B标段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一、基本配置要求</w:t>
            </w:r>
          </w:p>
          <w:p>
            <w:pPr>
              <w:pStyle w:val="null3"/>
              <w:ind w:firstLine="402"/>
              <w:jc w:val="both"/>
            </w:pPr>
            <w:r>
              <w:rPr>
                <w:sz w:val="21"/>
                <w:b/>
                <w:color w:val="000000"/>
              </w:rPr>
              <w:t>1、人员配置要求</w:t>
            </w:r>
          </w:p>
          <w:p>
            <w:pPr>
              <w:pStyle w:val="null3"/>
              <w:ind w:firstLine="402"/>
              <w:jc w:val="both"/>
            </w:pPr>
            <w:r>
              <w:rPr>
                <w:sz w:val="21"/>
                <w:b/>
                <w:color w:val="000000"/>
              </w:rPr>
              <w:t>投入本项目的人员不得低于以下要求：</w:t>
            </w:r>
          </w:p>
          <w:tbl>
            <w:tblPr>
              <w:tblInd w:type="dxa" w:w="120"/>
              <w:tblBorders>
                <w:top w:val="none" w:color="000000" w:sz="4"/>
                <w:left w:val="none" w:color="000000" w:sz="4"/>
                <w:bottom w:val="none" w:color="000000" w:sz="4"/>
                <w:right w:val="none" w:color="000000" w:sz="4"/>
                <w:insideH w:val="none"/>
                <w:insideV w:val="none"/>
              </w:tblBorders>
            </w:tblPr>
            <w:tblGrid>
              <w:gridCol w:w="1071"/>
              <w:gridCol w:w="3335"/>
              <w:gridCol w:w="1192"/>
            </w:tblGrid>
            <w:tr>
              <w:tc>
                <w:tcPr>
                  <w:tcW w:type="dxa" w:w="10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人员类别</w:t>
                  </w:r>
                </w:p>
              </w:tc>
              <w:tc>
                <w:tcPr>
                  <w:tcW w:type="dxa" w:w="3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具体要求</w:t>
                  </w:r>
                </w:p>
              </w:tc>
              <w:tc>
                <w:tcPr>
                  <w:tcW w:type="dxa" w:w="1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配置人数</w:t>
                  </w:r>
                </w:p>
              </w:tc>
            </w:tr>
            <w:tr>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管理人员</w:t>
                  </w:r>
                </w:p>
              </w:tc>
              <w:tc>
                <w:tcPr>
                  <w:tcW w:type="dxa" w:w="3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负责管理工作团队，并制定每次的除四害工作方案及分配工作，具有除四害工作管理经验。</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除四害专业人员</w:t>
                  </w:r>
                </w:p>
              </w:tc>
              <w:tc>
                <w:tcPr>
                  <w:tcW w:type="dxa" w:w="3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负责主要的除四害工作及技术指导，具有除四害工作经验，技术熟练，政治素质良好。</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r>
                    <w:rPr>
                      <w:sz w:val="21"/>
                      <w:color w:val="000000"/>
                    </w:rPr>
                    <w:t>人</w:t>
                  </w:r>
                </w:p>
              </w:tc>
            </w:tr>
          </w:tbl>
          <w:p>
            <w:pPr>
              <w:pStyle w:val="null3"/>
              <w:jc w:val="both"/>
            </w:pPr>
            <w:r>
              <w:rPr/>
              <w:t xml:space="preserve"> </w:t>
            </w:r>
          </w:p>
          <w:p>
            <w:pPr>
              <w:pStyle w:val="null3"/>
              <w:jc w:val="both"/>
            </w:pPr>
            <w:r>
              <w:rPr/>
              <w:t xml:space="preserve"> </w:t>
            </w:r>
          </w:p>
          <w:p>
            <w:pPr>
              <w:pStyle w:val="null3"/>
              <w:jc w:val="both"/>
            </w:pPr>
            <w:r>
              <w:rPr>
                <w:b/>
              </w:rPr>
              <w:t xml:space="preserve"> </w:t>
            </w:r>
            <w:r>
              <w:rPr>
                <w:sz w:val="21"/>
                <w:color w:val="000000"/>
              </w:rPr>
              <w:t>注：（</w:t>
            </w:r>
            <w:r>
              <w:rPr>
                <w:sz w:val="21"/>
                <w:color w:val="000000"/>
              </w:rPr>
              <w:t>1）在同一标段内，同一人员不得同时从事上述不同岗位的工作；（2）如获中标，投标文件中拟投入的人员不得随意更换，如需更换，更换的人员资质不得低于招标文件要求，且必须经得采购人同意后方可更换，并及时提供更换人员的资料给采购人备案。</w:t>
            </w:r>
          </w:p>
          <w:p>
            <w:pPr>
              <w:pStyle w:val="null3"/>
              <w:ind w:firstLine="402"/>
              <w:jc w:val="both"/>
            </w:pPr>
            <w:r>
              <w:rPr>
                <w:sz w:val="21"/>
                <w:b/>
                <w:color w:val="000000"/>
              </w:rPr>
              <w:t>2、设备配置要求</w:t>
            </w:r>
          </w:p>
          <w:p>
            <w:pPr>
              <w:pStyle w:val="null3"/>
              <w:jc w:val="both"/>
            </w:pPr>
            <w:r>
              <w:rPr>
                <w:sz w:val="21"/>
                <w:b/>
                <w:color w:val="000000"/>
              </w:rPr>
              <w:t>（</w:t>
            </w:r>
            <w:r>
              <w:rPr>
                <w:sz w:val="21"/>
                <w:b/>
                <w:color w:val="000000"/>
              </w:rPr>
              <w:t>1）中标人的自有设备基本配置数量及要求须达到下表要求：</w:t>
            </w:r>
          </w:p>
          <w:tbl>
            <w:tblPr>
              <w:tblInd w:type="dxa" w:w="240"/>
              <w:tblBorders>
                <w:top w:val="none" w:color="000000" w:sz="4"/>
                <w:left w:val="none" w:color="000000" w:sz="4"/>
                <w:bottom w:val="none" w:color="000000" w:sz="4"/>
                <w:right w:val="none" w:color="000000" w:sz="4"/>
                <w:insideH w:val="none"/>
                <w:insideV w:val="none"/>
              </w:tblBorders>
            </w:tblPr>
            <w:tblGrid>
              <w:gridCol w:w="484"/>
              <w:gridCol w:w="983"/>
              <w:gridCol w:w="3268"/>
              <w:gridCol w:w="862"/>
            </w:tblGrid>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3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技术参数要求</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配置数量</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热烟雾机</w:t>
                  </w:r>
                </w:p>
              </w:tc>
              <w:tc>
                <w:tcPr>
                  <w:tcW w:type="dxa" w:w="3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5微米。药液输出量：0-42L/小时。功率:11.6-22KW。药箱容量：5L或以上</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2台</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背负式蓄电池超低容量喷雾器</w:t>
                  </w:r>
                </w:p>
              </w:tc>
              <w:tc>
                <w:tcPr>
                  <w:tcW w:type="dxa" w:w="3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电机：直流无碳刷电机，</w:t>
                  </w:r>
                  <w:r>
                    <w:rPr>
                      <w:sz w:val="21"/>
                      <w:color w:val="000000"/>
                    </w:rPr>
                    <w:t>600W；24V。雾滴直径：10-30微米。药液输出量ml/min：0-330连续可调。药箱容量：5L。空机重量(KG)：10.2。整机外型尺寸：309mm×32mm×506mm。电池：配置2块锂电池。工作时间（连续工作时间：高速档：50-60分钟，低速档80-90分钟。</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4台</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背负式机动超低容量喷雾机</w:t>
                  </w:r>
                </w:p>
              </w:tc>
              <w:tc>
                <w:tcPr>
                  <w:tcW w:type="dxa" w:w="3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2-20微米。额定流量：1-3L/分钟。水平射程：＞8米。外型尺寸：400×470×495cm。 配套动力：2冲程冲程发动机。药箱容量：5L。整机重量：12KG。</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台</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电动喷雾</w:t>
                  </w:r>
                  <w:r>
                    <w:rPr>
                      <w:sz w:val="21"/>
                      <w:color w:val="000000"/>
                    </w:rPr>
                    <w:t>器</w:t>
                  </w:r>
                </w:p>
              </w:tc>
              <w:tc>
                <w:tcPr>
                  <w:tcW w:type="dxa" w:w="3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2-20微米。水平射程&gt;6米</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6台</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机动式喷雾机</w:t>
                  </w:r>
                </w:p>
              </w:tc>
              <w:tc>
                <w:tcPr>
                  <w:tcW w:type="dxa" w:w="3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50-100微米。水平射程&gt;8米</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2台</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车载式喷雾机</w:t>
                  </w:r>
                </w:p>
              </w:tc>
              <w:tc>
                <w:tcPr>
                  <w:tcW w:type="dxa" w:w="3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输出容量</w:t>
                  </w:r>
                  <w:r>
                    <w:rPr>
                      <w:sz w:val="21"/>
                      <w:color w:val="000000"/>
                    </w:rPr>
                    <w:t>50-100公升/小时，达距100米（受制于风速），雾滴80%&lt;40微米，声量80分贝以下。</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鼠屋</w:t>
                  </w:r>
                </w:p>
              </w:tc>
              <w:tc>
                <w:tcPr>
                  <w:tcW w:type="dxa" w:w="3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r>
                    <w:rPr>
                      <w:sz w:val="21"/>
                      <w:color w:val="000000"/>
                    </w:rPr>
                    <w:t>个</w:t>
                  </w:r>
                  <w:r>
                    <w:rPr>
                      <w:sz w:val="21"/>
                      <w:color w:val="000000"/>
                    </w:rPr>
                    <w:t>/年</w:t>
                  </w:r>
                </w:p>
              </w:tc>
            </w:tr>
          </w:tbl>
          <w:p>
            <w:pPr>
              <w:pStyle w:val="null3"/>
              <w:jc w:val="both"/>
            </w:pPr>
            <w:r>
              <w:rPr/>
              <w:t xml:space="preserve"> </w:t>
            </w:r>
          </w:p>
          <w:p>
            <w:pPr>
              <w:pStyle w:val="null3"/>
              <w:jc w:val="both"/>
            </w:pPr>
            <w:r>
              <w:rPr/>
              <w:t xml:space="preserve"> </w:t>
            </w:r>
          </w:p>
          <w:p>
            <w:pPr>
              <w:pStyle w:val="null3"/>
              <w:jc w:val="both"/>
            </w:pPr>
            <w:r>
              <w:rPr>
                <w:sz w:val="21"/>
                <w:b/>
                <w:color w:val="000000"/>
              </w:rPr>
              <w:t>3、投入药物最低用量要求：</w:t>
            </w:r>
          </w:p>
          <w:tbl>
            <w:tblPr>
              <w:tblInd w:type="dxa" w:w="240"/>
              <w:tblBorders>
                <w:top w:val="none" w:color="000000" w:sz="4"/>
                <w:left w:val="none" w:color="000000" w:sz="4"/>
                <w:bottom w:val="none" w:color="000000" w:sz="4"/>
                <w:right w:val="none" w:color="000000" w:sz="4"/>
                <w:insideH w:val="none"/>
                <w:insideV w:val="none"/>
              </w:tblBorders>
            </w:tblPr>
            <w:tblGrid>
              <w:gridCol w:w="905"/>
              <w:gridCol w:w="2610"/>
              <w:gridCol w:w="2082"/>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药物名称</w:t>
                  </w:r>
                </w:p>
              </w:tc>
              <w:tc>
                <w:tcPr>
                  <w:tcW w:type="dxa" w:w="2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每月数量（公斤）</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1"/>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高效氯氟氰菊酯</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1"/>
                      <w:color w:val="000000"/>
                    </w:rPr>
                    <w:t>2</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残杀威</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1"/>
                      <w:color w:val="000000"/>
                    </w:rPr>
                    <w:t>3</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鼠谷</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1"/>
                      <w:color w:val="000000"/>
                    </w:rPr>
                    <w:t>4</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倍硫磷</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1"/>
                      <w:color w:val="000000"/>
                    </w:rPr>
                    <w:t>5</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其他用药</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r>
          </w:tbl>
          <w:p>
            <w:pPr>
              <w:pStyle w:val="null3"/>
              <w:ind w:firstLine="402"/>
              <w:jc w:val="both"/>
            </w:pPr>
            <w:r>
              <w:rPr/>
              <w:t xml:space="preserve"> </w:t>
            </w:r>
          </w:p>
          <w:p>
            <w:pPr>
              <w:pStyle w:val="null3"/>
              <w:ind w:firstLine="402"/>
              <w:jc w:val="both"/>
            </w:pPr>
            <w:r>
              <w:rPr/>
              <w:t xml:space="preserve"> </w:t>
            </w:r>
          </w:p>
          <w:p>
            <w:pPr>
              <w:pStyle w:val="null3"/>
              <w:ind w:firstLine="402"/>
              <w:jc w:val="both"/>
            </w:pPr>
            <w:r>
              <w:rPr>
                <w:sz w:val="21"/>
                <w:b/>
                <w:color w:val="000000"/>
              </w:rPr>
              <w:t>4、</w:t>
            </w:r>
            <w:r>
              <w:rPr>
                <w:sz w:val="21"/>
                <w:b/>
                <w:color w:val="000000"/>
              </w:rPr>
              <w:t>日常作业标准</w:t>
            </w:r>
          </w:p>
          <w:tbl>
            <w:tblPr>
              <w:tblInd w:type="dxa" w:w="120"/>
              <w:tblBorders>
                <w:top w:val="none" w:color="000000" w:sz="4"/>
                <w:left w:val="none" w:color="000000" w:sz="4"/>
                <w:bottom w:val="none" w:color="000000" w:sz="4"/>
                <w:right w:val="none" w:color="000000" w:sz="4"/>
                <w:insideH w:val="none"/>
                <w:insideV w:val="none"/>
              </w:tblBorders>
            </w:tblPr>
            <w:tblGrid>
              <w:gridCol w:w="1036"/>
              <w:gridCol w:w="2985"/>
              <w:gridCol w:w="1561"/>
            </w:tblGrid>
            <w:tr>
              <w:tc>
                <w:tcPr>
                  <w:tcW w:type="dxa" w:w="1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服务项目</w:t>
                  </w:r>
                </w:p>
              </w:tc>
              <w:tc>
                <w:tcPr>
                  <w:tcW w:type="dxa" w:w="29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服务内容</w:t>
                  </w:r>
                </w:p>
              </w:tc>
              <w:tc>
                <w:tcPr>
                  <w:tcW w:type="dxa" w:w="1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服务要求</w:t>
                  </w:r>
                  <w:r>
                    <w:rPr>
                      <w:sz w:val="21"/>
                      <w:color w:val="000000"/>
                    </w:rPr>
                    <w:t xml:space="preserve">             </w:t>
                  </w:r>
                </w:p>
              </w:tc>
            </w:tr>
            <w:tr>
              <w:tc>
                <w:tcPr>
                  <w:tcW w:type="dxa" w:w="10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灭鼠</w:t>
                  </w: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1、公共环境和扩大覆盖面范围要每季饱和投放灭鼠药。</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2、公共环境每月检查鼠迹，发现鼠迹立即清理并及时按常规投放和补充毒饵。</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3、单位灭鼠：每月监测鼠情，按常规投药和补投药。主要重点单位如学校饭堂等每季度进行密度检测。</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4、居民区（不含封闭式物管小区）、学校及幼儿园（私人除外）、公共场所等每月入户询问鼠情1次。</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5、中标人在承包范围内的各村居委须按照标准要求，自行安装灭鼠屋不少于200个，并经甲方验收合格并统筹安装，合同期内如有损毁，须按要求进行补装。</w:t>
                  </w:r>
                </w:p>
              </w:tc>
              <w:tc>
                <w:tcPr>
                  <w:tcW w:type="dxa" w:w="1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平均每居（村）不少于</w:t>
                  </w:r>
                  <w:r>
                    <w:rPr>
                      <w:sz w:val="21"/>
                      <w:color w:val="000000"/>
                    </w:rPr>
                    <w:t>200个</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6、每季度按国家考核标准对鼠密度进行监测。</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1次</w:t>
                  </w:r>
                </w:p>
              </w:tc>
            </w:tr>
            <w:tr>
              <w:tc>
                <w:tcPr>
                  <w:tcW w:type="dxa" w:w="10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灭蚊</w:t>
                  </w: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1、大、中型水体必须每周检查一次，发现幼虫孳生立即施药。</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下水道沉沙井（有积水的），每井吊挂含10克倍硫磷缓释剂木塞1粒，每月更换一次，控制蚊幼虫孳生；沙井装有防蚊闸或存水弯管损坏或不密封的的每两月吊挂含10克倍硫磷缓释剂木塞1粒或投放药物进行灭杀，每月1次，控制蚊幼虫孳生。</w:t>
                  </w:r>
                </w:p>
              </w:tc>
              <w:tc>
                <w:tcPr>
                  <w:tcW w:type="dxa" w:w="1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每月更换</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3、经常清理外环境小积水，控制蚊虫孳生，并施药处理。</w:t>
                  </w:r>
                </w:p>
              </w:tc>
              <w:tc>
                <w:tcPr>
                  <w:tcW w:type="dxa" w:w="1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每周</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4、下水道烟熏灭蚊：每月结合灭蟑对外环境的下水道进行热烟雾处理。</w:t>
                  </w:r>
                </w:p>
              </w:tc>
              <w:tc>
                <w:tcPr>
                  <w:tcW w:type="dxa" w:w="1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5、居民区（不含封闭式物管小区）、学校及幼儿园（私人除外）、政府机关单位、待建地、丛林、公园、废品收购站、公寓楼梯间等特殊场所外环境，每10天全面查治孳生地一次，并作空间喷洒灭成蚊。</w:t>
                  </w:r>
                </w:p>
              </w:tc>
              <w:tc>
                <w:tcPr>
                  <w:tcW w:type="dxa" w:w="1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每月</w:t>
                  </w:r>
                  <w:r>
                    <w:rPr>
                      <w:sz w:val="21"/>
                      <w:color w:val="000000"/>
                    </w:rPr>
                    <w:t>3次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6、居民住宅区（物业管理小区除外）及公共环境各放2盏蚊灯，每月每村布放诱蚊诱卵器60个，每月进行监测，及时掌握蚊虫密度，向发包方提供监测数据和技术支持。</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7、定期对项目服务范围进行孳生地清理查治并建立台账。</w:t>
                  </w:r>
                </w:p>
              </w:tc>
              <w:tc>
                <w:tcPr>
                  <w:tcW w:type="dxa" w:w="1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8、每季度按国家考核标准对蚊密度进行监测。</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1次</w:t>
                  </w:r>
                </w:p>
              </w:tc>
            </w:tr>
            <w:tr>
              <w:tc>
                <w:tcPr>
                  <w:tcW w:type="dxa" w:w="10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灭蝇</w:t>
                  </w: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1、垃圾中转站（安装2个诱蝇笼、定期更换诱饵及维护）、垃圾屋、垃圾池、垃圾桶、垃圾车以及卫生死角、垃圾堆，每周喷药一次。</w:t>
                  </w:r>
                </w:p>
              </w:tc>
              <w:tc>
                <w:tcPr>
                  <w:tcW w:type="dxa" w:w="1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每周</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2、公共场所每月作2次滞留喷洒灭成蝇。</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2次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3、重点场所孳生地：每周检查处理并喷药灭杀。</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每周</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4、每季度按国家考核标准对成蝇密度进行监测。</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1次</w:t>
                  </w:r>
                </w:p>
              </w:tc>
            </w:tr>
            <w:tr>
              <w:tc>
                <w:tcPr>
                  <w:tcW w:type="dxa" w:w="10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灭蟑螂</w:t>
                  </w: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1、定期对服务范围每月检查蟑迹并清理。</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2、下水道灭蟑螂：每两月热烟雾处理1次。</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每两月</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3、每季度按国家考核标准进行结蟑螂密度监测。住户：每季度上门询问蟑情1次，并对有蟑户派发药物及追踪处理。</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4、中标人每月每村入户宣传“四害”知识100户(附入户调查表)。</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5、中标人每年在“爱卫月、登革热”等期间不少4次公益宣传。</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每年</w:t>
                  </w:r>
                  <w:r>
                    <w:rPr>
                      <w:sz w:val="21"/>
                      <w:color w:val="000000"/>
                    </w:rPr>
                    <w:t>4次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6、中标人每年进社区不少于4次公益讲座和8次的宣传。</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每年</w:t>
                  </w:r>
                  <w:r>
                    <w:rPr>
                      <w:sz w:val="21"/>
                      <w:color w:val="000000"/>
                    </w:rPr>
                    <w:t>12次</w:t>
                  </w:r>
                </w:p>
              </w:tc>
            </w:tr>
          </w:tbl>
          <w:p>
            <w:pPr>
              <w:pStyle w:val="null3"/>
            </w:pPr>
            <w:r>
              <w:rPr/>
              <w:t xml:space="preserve"> </w:t>
            </w:r>
          </w:p>
          <w:p>
            <w:pPr>
              <w:pStyle w:val="null3"/>
            </w:pPr>
            <w:r>
              <w:rPr/>
              <w:t xml:space="preserve"> </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pPr>
            <w:r>
              <w:rPr>
                <w:sz w:val="21"/>
                <w:b/>
                <w:color w:val="000000"/>
              </w:rPr>
              <w:t>二、服务范围</w:t>
            </w:r>
          </w:p>
          <w:p>
            <w:pPr>
              <w:pStyle w:val="null3"/>
              <w:ind w:firstLine="400"/>
              <w:jc w:val="both"/>
            </w:pPr>
            <w:r>
              <w:rPr>
                <w:sz w:val="21"/>
                <w:color w:val="000000"/>
              </w:rPr>
              <w:t>容桂街道各居村的公共外环境范围灭鼠、灭蚊、灭苍蝇、灭蟑螂工作，通称除</w:t>
            </w:r>
            <w:r>
              <w:rPr>
                <w:sz w:val="21"/>
                <w:color w:val="000000"/>
              </w:rPr>
              <w:t>“四害”。服务范围包括居居民住宅区（物业管理小区除外）（不含封闭式物管小区）、工业区（不含封闭式厂房）、街道属下公立教育机构、敬老院、公共场所、公园、广场、大街小巷、下水道、河涌、市政公用类公厕、垃圾收集站及转运点、垃圾屋，以及四害孳生地，并负责和承担本项目相关安全责任。</w:t>
            </w:r>
          </w:p>
          <w:p>
            <w:pPr>
              <w:pStyle w:val="null3"/>
              <w:ind w:firstLine="400"/>
              <w:jc w:val="both"/>
            </w:pPr>
            <w:r>
              <w:rPr>
                <w:sz w:val="21"/>
                <w:color w:val="000000"/>
              </w:rPr>
              <w:t>中标人对封闭式物管小区范围内的除</w:t>
            </w:r>
            <w:r>
              <w:rPr>
                <w:sz w:val="21"/>
                <w:color w:val="000000"/>
              </w:rPr>
              <w:t>“四害”工作，必须做到实地巡查，做好密度监测，并有义务对存在的问题提出专业的指导意见及技术方案，提高其工作水平。</w:t>
            </w:r>
          </w:p>
          <w:p>
            <w:pPr>
              <w:pStyle w:val="null3"/>
            </w:pPr>
            <w:r>
              <w:rPr>
                <w:sz w:val="21"/>
                <w:color w:val="000000"/>
              </w:rPr>
              <w:t xml:space="preserve">       </w:t>
            </w:r>
            <w:r>
              <w:rPr>
                <w:sz w:val="21"/>
                <w:color w:val="000000"/>
              </w:rPr>
              <w:t>达标区范围：达标区包括居居民住宅区（物业管理小区除外）、学校及幼儿园（私人除外）、敬老院、公共场所、公园、广场、大街小巷、下水道、河涌、市政公用类公厕、垃圾收集站及转运点、垃圾屋等场所和区域。</w:t>
            </w:r>
          </w:p>
        </w:tc>
      </w:tr>
      <w:tr>
        <w:tc>
          <w:tcPr>
            <w:tcW w:type="dxa" w:w="2076"/>
          </w:tcPr>
          <w:p/>
        </w:tc>
        <w:tc>
          <w:tcPr>
            <w:tcW w:type="dxa" w:w="415"/>
          </w:tcPr>
          <w:p>
            <w:pPr>
              <w:pStyle w:val="null3"/>
            </w:pPr>
            <w:r>
              <w:rPr/>
              <w:t>3</w:t>
            </w:r>
          </w:p>
        </w:tc>
        <w:tc>
          <w:tcPr>
            <w:tcW w:type="dxa" w:w="5814"/>
          </w:tcPr>
          <w:p>
            <w:pPr>
              <w:pStyle w:val="null3"/>
            </w:pPr>
            <w:r>
              <w:rPr>
                <w:sz w:val="21"/>
                <w:b/>
                <w:color w:val="000000"/>
              </w:rPr>
              <w:t>三、服务标准</w:t>
            </w:r>
          </w:p>
          <w:p>
            <w:pPr>
              <w:pStyle w:val="null3"/>
              <w:jc w:val="both"/>
            </w:pPr>
            <w:r>
              <w:rPr>
                <w:sz w:val="21"/>
                <w:color w:val="000000"/>
              </w:rPr>
              <w:t>1、控制水平标准：GB/T 27773-2011《病媒生物密度控制水平 蜚蠊》、GB/T 27772-2011《病媒生物密度控制水平 蝇类》、GB/T 27771-2011《病媒生物密度控制水平 蚊虫》、GB/T 27770-2011《病媒生物密度控制水平 鼠类》。</w:t>
            </w:r>
          </w:p>
          <w:p>
            <w:pPr>
              <w:pStyle w:val="null3"/>
              <w:jc w:val="both"/>
            </w:pPr>
            <w:r>
              <w:rPr>
                <w:sz w:val="21"/>
                <w:color w:val="000000"/>
              </w:rPr>
              <w:t>2、监测标准《&lt;中华人民共和国国家标准（GB/T 23796-2009）病媒生物密度监测方法蝇类》、《中华人民共和国国家标准（GB/T 23797-2009）病媒生物密度监测方法蚊虫》、《中华人民共和国国家标准（GB/T 23798-2009）病媒生物密度监测方法鼠类》、《中华人民共和国国家标准（GB/T 23795-2009）病媒生物密度监测方法蜚蠊》。</w:t>
            </w:r>
          </w:p>
          <w:tbl>
            <w:tblPr>
              <w:tblInd w:type="dxa" w:w="120"/>
              <w:tblBorders>
                <w:top w:val="none" w:color="000000" w:sz="4"/>
                <w:left w:val="none" w:color="000000" w:sz="4"/>
                <w:bottom w:val="none" w:color="000000" w:sz="4"/>
                <w:right w:val="none" w:color="000000" w:sz="4"/>
                <w:insideH w:val="none"/>
                <w:insideV w:val="none"/>
              </w:tblBorders>
            </w:tblPr>
            <w:tblGrid>
              <w:gridCol w:w="785"/>
              <w:gridCol w:w="4813"/>
            </w:tblGrid>
            <w:tr>
              <w:tc>
                <w:tcPr>
                  <w:tcW w:type="dxa" w:w="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灭鼠标准</w:t>
                  </w:r>
                </w:p>
              </w:tc>
              <w:tc>
                <w:tcPr>
                  <w:tcW w:type="dxa" w:w="4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color w:val="000000"/>
                    </w:rPr>
                    <w:t>1、15平方米标准房间布放20×20厘米滑石粉块两块，一夜后阳性块不超过3%；有鼠洞、鼠粪、鼠咬痕等鼠迹的房间不超过2%；重点单位防鼠设施不合格处不超过5%。</w:t>
                  </w:r>
                </w:p>
                <w:p>
                  <w:pPr>
                    <w:pStyle w:val="null3"/>
                    <w:jc w:val="both"/>
                  </w:pPr>
                  <w:r>
                    <w:rPr>
                      <w:sz w:val="21"/>
                      <w:color w:val="000000"/>
                    </w:rPr>
                    <w:t>2、不同类型的外环境累计2000米，鼠迹不超过5处。</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灭蚊标准</w:t>
                  </w:r>
                </w:p>
              </w:tc>
              <w:tc>
                <w:tcPr>
                  <w:tcW w:type="dxa" w:w="4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color w:val="000000"/>
                    </w:rPr>
                    <w:t>1、居民住宅、单位内外环境各种存水容器和积水中，蚊幼及蛹的阳性率不超过3%。</w:t>
                  </w:r>
                </w:p>
                <w:p>
                  <w:pPr>
                    <w:pStyle w:val="null3"/>
                    <w:ind w:left="195"/>
                    <w:jc w:val="both"/>
                  </w:pPr>
                  <w:r>
                    <w:rPr>
                      <w:sz w:val="21"/>
                      <w:color w:val="000000"/>
                    </w:rPr>
                    <w:t>2、用500ml收集勺采集城区内大中型水体中的蚊幼或蛹阳性率不超过3%，性勺内幼虫或蛹的平均数不超过5只。</w:t>
                  </w:r>
                </w:p>
                <w:p>
                  <w:pPr>
                    <w:pStyle w:val="null3"/>
                    <w:ind w:left="195"/>
                    <w:jc w:val="both"/>
                  </w:pPr>
                  <w:r>
                    <w:rPr>
                      <w:sz w:val="21"/>
                      <w:color w:val="000000"/>
                    </w:rPr>
                    <w:t>3、特殊场所白天人诱蚊30分钟，平均每人次诱获成蚊数不超过1只。</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灭蟑螂</w:t>
                  </w:r>
                </w:p>
                <w:p>
                  <w:pPr>
                    <w:pStyle w:val="null3"/>
                    <w:jc w:val="center"/>
                  </w:pPr>
                  <w:r>
                    <w:rPr>
                      <w:sz w:val="21"/>
                      <w:color w:val="000000"/>
                    </w:rPr>
                    <w:t>标准</w:t>
                  </w:r>
                </w:p>
              </w:tc>
              <w:tc>
                <w:tcPr>
                  <w:tcW w:type="dxa" w:w="4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color w:val="000000"/>
                    </w:rPr>
                    <w:t>1、室内有蟑螂成虫或若虫阳性房间不超过3%，平均每间房大蠊不超过5只，小蠊不超过10只。</w:t>
                  </w:r>
                </w:p>
                <w:p>
                  <w:pPr>
                    <w:pStyle w:val="null3"/>
                    <w:ind w:left="300"/>
                    <w:jc w:val="both"/>
                  </w:pPr>
                  <w:r>
                    <w:rPr>
                      <w:sz w:val="21"/>
                      <w:color w:val="000000"/>
                    </w:rPr>
                    <w:t>2、有活蟑螂卵鞘房间不超过2%，平均每间房不超过4只。</w:t>
                  </w:r>
                </w:p>
                <w:p>
                  <w:pPr>
                    <w:pStyle w:val="null3"/>
                    <w:ind w:left="300"/>
                    <w:jc w:val="both"/>
                  </w:pPr>
                  <w:r>
                    <w:rPr>
                      <w:sz w:val="21"/>
                      <w:color w:val="000000"/>
                    </w:rPr>
                    <w:t>3、有蟑螂粪便、蜕皮等蟑迹的房间不过5%。</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灭蝇标准</w:t>
                  </w:r>
                </w:p>
              </w:tc>
              <w:tc>
                <w:tcPr>
                  <w:tcW w:type="dxa" w:w="4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color w:val="000000"/>
                    </w:rPr>
                    <w:t>1、重点单位有蝇房间不超过1％，其它单位不超过3％，平均每阳性房间不超过3只；重点单位防蝇设施不合格房间不超过5％；加工、销售直接入口食品的场所不得有蝇。</w:t>
                  </w:r>
                </w:p>
                <w:p>
                  <w:pPr>
                    <w:pStyle w:val="null3"/>
                    <w:ind w:left="300"/>
                    <w:jc w:val="both"/>
                  </w:pPr>
                  <w:r>
                    <w:rPr>
                      <w:sz w:val="21"/>
                      <w:color w:val="000000"/>
                    </w:rPr>
                    <w:t>2、蝇类孳生地得到有效治理，幼虫和蛹的检出率不超过3％。</w:t>
                  </w:r>
                </w:p>
              </w:tc>
            </w:tr>
          </w:tbl>
          <w:p>
            <w:pPr>
              <w:pStyle w:val="null3"/>
            </w:pPr>
            <w:r>
              <w:rPr/>
              <w:t xml:space="preserve"> </w:t>
            </w:r>
          </w:p>
          <w:p>
            <w:pPr>
              <w:pStyle w:val="null3"/>
            </w:pPr>
            <w:r>
              <w:rPr/>
              <w:t xml:space="preserve"> </w:t>
            </w:r>
          </w:p>
          <w:p>
            <w:pPr>
              <w:pStyle w:val="null3"/>
            </w:pPr>
            <w:r>
              <w:rPr/>
              <w:t xml:space="preserve"> </w:t>
            </w:r>
          </w:p>
        </w:tc>
      </w:tr>
      <w:tr>
        <w:tc>
          <w:tcPr>
            <w:tcW w:type="dxa" w:w="2076"/>
          </w:tcPr>
          <w:p/>
        </w:tc>
        <w:tc>
          <w:tcPr>
            <w:tcW w:type="dxa" w:w="415"/>
          </w:tcPr>
          <w:p>
            <w:pPr>
              <w:pStyle w:val="null3"/>
            </w:pPr>
            <w:r>
              <w:rPr/>
              <w:t>4</w:t>
            </w:r>
          </w:p>
        </w:tc>
        <w:tc>
          <w:tcPr>
            <w:tcW w:type="dxa" w:w="5814"/>
          </w:tcPr>
          <w:p>
            <w:pPr>
              <w:pStyle w:val="null3"/>
            </w:pPr>
            <w:r>
              <w:rPr>
                <w:sz w:val="21"/>
                <w:b/>
                <w:color w:val="000000"/>
              </w:rPr>
              <w:t>四、监督考评办法</w:t>
            </w:r>
          </w:p>
          <w:p>
            <w:pPr>
              <w:pStyle w:val="null3"/>
              <w:ind w:firstLine="400"/>
              <w:jc w:val="both"/>
            </w:pPr>
            <w:r>
              <w:rPr>
                <w:sz w:val="21"/>
                <w:color w:val="000000"/>
              </w:rPr>
              <w:t>根据</w:t>
            </w:r>
            <w:r>
              <w:rPr>
                <w:sz w:val="21"/>
                <w:color w:val="000000"/>
              </w:rPr>
              <w:t>区卫生健康局</w:t>
            </w:r>
            <w:r>
              <w:rPr>
                <w:sz w:val="21"/>
                <w:color w:val="000000"/>
              </w:rPr>
              <w:t>【</w:t>
            </w:r>
            <w:r>
              <w:rPr>
                <w:sz w:val="21"/>
                <w:color w:val="000000"/>
              </w:rPr>
              <w:t>2006】4号文，《佛山市顺德区公共环境除四害承包质量考评标准》（试行）的通知精神，制定考评办法如下：</w:t>
            </w:r>
          </w:p>
          <w:p>
            <w:pPr>
              <w:pStyle w:val="null3"/>
              <w:ind w:firstLine="400"/>
              <w:jc w:val="both"/>
            </w:pPr>
            <w:r>
              <w:rPr>
                <w:sz w:val="21"/>
                <w:color w:val="000000"/>
              </w:rPr>
              <w:t>1、考评方式</w:t>
            </w:r>
          </w:p>
          <w:p>
            <w:pPr>
              <w:pStyle w:val="null3"/>
              <w:ind w:firstLine="400"/>
              <w:jc w:val="both"/>
            </w:pPr>
            <w:r>
              <w:rPr>
                <w:sz w:val="21"/>
                <w:color w:val="000000"/>
              </w:rPr>
              <w:t>采取街道</w:t>
            </w:r>
            <w:r>
              <w:rPr>
                <w:sz w:val="21"/>
                <w:color w:val="000000"/>
              </w:rPr>
              <w:t>卫生健康办公室</w:t>
            </w:r>
            <w:r>
              <w:rPr>
                <w:sz w:val="21"/>
                <w:color w:val="000000"/>
              </w:rPr>
              <w:t>、居村委会、容桂街综合行政执法队、社会监督等综合考核方法。</w:t>
            </w:r>
          </w:p>
          <w:p>
            <w:pPr>
              <w:pStyle w:val="null3"/>
              <w:ind w:firstLine="400"/>
              <w:jc w:val="both"/>
            </w:pPr>
            <w:r>
              <w:rPr>
                <w:sz w:val="21"/>
                <w:color w:val="000000"/>
              </w:rPr>
              <w:t>1.</w:t>
            </w:r>
            <w:r>
              <w:rPr>
                <w:sz w:val="21"/>
                <w:color w:val="000000"/>
              </w:rPr>
              <w:t>1</w:t>
            </w:r>
            <w:r>
              <w:rPr>
                <w:sz w:val="21"/>
                <w:color w:val="000000"/>
              </w:rPr>
              <w:t>居（村）委会考核：居（村）委会负责对除四害专业队日常工作进行监督，指导。对专业队放药、喷洒、治理孳生地等工作实行签名确认（采购人或容桂街道</w:t>
            </w:r>
            <w:r>
              <w:rPr>
                <w:sz w:val="21"/>
                <w:color w:val="000000"/>
              </w:rPr>
              <w:t>卫生健康办公室</w:t>
            </w:r>
            <w:r>
              <w:rPr>
                <w:sz w:val="21"/>
                <w:color w:val="000000"/>
              </w:rPr>
              <w:t>印发施工记录表），每月对服务本居</w:t>
            </w:r>
            <w:r>
              <w:rPr>
                <w:sz w:val="21"/>
                <w:color w:val="000000"/>
              </w:rPr>
              <w:t>(村)委会除四害工作进行一次系统检查。</w:t>
            </w:r>
          </w:p>
          <w:p>
            <w:pPr>
              <w:pStyle w:val="null3"/>
              <w:ind w:firstLine="400"/>
              <w:jc w:val="both"/>
            </w:pPr>
            <w:r>
              <w:rPr>
                <w:sz w:val="21"/>
                <w:color w:val="000000"/>
              </w:rPr>
              <w:t>1.</w:t>
            </w:r>
            <w:r>
              <w:rPr>
                <w:sz w:val="21"/>
                <w:color w:val="000000"/>
              </w:rPr>
              <w:t>2</w:t>
            </w:r>
            <w:r>
              <w:rPr>
                <w:sz w:val="21"/>
                <w:color w:val="000000"/>
              </w:rPr>
              <w:t>有关部门考核：容桂街道综合行政执法队结合环境卫生监管进行除四害项目监督，对中标人为垃圾中转站、垃圾屋、主干路下水道放药、喷洒等工作进行签名确认。发现问题及时向中标人提出改进意见，并报告街道</w:t>
            </w:r>
            <w:r>
              <w:rPr>
                <w:sz w:val="21"/>
                <w:color w:val="000000"/>
              </w:rPr>
              <w:t>卫生健康办公室</w:t>
            </w:r>
            <w:r>
              <w:rPr>
                <w:sz w:val="21"/>
                <w:color w:val="000000"/>
              </w:rPr>
              <w:t>备案。容桂街道综合行政执法队和</w:t>
            </w:r>
            <w:r>
              <w:rPr>
                <w:sz w:val="21"/>
                <w:color w:val="000000"/>
              </w:rPr>
              <w:t>卫生健康办公室</w:t>
            </w:r>
            <w:r>
              <w:rPr>
                <w:sz w:val="21"/>
                <w:color w:val="000000"/>
              </w:rPr>
              <w:t>结合平时卫生检查进行考核。</w:t>
            </w:r>
          </w:p>
          <w:p>
            <w:pPr>
              <w:pStyle w:val="null3"/>
              <w:ind w:firstLine="400"/>
              <w:jc w:val="both"/>
            </w:pPr>
            <w:r>
              <w:rPr>
                <w:sz w:val="21"/>
                <w:color w:val="000000"/>
              </w:rPr>
              <w:t>1.</w:t>
            </w:r>
            <w:r>
              <w:rPr>
                <w:sz w:val="21"/>
                <w:color w:val="000000"/>
              </w:rPr>
              <w:t>3</w:t>
            </w:r>
            <w:r>
              <w:rPr>
                <w:sz w:val="21"/>
                <w:color w:val="000000"/>
              </w:rPr>
              <w:t>社会监督：（</w:t>
            </w:r>
            <w:r>
              <w:rPr>
                <w:sz w:val="21"/>
                <w:color w:val="000000"/>
              </w:rPr>
              <w:t>1）群众评议：每季度由居（村）委会进行随机访问居民群众。（2）群众举报或投诉，每季度由街道</w:t>
            </w:r>
            <w:r>
              <w:rPr>
                <w:sz w:val="21"/>
                <w:color w:val="000000"/>
              </w:rPr>
              <w:t>卫生健康办公室</w:t>
            </w:r>
            <w:r>
              <w:rPr>
                <w:sz w:val="21"/>
                <w:color w:val="000000"/>
              </w:rPr>
              <w:t>收集和整理群众举报或投诉资料并计分。</w:t>
            </w:r>
          </w:p>
          <w:p>
            <w:pPr>
              <w:pStyle w:val="null3"/>
              <w:ind w:firstLine="400"/>
              <w:jc w:val="both"/>
            </w:pPr>
            <w:r>
              <w:rPr>
                <w:sz w:val="21"/>
                <w:color w:val="000000"/>
              </w:rPr>
              <w:t>2、评定办法</w:t>
            </w:r>
          </w:p>
          <w:p>
            <w:pPr>
              <w:pStyle w:val="null3"/>
              <w:ind w:firstLine="400"/>
              <w:jc w:val="both"/>
            </w:pPr>
            <w:r>
              <w:rPr>
                <w:sz w:val="21"/>
                <w:color w:val="000000"/>
              </w:rPr>
              <w:t>根据容桂街道综合行政执法队和</w:t>
            </w:r>
            <w:r>
              <w:rPr>
                <w:sz w:val="21"/>
                <w:color w:val="000000"/>
              </w:rPr>
              <w:t>卫生健康办公室</w:t>
            </w:r>
            <w:r>
              <w:rPr>
                <w:sz w:val="21"/>
                <w:color w:val="000000"/>
              </w:rPr>
              <w:t>评定、居（村）委会评定、群众评议四个方面的评议，把分别评出的四项分数作综合评定，得出除四害专业队的季度和年度评定分值。综合评定采用百分制。评定分值：容桂街道综合行政执法队评分占</w:t>
            </w:r>
            <w:r>
              <w:rPr>
                <w:sz w:val="21"/>
                <w:color w:val="000000"/>
              </w:rPr>
              <w:t>40分、</w:t>
            </w:r>
            <w:r>
              <w:rPr>
                <w:sz w:val="21"/>
                <w:color w:val="000000"/>
              </w:rPr>
              <w:t>卫生健康办公室</w:t>
            </w:r>
            <w:r>
              <w:rPr>
                <w:sz w:val="21"/>
                <w:color w:val="000000"/>
              </w:rPr>
              <w:t>评定占</w:t>
            </w:r>
            <w:r>
              <w:rPr>
                <w:sz w:val="21"/>
                <w:color w:val="000000"/>
              </w:rPr>
              <w:t>20分，居（村）委会评定占20分、社会监督（群众评议）占20分。群众举报或投诉属实，在总分直接扣除，每宗1分。</w:t>
            </w:r>
          </w:p>
          <w:p>
            <w:pPr>
              <w:pStyle w:val="null3"/>
              <w:ind w:firstLine="400"/>
              <w:jc w:val="both"/>
            </w:pPr>
            <w:r>
              <w:rPr>
                <w:sz w:val="21"/>
                <w:color w:val="000000"/>
              </w:rPr>
              <w:t>2.</w:t>
            </w:r>
            <w:r>
              <w:rPr>
                <w:sz w:val="21"/>
                <w:color w:val="000000"/>
              </w:rPr>
              <w:t>1</w:t>
            </w:r>
            <w:r>
              <w:rPr>
                <w:sz w:val="21"/>
                <w:color w:val="000000"/>
              </w:rPr>
              <w:t>居（村）委会评定：由居（村）委会根据日常管理和施工情况作综合评定。</w:t>
            </w:r>
          </w:p>
          <w:p>
            <w:pPr>
              <w:pStyle w:val="null3"/>
              <w:ind w:firstLine="400"/>
              <w:jc w:val="both"/>
            </w:pPr>
            <w:r>
              <w:rPr>
                <w:sz w:val="21"/>
                <w:color w:val="000000"/>
              </w:rPr>
              <w:t>2.</w:t>
            </w:r>
            <w:r>
              <w:rPr>
                <w:sz w:val="21"/>
                <w:color w:val="000000"/>
              </w:rPr>
              <w:t>2</w:t>
            </w:r>
            <w:r>
              <w:rPr>
                <w:sz w:val="21"/>
                <w:color w:val="000000"/>
              </w:rPr>
              <w:t>容桂街道综合行政执法队和</w:t>
            </w:r>
            <w:r>
              <w:rPr>
                <w:sz w:val="21"/>
                <w:color w:val="000000"/>
              </w:rPr>
              <w:t>卫生健康办公室</w:t>
            </w:r>
            <w:r>
              <w:rPr>
                <w:sz w:val="21"/>
                <w:color w:val="000000"/>
              </w:rPr>
              <w:t>评定：由有关部门根据日常监督作综合评定。</w:t>
            </w:r>
          </w:p>
          <w:p>
            <w:pPr>
              <w:pStyle w:val="null3"/>
              <w:ind w:firstLine="400"/>
              <w:jc w:val="both"/>
            </w:pPr>
            <w:r>
              <w:rPr>
                <w:sz w:val="21"/>
                <w:color w:val="000000"/>
              </w:rPr>
              <w:t>2.</w:t>
            </w:r>
            <w:r>
              <w:rPr>
                <w:sz w:val="21"/>
                <w:color w:val="000000"/>
              </w:rPr>
              <w:t>3</w:t>
            </w:r>
            <w:r>
              <w:rPr>
                <w:sz w:val="21"/>
                <w:color w:val="000000"/>
              </w:rPr>
              <w:t>群众评价：由居（村）委会季度考核时进行群众满意度测评，按</w:t>
            </w:r>
            <w:r>
              <w:rPr>
                <w:sz w:val="21"/>
                <w:color w:val="000000"/>
              </w:rPr>
              <w:t>10分评定。其中操作规程2分；防治效果7分；检测资料1分。</w:t>
            </w:r>
          </w:p>
          <w:p>
            <w:pPr>
              <w:pStyle w:val="null3"/>
              <w:ind w:firstLine="400"/>
              <w:jc w:val="both"/>
            </w:pPr>
            <w:r>
              <w:rPr>
                <w:sz w:val="21"/>
                <w:color w:val="000000"/>
              </w:rPr>
              <w:t>2.</w:t>
            </w:r>
            <w:r>
              <w:rPr>
                <w:sz w:val="21"/>
                <w:color w:val="000000"/>
              </w:rPr>
              <w:t>4</w:t>
            </w:r>
            <w:r>
              <w:rPr>
                <w:sz w:val="21"/>
                <w:color w:val="000000"/>
              </w:rPr>
              <w:t>社会监督（群众举报或投诉）：以各居村为单位，发生群众举报或投诉，经调查核实，中标人须立即进行跟踪处理，一宗投诉扣除</w:t>
            </w:r>
            <w:r>
              <w:rPr>
                <w:sz w:val="21"/>
                <w:color w:val="000000"/>
              </w:rPr>
              <w:t>1分。如果一个季度内同一地点发生两次群众举报或投诉，经调查情况属实的，扣除2分；当年同一地点群众举报或投诉，经调查情况属实的，超过两次后每增加一次，扣除2分。</w:t>
            </w:r>
          </w:p>
          <w:p>
            <w:pPr>
              <w:pStyle w:val="null3"/>
              <w:ind w:firstLine="400"/>
              <w:jc w:val="both"/>
            </w:pPr>
            <w:r>
              <w:rPr>
                <w:sz w:val="21"/>
                <w:color w:val="000000"/>
              </w:rPr>
              <w:t>3、年终评定</w:t>
            </w:r>
          </w:p>
          <w:p>
            <w:pPr>
              <w:pStyle w:val="null3"/>
              <w:ind w:firstLine="400"/>
              <w:jc w:val="both"/>
            </w:pPr>
            <w:r>
              <w:rPr>
                <w:sz w:val="21"/>
                <w:color w:val="000000"/>
              </w:rPr>
              <w:t>3.1</w:t>
            </w:r>
            <w:r>
              <w:rPr>
                <w:sz w:val="21"/>
                <w:color w:val="000000"/>
              </w:rPr>
              <w:t>根据四个季度考核结果，平均分达</w:t>
            </w:r>
            <w:r>
              <w:rPr>
                <w:sz w:val="21"/>
                <w:color w:val="000000"/>
              </w:rPr>
              <w:t>90分以上（含90分）为合格，采购人与中标人续签第二年的合同。</w:t>
            </w:r>
          </w:p>
          <w:p>
            <w:pPr>
              <w:pStyle w:val="null3"/>
              <w:ind w:firstLine="400"/>
              <w:jc w:val="both"/>
            </w:pPr>
            <w:r>
              <w:rPr>
                <w:sz w:val="21"/>
                <w:color w:val="000000"/>
              </w:rPr>
              <w:t>3.2</w:t>
            </w:r>
            <w:r>
              <w:rPr>
                <w:sz w:val="21"/>
                <w:color w:val="000000"/>
              </w:rPr>
              <w:t>根据四个季度考核结果，平均分</w:t>
            </w:r>
            <w:r>
              <w:rPr>
                <w:sz w:val="21"/>
                <w:color w:val="000000"/>
              </w:rPr>
              <w:t>＜</w:t>
            </w:r>
            <w:r>
              <w:rPr>
                <w:sz w:val="21"/>
                <w:color w:val="000000"/>
              </w:rPr>
              <w:t>90分</w:t>
            </w:r>
            <w:r>
              <w:rPr>
                <w:sz w:val="21"/>
                <w:color w:val="000000"/>
              </w:rPr>
              <w:t>的</w:t>
            </w:r>
            <w:r>
              <w:rPr>
                <w:sz w:val="21"/>
                <w:color w:val="000000"/>
              </w:rPr>
              <w:t>为不合格，合同终止，采购人不再与中标人续签第二年的合同。一切经济和法律责任由中标人承担。</w:t>
            </w:r>
          </w:p>
          <w:p>
            <w:pPr>
              <w:pStyle w:val="null3"/>
              <w:ind w:firstLine="400"/>
              <w:jc w:val="both"/>
            </w:pPr>
            <w:r>
              <w:rPr>
                <w:sz w:val="21"/>
                <w:color w:val="000000"/>
              </w:rPr>
              <w:t>4、质量制约</w:t>
            </w:r>
          </w:p>
          <w:p>
            <w:pPr>
              <w:pStyle w:val="null3"/>
              <w:ind w:firstLine="400"/>
              <w:jc w:val="both"/>
            </w:pPr>
            <w:r>
              <w:rPr>
                <w:sz w:val="21"/>
                <w:color w:val="000000"/>
              </w:rPr>
              <w:t>4.1季度和年度考核合格（发生扣罚和奖励情况除外）如数给付服务费用（以90分为合格基数）；考核不合格，每少1分扣罚季度服务费用2％。对服务质量差和操作规程不符合要求的，并出现其中2项超标的，每次扣罚服务费10000.00元；</w:t>
            </w:r>
            <w:r>
              <w:rPr>
                <w:sz w:val="21"/>
                <w:color w:val="000000"/>
              </w:rPr>
              <w:t>采购人</w:t>
            </w:r>
            <w:r>
              <w:rPr>
                <w:sz w:val="21"/>
                <w:color w:val="000000"/>
              </w:rPr>
              <w:t>提出整改意见，限期整改；逾期不整改，服务质量仍旧低劣，</w:t>
            </w:r>
            <w:r>
              <w:rPr>
                <w:sz w:val="21"/>
                <w:color w:val="000000"/>
              </w:rPr>
              <w:t>“三、服务标准”的四害中如有1项不符合标准的，没收其履约保证金，如有2项不符合标准或连续2次不合格的（不满90分），采购人有权无条件终止和解除服务合同、没收其履约保证金并取消该单位的服务资格。一切经济和法律责任由中标人承担。</w:t>
            </w:r>
          </w:p>
          <w:p>
            <w:pPr>
              <w:pStyle w:val="null3"/>
              <w:ind w:firstLine="400"/>
              <w:jc w:val="both"/>
            </w:pPr>
            <w:r>
              <w:rPr>
                <w:sz w:val="21"/>
                <w:color w:val="000000"/>
              </w:rPr>
              <w:t>4.2扣罚</w:t>
            </w:r>
          </w:p>
          <w:p>
            <w:pPr>
              <w:pStyle w:val="null3"/>
              <w:ind w:firstLine="400"/>
              <w:jc w:val="both"/>
            </w:pPr>
            <w:r>
              <w:rPr>
                <w:sz w:val="21"/>
                <w:color w:val="000000"/>
              </w:rPr>
              <w:t>（</w:t>
            </w:r>
            <w:r>
              <w:rPr>
                <w:sz w:val="21"/>
                <w:color w:val="000000"/>
              </w:rPr>
              <w:t>1）违反操作规程，严重影响工作质量，受到上级部门批评的，扣罚该季度服务费总额的5％；</w:t>
            </w:r>
          </w:p>
          <w:p>
            <w:pPr>
              <w:pStyle w:val="null3"/>
              <w:ind w:firstLine="400"/>
              <w:jc w:val="both"/>
            </w:pPr>
            <w:r>
              <w:rPr>
                <w:sz w:val="21"/>
                <w:color w:val="000000"/>
              </w:rPr>
              <w:t>（</w:t>
            </w:r>
            <w:r>
              <w:rPr>
                <w:sz w:val="21"/>
                <w:color w:val="000000"/>
              </w:rPr>
              <w:t>2）不按规定用药，或施药弄虚作假，施药不足者，扣罚该季度服务费总额的7％；</w:t>
            </w:r>
          </w:p>
          <w:p>
            <w:pPr>
              <w:pStyle w:val="null3"/>
              <w:ind w:firstLine="400"/>
              <w:jc w:val="both"/>
            </w:pPr>
            <w:r>
              <w:rPr>
                <w:sz w:val="21"/>
                <w:color w:val="000000"/>
              </w:rPr>
              <w:t>（</w:t>
            </w:r>
            <w:r>
              <w:rPr>
                <w:sz w:val="21"/>
                <w:color w:val="000000"/>
              </w:rPr>
              <w:t>3）中标人有责任配合采购人接受上级领导部门的监督、检查，并提供必须的材料。遇有上级检查及大型活动等需要突击加班的，必须无条件服从安排，在接到通知后2小时内人员必须按要求带全装备到场开展工作，否则每次扣罚当季服务费的2%，突击任务所产生的费用由中标人负责（含卫生防疫）；突发任务未能按时按质完成，对采购人形象造成负面影响的，每次扣罚当季服务费的5%。</w:t>
            </w:r>
          </w:p>
          <w:p>
            <w:pPr>
              <w:pStyle w:val="null3"/>
              <w:ind w:firstLine="400"/>
              <w:jc w:val="both"/>
            </w:pPr>
            <w:r>
              <w:rPr>
                <w:sz w:val="21"/>
                <w:color w:val="000000"/>
              </w:rPr>
              <w:t>（</w:t>
            </w:r>
            <w:r>
              <w:rPr>
                <w:sz w:val="21"/>
                <w:color w:val="000000"/>
              </w:rPr>
              <w:t>4）在合同履行服务过程中，采购人不定期对中标人的服务人数、资格证、药品登记证及机械设备数量抽查，发现缺人、缺证、缺设备的，每次罚款3000元/人/证/机。累计2次抽查不合格一次罚款20000元，采购人有权无条件终止和解除服务合同，没收履约保证金并取消该单位的服务资格，一切经济和法律责任由中标人承担。</w:t>
            </w:r>
          </w:p>
          <w:p>
            <w:pPr>
              <w:pStyle w:val="null3"/>
              <w:ind w:firstLine="400"/>
              <w:jc w:val="both"/>
            </w:pPr>
            <w:r>
              <w:rPr>
                <w:sz w:val="21"/>
                <w:color w:val="000000"/>
              </w:rPr>
              <w:t>（</w:t>
            </w:r>
            <w:r>
              <w:rPr>
                <w:sz w:val="21"/>
                <w:color w:val="000000"/>
              </w:rPr>
              <w:t>5）中标人需每季度向采购人提供药品采购发票等材料，若检查中发现每季度的采购药品数量不够或型号不一致的，在季度服务费中扣减采购不足的金额。</w:t>
            </w:r>
          </w:p>
          <w:p>
            <w:pPr>
              <w:pStyle w:val="null3"/>
              <w:ind w:firstLine="400"/>
              <w:jc w:val="both"/>
            </w:pPr>
            <w:r>
              <w:rPr>
                <w:sz w:val="21"/>
                <w:color w:val="000000"/>
              </w:rPr>
              <w:t>5、其他要求及注意事项</w:t>
            </w:r>
          </w:p>
          <w:p>
            <w:pPr>
              <w:pStyle w:val="null3"/>
              <w:ind w:firstLine="400"/>
              <w:jc w:val="both"/>
            </w:pPr>
            <w:r>
              <w:rPr>
                <w:sz w:val="21"/>
                <w:color w:val="000000"/>
              </w:rPr>
              <w:t>5.1中标人针对项目实施必须配置与投标要求相应的工员和设备，中标人在最低配置要求的基础上，应加强、加大人力和设备的投入，有效确保除四害工作达到良好效果。</w:t>
            </w:r>
          </w:p>
          <w:p>
            <w:pPr>
              <w:pStyle w:val="null3"/>
              <w:ind w:firstLine="400"/>
              <w:jc w:val="both"/>
            </w:pPr>
            <w:r>
              <w:rPr>
                <w:sz w:val="21"/>
                <w:color w:val="000000"/>
              </w:rPr>
              <w:t>5.2若标段辖区有发现死鼠或居民打死老鼠，中标人必须上门义务处理死鼠。</w:t>
            </w:r>
          </w:p>
          <w:p>
            <w:pPr>
              <w:pStyle w:val="null3"/>
              <w:ind w:firstLine="400"/>
              <w:jc w:val="both"/>
            </w:pPr>
            <w:r>
              <w:rPr>
                <w:sz w:val="21"/>
                <w:color w:val="000000"/>
              </w:rPr>
              <w:t>5.3标段辖区每居委必须布放诱蚊产卵器60个，每月监测一次，记录在案上报数据。</w:t>
            </w:r>
          </w:p>
          <w:p>
            <w:pPr>
              <w:pStyle w:val="null3"/>
              <w:ind w:firstLine="400"/>
              <w:jc w:val="both"/>
            </w:pPr>
            <w:r>
              <w:rPr>
                <w:sz w:val="21"/>
                <w:color w:val="000000"/>
              </w:rPr>
              <w:t>5.4防治药品及相关器械的使用按国家有关部门指定的最新标准执行。</w:t>
            </w:r>
          </w:p>
          <w:p>
            <w:pPr>
              <w:pStyle w:val="null3"/>
              <w:ind w:firstLine="400"/>
              <w:jc w:val="both"/>
            </w:pPr>
            <w:r>
              <w:rPr>
                <w:sz w:val="21"/>
                <w:color w:val="000000"/>
              </w:rPr>
              <w:t>5.5中标人对聘用员工必须严格管理，对他们的行为负全责，如在服务期内发生劳资纠纷、意外（生病、伤亡事故）或违反合同规定、触犯国家法律等，由中标人承担全部责任及因事故产生的一切费用。</w:t>
            </w:r>
          </w:p>
          <w:p>
            <w:pPr>
              <w:pStyle w:val="null3"/>
              <w:ind w:firstLine="400"/>
              <w:jc w:val="both"/>
            </w:pPr>
            <w:r>
              <w:rPr>
                <w:sz w:val="21"/>
                <w:color w:val="000000"/>
              </w:rPr>
              <w:t>5.6为了保障员工人身安全及意外的福利保险，中标人必须依法用工与作业人员签订劳动合同，按顺德区社会劳动保险的有关规定为员工购买社会保险，按时发放工资补贴。人员工资不得低于顺德区最低工资标准。（在每季度5号前将上季度各员工的银行工资转账及社保部门的原始单据交采购人审核）。</w:t>
            </w:r>
          </w:p>
          <w:p>
            <w:pPr>
              <w:pStyle w:val="null3"/>
              <w:ind w:firstLine="400"/>
              <w:jc w:val="both"/>
            </w:pPr>
            <w:r>
              <w:rPr>
                <w:sz w:val="21"/>
                <w:color w:val="000000"/>
              </w:rPr>
              <w:t>5.7中标人为服务人员配备相应的防护用品。</w:t>
            </w:r>
          </w:p>
          <w:p>
            <w:pPr>
              <w:pStyle w:val="null3"/>
              <w:ind w:firstLine="400"/>
              <w:jc w:val="both"/>
            </w:pPr>
            <w:r>
              <w:rPr>
                <w:sz w:val="21"/>
                <w:color w:val="000000"/>
              </w:rPr>
              <w:t>5.8中标人应做好服务人员档案管理资料；做好工作记录，建立施药服务卡，做好资料收集，整理归档。如采购人有需要必须随时提供。</w:t>
            </w:r>
          </w:p>
          <w:p>
            <w:pPr>
              <w:pStyle w:val="null3"/>
              <w:ind w:firstLine="400"/>
              <w:jc w:val="both"/>
            </w:pPr>
            <w:r>
              <w:rPr>
                <w:sz w:val="21"/>
                <w:color w:val="000000"/>
              </w:rPr>
              <w:t>5.9按采购人要求做好各种规范的除“四害”监测纪录，制定科学的年度、季度除“四害”工作计划，包括技术方案、工作方法、用药计划等。每季度15号前将上季度的实施质量和工作情况向采购人作书面报告。</w:t>
            </w:r>
          </w:p>
          <w:p>
            <w:pPr>
              <w:pStyle w:val="null3"/>
              <w:ind w:firstLine="400"/>
              <w:jc w:val="both"/>
            </w:pPr>
            <w:r>
              <w:rPr>
                <w:sz w:val="21"/>
                <w:color w:val="000000"/>
              </w:rPr>
              <w:t>5.10科学用药，不得使用国家禁用或伪劣的灭鼠、杀虫剂，并需安全操作，不污染环境，确保人、畜安全，若因管理操作引起的一切责任由中标人负责。</w:t>
            </w:r>
          </w:p>
          <w:p>
            <w:pPr>
              <w:pStyle w:val="null3"/>
              <w:ind w:firstLine="400"/>
              <w:jc w:val="both"/>
            </w:pPr>
            <w:r>
              <w:rPr>
                <w:sz w:val="21"/>
                <w:color w:val="000000"/>
              </w:rPr>
              <w:t>5.11在服务期内，采购人没有增加服务内容、项目，而中标人自行增加工作人员的，所增加的费用由中标人负责。</w:t>
            </w:r>
          </w:p>
          <w:p>
            <w:pPr>
              <w:pStyle w:val="null3"/>
              <w:ind w:firstLine="400"/>
              <w:jc w:val="both"/>
            </w:pPr>
            <w:r>
              <w:rPr>
                <w:sz w:val="21"/>
                <w:color w:val="000000"/>
              </w:rPr>
              <w:t>5.12每年4-11月在除四害高发季节，中标人须无条件配合政府有关部门做好宣传和指导，并对有需要的市民提供优质服务。</w:t>
            </w:r>
          </w:p>
          <w:p>
            <w:pPr>
              <w:pStyle w:val="null3"/>
              <w:ind w:firstLine="400"/>
              <w:jc w:val="both"/>
            </w:pPr>
            <w:r>
              <w:rPr>
                <w:sz w:val="21"/>
                <w:color w:val="000000"/>
              </w:rPr>
              <w:t>5.13中标人除设立足够的作业人员外，还要指派1名能代表中标人履行管理及在检查考评中能承担责任的人员配合采购人、居（村）及监督员的检查考评，以方便日常检查及监督。中标人指派代表应确保手机通信畅通。</w:t>
            </w:r>
          </w:p>
          <w:p>
            <w:pPr>
              <w:pStyle w:val="null3"/>
              <w:ind w:firstLine="400"/>
              <w:jc w:val="both"/>
            </w:pPr>
            <w:r>
              <w:rPr>
                <w:sz w:val="21"/>
                <w:color w:val="000000"/>
              </w:rPr>
              <w:t>5.14中标人无条件配合政府及有关部门举办的一切活动，协助政府及有相部门处理因“四害”引发的应急事件。</w:t>
            </w:r>
          </w:p>
          <w:p>
            <w:pPr>
              <w:pStyle w:val="null3"/>
              <w:ind w:firstLine="400"/>
              <w:jc w:val="both"/>
            </w:pPr>
            <w:r>
              <w:rPr>
                <w:sz w:val="21"/>
                <w:color w:val="000000"/>
              </w:rPr>
              <w:t>5.15及时向采购人及相关部门反映异常情况。</w:t>
            </w:r>
          </w:p>
          <w:p>
            <w:pPr>
              <w:pStyle w:val="null3"/>
            </w:pPr>
            <w:r>
              <w:rPr>
                <w:sz w:val="21"/>
                <w:color w:val="000000"/>
              </w:rPr>
              <w:t>5.16中标人应在合同签订后购买公共责任险。</w:t>
            </w:r>
          </w:p>
        </w:tc>
      </w:tr>
      <w:tr>
        <w:tc>
          <w:tcPr>
            <w:tcW w:type="dxa" w:w="2076"/>
          </w:tcPr>
          <w:p/>
        </w:tc>
        <w:tc>
          <w:tcPr>
            <w:tcW w:type="dxa" w:w="415"/>
          </w:tcPr>
          <w:p>
            <w:pPr>
              <w:pStyle w:val="null3"/>
            </w:pPr>
            <w:r>
              <w:rPr/>
              <w:t>5</w:t>
            </w:r>
          </w:p>
        </w:tc>
        <w:tc>
          <w:tcPr>
            <w:tcW w:type="dxa" w:w="5814"/>
          </w:tcPr>
          <w:p>
            <w:pPr>
              <w:pStyle w:val="null3"/>
            </w:pPr>
            <w:r>
              <w:rPr>
                <w:sz w:val="21"/>
                <w:b/>
                <w:color w:val="000000"/>
              </w:rPr>
              <w:t>五、其他要求</w:t>
            </w:r>
          </w:p>
          <w:p>
            <w:pPr>
              <w:pStyle w:val="null3"/>
              <w:jc w:val="both"/>
            </w:pPr>
            <w:r>
              <w:rPr>
                <w:sz w:val="21"/>
                <w:color w:val="000000"/>
              </w:rPr>
              <w:t>1、根据省、市、区抗药性监测数据，使用推荐产品。</w:t>
            </w:r>
          </w:p>
          <w:p>
            <w:pPr>
              <w:pStyle w:val="null3"/>
              <w:jc w:val="both"/>
            </w:pPr>
            <w:r>
              <w:rPr>
                <w:sz w:val="21"/>
                <w:color w:val="000000"/>
              </w:rPr>
              <w:t>2、药物必须提供具备“三证”（农药登记证、农药生产许可证、企业标准证）并可追索来源，“四害”中每项必须不少于4种不同厂家的药品轮换使用，降低耐药性。</w:t>
            </w:r>
          </w:p>
          <w:p>
            <w:pPr>
              <w:pStyle w:val="null3"/>
              <w:jc w:val="both"/>
            </w:pPr>
            <w:r>
              <w:rPr>
                <w:sz w:val="21"/>
                <w:color w:val="000000"/>
              </w:rPr>
              <w:t>3、安全操作，灭鼠药物须妥善保管，不得遗失，灭鼠毒饵靠边和隐蔽处投放；不污染环境，确保人、畜安全，若因管理或操作不当而引起的一切责任由中标人承担。</w:t>
            </w:r>
          </w:p>
          <w:p>
            <w:pPr>
              <w:pStyle w:val="null3"/>
            </w:pPr>
            <w:r>
              <w:rPr>
                <w:sz w:val="21"/>
                <w:color w:val="000000"/>
              </w:rPr>
              <w:t>4、现场要求：中标人须在现场设有仓库，用于存放药物及服务用品，并配备仓库管理员进行仓库管理及做好安全管理措施。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采购包3（容桂街道2026-2027年度除四害采购服务项目C标段）</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2年，自2026年4月1日到2028年3月31日（具体以实际签订时间为准）。合同一年一签，采购人有权根据考核情况决定是否与中标人续签第二年合同。</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季度（三个月，下同）支付，采购人根据每季度的服务质量检查考评结果，减去该季度的罚款计算（若有）。每季度支付金额=（中标金额÷2年÷4季度）-该季度的罚款（若有，金额按四舍五入原则精确到分）。该季度的服务费用于考评后15个工作日内向中标人支付。服务期不足一个月的月份则按实际服务天数按实结算，每天服务费=每季度支付金额÷3个月÷当月总天数。 （2）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 （3）付款期间如因特殊情况需调整，由双方协商处理。 （4）合同款项的支付方式：转账结算（银行转账） （5）付款方：采购人；收款方：中标人。 （6）开具发票：中标人收款时必须持有效发票。收款方、出具发票方、合同乙方均必须与中标人名称一致。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1期：根据招标文件要求和中标人的投标承诺及行业标准、国家标准验收，以及详见采购项目技术要求中的“四、监督考评办法”。</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账号：10618800150454</w:t>
            </w:r>
          </w:p>
          <w:p>
            <w:pPr>
              <w:pStyle w:val="null3"/>
            </w:pPr>
            <w:r>
              <w:rPr/>
              <w:t>户名：佛山市顺德区容桂街道综合行政执法队</w:t>
            </w:r>
          </w:p>
          <w:p>
            <w:pPr>
              <w:pStyle w:val="null3"/>
            </w:pPr>
            <w:r>
              <w:rPr/>
              <w:t>开户行：广东顺德农村商业银行股份有限 公司容桂支行</w:t>
            </w:r>
          </w:p>
          <w:p>
            <w:pPr>
              <w:pStyle w:val="null3"/>
            </w:pPr>
            <w:r>
              <w:rPr/>
              <w:t>支票提交方式：当面递交</w:t>
            </w:r>
          </w:p>
          <w:p>
            <w:pPr>
              <w:pStyle w:val="null3"/>
            </w:pPr>
            <w:r>
              <w:rPr/>
              <w:t>汇票、本票提交方式：直接交付</w:t>
            </w:r>
          </w:p>
          <w:p>
            <w:pPr>
              <w:pStyle w:val="null3"/>
            </w:pPr>
            <w:r>
              <w:rPr/>
              <w:t>说明：1.中标人必须在中标通知书发出之日起7个工作日内，须通过转账、银行保函、支票、汇票、本票等形式向采购人提交本项目中标金额的5%作为履约保证金，否则将视为中标人放弃中标，采购人有权对本项目重新进行招标。 2.采购人鼓励中标人使用保函形式提交履约保证金。【1.采用银行保函时，出具履约担保的银行级别：国有商业银行或股份制商业银行。2.银行保函须为见索即付、不可撤销的保函，并须由中国境内注册的银行出具的银行保函，且必须包含以下内容： （1）采购人名称、项目名称、中标人名称、担保金额、担保期限； （2）保证方式为连带责任保证； （3）在采购人向银行提出索赔时，银行将不要求采购人先向中标人提出索赔或要求采购人提供其他任何证明材料； （4）如在履约担保期限内，中标人自行终止合同或违反合同有关规定被采购人终止合同的，则履约担保金归采购人所有； （5）因本保函发生的纠纷，由采购人和中标人协商解决，协商不成的，任意一方均有权将争议提交项目所在地有管辖权的人民法院诉讼解决； （6）中标人在提供履约担保时所发生的一切费用由中标人承担。】 注：保函有效期应覆盖项目服务期后30天失效。 3.在合同期满后，在中标人完成合同相关要求、没有出现任何违约或因任何原因单方中止履行合同义务时，且中标人必须做好下列工作并经采购人书面同意后，则采购人在15个工作日内将履约保证金（银行保函、支票、汇票、本票等）无息退回中标人； （1）在中标人按要求核发最后一个月工人工资后15个工作日内，以书面形式正式通知采购人； （2）已妥善处理本项目的债权债务（工资、税费、社保及其他欠款等）； （3）必须做好过渡期各项工作，顺利交接。 4.如在合同期内，中标人自行终止合同或违反合同有关规定被采购人终止或解除合同的，采购人将不予退还履约保证金。5.</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报价要求，（1）采购项目预算：本项目C标段采购项目两年服务期总预算金额：1253213.62 元，报价若超过项目采购项目预算金额，其报价将视为无效。 （2）投标报价为全包价，包括除“四害”服务项目及与此相关的人工费、管理费用、相关用具及药物的使用费用、设备折旧费及各项税费等一切与完成本项目相关费用及合同实施过程中应预见和不可预见费用等。采购人不再另外支付任何费用。所有价格均应以人民币报价。 （3）供应商须考虑本项目在实施期间的一切可能产生的费用。 （4）报价合理性：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响应）处理。若评标委员会成员对是否须由投标人作出报价合理性说明，以及书面说明是否采纳等判断不一致的，按照“少数服从多数”的原则确定评标委员会的意见。</w:t>
            </w:r>
          </w:p>
          <w:p>
            <w:pPr>
              <w:pStyle w:val="null3"/>
            </w:pPr>
            <w:r>
              <w:rPr/>
              <w:t>响应服务，1.服务时间内，中标人须提供常设每周7天×24小时服务专线技术支持。 2.对采购人的服务通知，中标人必须符合以下要求：一般事项24小时内处理完毕,另有具体约定时间的按照约定时间执行。</w:t>
            </w:r>
          </w:p>
          <w:p>
            <w:pPr>
              <w:pStyle w:val="null3"/>
            </w:pPr>
            <w:r>
              <w:rPr/>
              <w:t>违约责任，1.中标人未按要求履行合同义务时，须从违约之日起每日按合同总额的3‰比例向采购人支付违约金；逾期15日以上时，采购人有权解除合同，没收履约保证金并要求中标人承担合同总额30%的违约金，由此造成采购人的经济损失由中标人承担。违约金不足以弥补损失的，中标人应按全额赔偿。 2.若中标人将本项目全部或部分转委托给任何第三方的，采购人有权解除合同，没收履约保证金并要求中标人承担合同总额30%的违约金，由此造成采购人的经济损失由中标人承担。违约金不足以弥补损失的，中标人应按全额赔偿。 3.在中标人无不履行或不适当履行其义务的情况下，采购人逾期支付合同款项，并经中标人书面催告后无正当理由后仍不在合理期限内支付的，每拖延一天应按应付未付金额的万分之一标准向中标人支付违约金。 4.若因中标人违约导致采购人因此主张权利所支出的费用（包括但不限于诉讼费、财产保全费、财产保全担保费、评估鉴定费、律师费等）均由中标人承担。</w:t>
            </w:r>
          </w:p>
          <w:p>
            <w:pPr>
              <w:pStyle w:val="null3"/>
            </w:pPr>
            <w:r>
              <w:rPr/>
              <w:t>分包要求，本项目不允许分包。</w:t>
            </w:r>
          </w:p>
          <w:p>
            <w:pPr>
              <w:pStyle w:val="null3"/>
            </w:pPr>
            <w:r>
              <w:rPr/>
              <w:t>退出机制，中标人出现有下列任何一种情况的，采购人有权解除合同，已收取的投标人的“履约保证金”不予返还，并要求中标人承担合同总额30%的违约金，同时列入失信企业名单： （1）中标人主动放弃本项目服务资格； （2）合同正式履行后一个月内人员、设备未满足合同要求的； （3）中标人有纵容、煽动工人怠工、罢工、上访等过激行为超8人以上的，或因中标人无视工人权益引发或导致工人有怠工、罢工、上访等过激行为超8人以上的； （4）采购人对中标人一年内发出三次或以上书面严重警告的。 （5）一年内累计发现3次以上发现配置的服务人员少于要求数量3%。 （6）合同履行期间，违反劳动管理方面的法律、法规、规章及其他一般规范性文件的规定引起8人以上（含8人）群体上访事件或8人以上（含8人）（一宗案件内）劳资纠纷案件败诉或8人以上（含8人）歇工事件的。 （7）未按时足额发放服务人员工资（含加班工资）的人数达8人以上（含8人）的； （8）佛山市最低工资标准发生变化时，中标人拒绝根据有关规定予以相应调整的； （9）弄虚作假（包括但不限于投标时提供虚假材料）及其他不正当行为； （10）违反法律、法规、规章或其他相关规范性文件的规定，影响本项目履行的。 （11）招标文件及本合同书规定的其他终止合同的事由； （12）法律、法规、规章和其他规范性文件规定的终止合同的事由； （13）在实施过程中因处理不当造成重大损失，引发社会恶劣影响的； （14）将本项目转包或违法分包或交由个人承包的； （15）不服从管理，拒绝或不配合采购人安排的工作任务及协助处理应急事件； （16）招标文件中要求其他触发退出机制或解除合同情形。</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容桂街道2026-2027年度除四害采购服务项目C标段</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1,253,213.62</w:t>
            </w:r>
          </w:p>
        </w:tc>
        <w:tc>
          <w:tcPr>
            <w:tcW w:type="dxa" w:w="933"/>
          </w:tcPr>
          <w:p>
            <w:pPr>
              <w:pStyle w:val="null3"/>
              <w:jc w:val="right"/>
            </w:pPr>
            <w:r>
              <w:rPr/>
              <w:t>1,253,213.62</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容桂街道2026-2027年度除四害采购服务项目C标段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一、基本配置要求</w:t>
            </w:r>
          </w:p>
          <w:p>
            <w:pPr>
              <w:pStyle w:val="null3"/>
              <w:ind w:firstLine="402"/>
              <w:jc w:val="both"/>
            </w:pPr>
            <w:r>
              <w:rPr>
                <w:sz w:val="21"/>
                <w:b/>
                <w:color w:val="000000"/>
              </w:rPr>
              <w:t>1、人员配置要求</w:t>
            </w:r>
          </w:p>
          <w:p>
            <w:pPr>
              <w:pStyle w:val="null3"/>
              <w:ind w:firstLine="402"/>
              <w:jc w:val="both"/>
            </w:pPr>
            <w:r>
              <w:rPr>
                <w:sz w:val="21"/>
                <w:b/>
                <w:color w:val="000000"/>
              </w:rPr>
              <w:t>投入本项目的人员不得低于以下要求：</w:t>
            </w:r>
          </w:p>
          <w:tbl>
            <w:tblPr>
              <w:tblInd w:type="dxa" w:w="120"/>
              <w:tblBorders>
                <w:top w:val="none" w:color="000000" w:sz="4"/>
                <w:left w:val="none" w:color="000000" w:sz="4"/>
                <w:bottom w:val="none" w:color="000000" w:sz="4"/>
                <w:right w:val="none" w:color="000000" w:sz="4"/>
                <w:insideH w:val="none"/>
                <w:insideV w:val="none"/>
              </w:tblBorders>
            </w:tblPr>
            <w:tblGrid>
              <w:gridCol w:w="1071"/>
              <w:gridCol w:w="3335"/>
              <w:gridCol w:w="1192"/>
            </w:tblGrid>
            <w:tr>
              <w:tc>
                <w:tcPr>
                  <w:tcW w:type="dxa" w:w="10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人员类别</w:t>
                  </w:r>
                </w:p>
              </w:tc>
              <w:tc>
                <w:tcPr>
                  <w:tcW w:type="dxa" w:w="3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具体要求</w:t>
                  </w:r>
                </w:p>
              </w:tc>
              <w:tc>
                <w:tcPr>
                  <w:tcW w:type="dxa" w:w="1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配置人数</w:t>
                  </w:r>
                </w:p>
              </w:tc>
            </w:tr>
            <w:tr>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管理人员</w:t>
                  </w:r>
                </w:p>
              </w:tc>
              <w:tc>
                <w:tcPr>
                  <w:tcW w:type="dxa" w:w="3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负责管理工作团队，并制定每次的除四害工作方案及分配工作，具有除四害工作管理经验。</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除四害专业人员</w:t>
                  </w:r>
                </w:p>
              </w:tc>
              <w:tc>
                <w:tcPr>
                  <w:tcW w:type="dxa" w:w="3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负责主要的除四害工作及技术指导，具有除四害工作经验，技术熟练，政治素质良好。</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7人</w:t>
                  </w:r>
                </w:p>
              </w:tc>
            </w:tr>
          </w:tbl>
          <w:p>
            <w:pPr>
              <w:pStyle w:val="null3"/>
              <w:jc w:val="both"/>
            </w:pPr>
            <w:r>
              <w:rPr/>
              <w:t xml:space="preserve"> </w:t>
            </w:r>
          </w:p>
          <w:p>
            <w:pPr>
              <w:pStyle w:val="null3"/>
              <w:jc w:val="both"/>
            </w:pPr>
            <w:r>
              <w:rPr/>
              <w:t xml:space="preserve"> </w:t>
            </w:r>
          </w:p>
          <w:p>
            <w:pPr>
              <w:pStyle w:val="null3"/>
              <w:jc w:val="both"/>
            </w:pPr>
            <w:r>
              <w:rPr>
                <w:b/>
              </w:rPr>
              <w:t xml:space="preserve"> </w:t>
            </w:r>
            <w:r>
              <w:rPr>
                <w:sz w:val="21"/>
                <w:color w:val="000000"/>
              </w:rPr>
              <w:t>注：（</w:t>
            </w:r>
            <w:r>
              <w:rPr>
                <w:sz w:val="21"/>
                <w:color w:val="000000"/>
              </w:rPr>
              <w:t>1）在同一标段内，同一人员不得同时从事上述不同岗位的工作；（2）如获中标，投标文件中拟投入的人员不得随意更换，如需更换，更换的人员资质不得低于招标文件要求，且必须经得采购人同意后方可更换，并及时提供更换人员的资料给采购人备案。</w:t>
            </w:r>
          </w:p>
          <w:p>
            <w:pPr>
              <w:pStyle w:val="null3"/>
              <w:ind w:firstLine="402"/>
              <w:jc w:val="both"/>
            </w:pPr>
            <w:r>
              <w:rPr>
                <w:sz w:val="21"/>
                <w:b/>
                <w:color w:val="000000"/>
              </w:rPr>
              <w:t>2、设备配置要求</w:t>
            </w:r>
          </w:p>
          <w:p>
            <w:pPr>
              <w:pStyle w:val="null3"/>
              <w:jc w:val="both"/>
            </w:pPr>
            <w:r>
              <w:rPr>
                <w:sz w:val="21"/>
                <w:b/>
                <w:color w:val="000000"/>
              </w:rPr>
              <w:t>（</w:t>
            </w:r>
            <w:r>
              <w:rPr>
                <w:sz w:val="21"/>
                <w:b/>
                <w:color w:val="000000"/>
              </w:rPr>
              <w:t>1）中标人的自有设备基本配置数量及要求须达到下表要求：</w:t>
            </w:r>
          </w:p>
          <w:tbl>
            <w:tblPr>
              <w:tblInd w:type="dxa" w:w="240"/>
              <w:tblBorders>
                <w:top w:val="none" w:color="000000" w:sz="4"/>
                <w:left w:val="none" w:color="000000" w:sz="4"/>
                <w:bottom w:val="none" w:color="000000" w:sz="4"/>
                <w:right w:val="none" w:color="000000" w:sz="4"/>
                <w:insideH w:val="none"/>
                <w:insideV w:val="none"/>
              </w:tblBorders>
            </w:tblPr>
            <w:tblGrid>
              <w:gridCol w:w="484"/>
              <w:gridCol w:w="983"/>
              <w:gridCol w:w="3268"/>
              <w:gridCol w:w="862"/>
            </w:tblGrid>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3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技术参数要求</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配置数量</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热烟雾机</w:t>
                  </w:r>
                </w:p>
              </w:tc>
              <w:tc>
                <w:tcPr>
                  <w:tcW w:type="dxa" w:w="3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5微米。药液输出量：0-42L/小时。功率:11.6-22KW。药箱容量：5L或以上</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2台</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背负式蓄电池超低容量喷雾器</w:t>
                  </w:r>
                </w:p>
              </w:tc>
              <w:tc>
                <w:tcPr>
                  <w:tcW w:type="dxa" w:w="3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电机：直流无碳刷电机，</w:t>
                  </w:r>
                  <w:r>
                    <w:rPr>
                      <w:sz w:val="21"/>
                      <w:color w:val="000000"/>
                    </w:rPr>
                    <w:t>600W；24V。雾滴直径：10-30微米。药液输出量ml/min：0-330连续可调。药箱容量：5L。空机重量(KG)：10.2。整机外型尺寸：309mm×32mm×506mm。电池：配置2块锂电池。工作时间（连续工作时间：高速档：50-60分钟，低速档80-90分钟。</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4台</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背负式机动超低容量喷雾机</w:t>
                  </w:r>
                </w:p>
              </w:tc>
              <w:tc>
                <w:tcPr>
                  <w:tcW w:type="dxa" w:w="3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2-20微米。额定流量：1-3L/分钟。水平射程：＞8米。外型尺寸：400×470×495cm。 配套动力：2冲程冲程发动机。药箱容量：5L。整机重量：12KG。</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台</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电动喷雾</w:t>
                  </w:r>
                  <w:r>
                    <w:rPr>
                      <w:sz w:val="21"/>
                      <w:color w:val="000000"/>
                    </w:rPr>
                    <w:t>器</w:t>
                  </w:r>
                </w:p>
              </w:tc>
              <w:tc>
                <w:tcPr>
                  <w:tcW w:type="dxa" w:w="3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2-20微米。水平射程&gt;6米</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6台</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机动式喷雾机</w:t>
                  </w:r>
                </w:p>
              </w:tc>
              <w:tc>
                <w:tcPr>
                  <w:tcW w:type="dxa" w:w="3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50-100微米。水平射程&gt;8米</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2台</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车载式喷雾机</w:t>
                  </w:r>
                </w:p>
              </w:tc>
              <w:tc>
                <w:tcPr>
                  <w:tcW w:type="dxa" w:w="3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输出容量</w:t>
                  </w:r>
                  <w:r>
                    <w:rPr>
                      <w:sz w:val="21"/>
                      <w:color w:val="000000"/>
                    </w:rPr>
                    <w:t>50-100公升/小时，达距100米（受制于风速），雾滴80%&lt;40微米，声量80分贝以下。</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鼠屋</w:t>
                  </w:r>
                </w:p>
              </w:tc>
              <w:tc>
                <w:tcPr>
                  <w:tcW w:type="dxa" w:w="3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1280</w:t>
                  </w:r>
                  <w:r>
                    <w:rPr>
                      <w:sz w:val="21"/>
                      <w:color w:val="000000"/>
                    </w:rPr>
                    <w:t>个</w:t>
                  </w:r>
                  <w:r>
                    <w:rPr>
                      <w:sz w:val="21"/>
                      <w:color w:val="000000"/>
                    </w:rPr>
                    <w:t>/年</w:t>
                  </w:r>
                </w:p>
              </w:tc>
            </w:tr>
          </w:tbl>
          <w:p>
            <w:pPr>
              <w:pStyle w:val="null3"/>
              <w:jc w:val="both"/>
            </w:pPr>
            <w:r>
              <w:rPr/>
              <w:t xml:space="preserve"> </w:t>
            </w:r>
          </w:p>
          <w:p>
            <w:pPr>
              <w:pStyle w:val="null3"/>
              <w:jc w:val="both"/>
            </w:pPr>
            <w:r>
              <w:rPr/>
              <w:t xml:space="preserve"> </w:t>
            </w:r>
          </w:p>
          <w:p>
            <w:pPr>
              <w:pStyle w:val="null3"/>
              <w:jc w:val="both"/>
            </w:pPr>
            <w:r>
              <w:rPr>
                <w:sz w:val="21"/>
                <w:b/>
                <w:color w:val="000000"/>
              </w:rPr>
              <w:t>3、投入药物最低用量要求：</w:t>
            </w:r>
          </w:p>
          <w:tbl>
            <w:tblPr>
              <w:tblInd w:type="dxa" w:w="240"/>
              <w:tblBorders>
                <w:top w:val="none" w:color="000000" w:sz="4"/>
                <w:left w:val="none" w:color="000000" w:sz="4"/>
                <w:bottom w:val="none" w:color="000000" w:sz="4"/>
                <w:right w:val="none" w:color="000000" w:sz="4"/>
                <w:insideH w:val="none"/>
                <w:insideV w:val="none"/>
              </w:tblBorders>
            </w:tblPr>
            <w:tblGrid>
              <w:gridCol w:w="905"/>
              <w:gridCol w:w="2610"/>
              <w:gridCol w:w="2082"/>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药物名称</w:t>
                  </w:r>
                </w:p>
              </w:tc>
              <w:tc>
                <w:tcPr>
                  <w:tcW w:type="dxa" w:w="2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每月数量（公斤）</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1"/>
                      <w:color w:val="000000"/>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高效氯氟氰菊酯</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1"/>
                      <w:color w:val="000000"/>
                    </w:rPr>
                    <w:t>2</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残杀威</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1"/>
                      <w:color w:val="000000"/>
                    </w:rPr>
                    <w:t>3</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鼠谷</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1"/>
                      <w:color w:val="000000"/>
                    </w:rPr>
                    <w:t>4</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倍硫磷</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1"/>
                      <w:color w:val="000000"/>
                    </w:rPr>
                    <w:t>5</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其他用药</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bl>
          <w:p>
            <w:pPr>
              <w:pStyle w:val="null3"/>
              <w:ind w:firstLine="402"/>
              <w:jc w:val="both"/>
            </w:pPr>
            <w:r>
              <w:rPr/>
              <w:t xml:space="preserve"> </w:t>
            </w:r>
          </w:p>
          <w:p>
            <w:pPr>
              <w:pStyle w:val="null3"/>
              <w:ind w:firstLine="402"/>
              <w:jc w:val="both"/>
            </w:pPr>
            <w:r>
              <w:rPr/>
              <w:t xml:space="preserve"> </w:t>
            </w:r>
          </w:p>
          <w:p>
            <w:pPr>
              <w:pStyle w:val="null3"/>
              <w:ind w:firstLine="402"/>
              <w:jc w:val="both"/>
            </w:pPr>
            <w:r>
              <w:rPr>
                <w:sz w:val="21"/>
                <w:b/>
                <w:color w:val="000000"/>
              </w:rPr>
              <w:t>4、日常作业标准</w:t>
            </w:r>
          </w:p>
          <w:tbl>
            <w:tblPr>
              <w:tblInd w:type="dxa" w:w="120"/>
              <w:tblBorders>
                <w:top w:val="none" w:color="000000" w:sz="4"/>
                <w:left w:val="none" w:color="000000" w:sz="4"/>
                <w:bottom w:val="none" w:color="000000" w:sz="4"/>
                <w:right w:val="none" w:color="000000" w:sz="4"/>
                <w:insideH w:val="none"/>
                <w:insideV w:val="none"/>
              </w:tblBorders>
            </w:tblPr>
            <w:tblGrid>
              <w:gridCol w:w="1036"/>
              <w:gridCol w:w="2985"/>
              <w:gridCol w:w="1561"/>
            </w:tblGrid>
            <w:tr>
              <w:tc>
                <w:tcPr>
                  <w:tcW w:type="dxa" w:w="1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服务项目</w:t>
                  </w:r>
                </w:p>
              </w:tc>
              <w:tc>
                <w:tcPr>
                  <w:tcW w:type="dxa" w:w="29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服务内容</w:t>
                  </w:r>
                </w:p>
              </w:tc>
              <w:tc>
                <w:tcPr>
                  <w:tcW w:type="dxa" w:w="1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服务要求</w:t>
                  </w:r>
                  <w:r>
                    <w:rPr>
                      <w:sz w:val="21"/>
                      <w:color w:val="000000"/>
                    </w:rPr>
                    <w:t xml:space="preserve">             </w:t>
                  </w:r>
                </w:p>
              </w:tc>
            </w:tr>
            <w:tr>
              <w:tc>
                <w:tcPr>
                  <w:tcW w:type="dxa" w:w="10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灭鼠</w:t>
                  </w: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1、公共环境和扩大覆盖面范围要每季饱和投放灭鼠药。</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2、公共环境每月检查鼠迹，发现鼠迹立即清理并及时按常规投放和补充毒饵。</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3、单位灭鼠：每月监测鼠情，按常规投药和补投药。主要重点单位如学校饭堂等每季度进行密度检测。</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4、居民区（不含封闭式物管小区）、学校及幼儿园（私人除外）、公共场所等每月入户询问鼠情1次。</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5、中标人在承包范围内的各村居委须按照标准要求，自行安装灭鼠屋不少于200个，并经甲方验收合格并统筹安装，合同期内如有损毁，须按要求进行补装。</w:t>
                  </w:r>
                </w:p>
              </w:tc>
              <w:tc>
                <w:tcPr>
                  <w:tcW w:type="dxa" w:w="1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平均每居（村）不少于</w:t>
                  </w:r>
                  <w:r>
                    <w:rPr>
                      <w:sz w:val="21"/>
                      <w:color w:val="000000"/>
                    </w:rPr>
                    <w:t>200个</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6、每季度按国家考核标准对鼠密度进行监测。</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1次</w:t>
                  </w:r>
                </w:p>
              </w:tc>
            </w:tr>
            <w:tr>
              <w:tc>
                <w:tcPr>
                  <w:tcW w:type="dxa" w:w="10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灭蚊</w:t>
                  </w: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1、大、中型水体必须每周检查一次，发现幼虫孳生立即施药。</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下水道沉沙井（有积水的），每井吊挂含10克倍硫磷缓释剂木塞1粒，每月更换一次，控制蚊幼虫孳生；沙井装有防蚊闸或存水弯管损坏或不密封的的每两月吊挂含10克倍硫磷缓释剂木塞1粒或投放药物进行灭杀，每月1次，控制蚊幼虫孳生。</w:t>
                  </w:r>
                </w:p>
              </w:tc>
              <w:tc>
                <w:tcPr>
                  <w:tcW w:type="dxa" w:w="1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每月更换</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3、经常清理外环境小积水，控制蚊虫孳生，并施药处理。</w:t>
                  </w:r>
                </w:p>
              </w:tc>
              <w:tc>
                <w:tcPr>
                  <w:tcW w:type="dxa" w:w="1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每周</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4、下水道烟熏灭蚊：每月结合灭蟑对外环境的下水道进行热烟雾处理。</w:t>
                  </w:r>
                </w:p>
              </w:tc>
              <w:tc>
                <w:tcPr>
                  <w:tcW w:type="dxa" w:w="1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5、居民区（不含封闭式物管小区）、学校及幼儿园（私人除外）、政府机关单位、待建地、丛林、公园、废品收购站、公寓楼梯间等特殊场所外环境，每10天全面查治孳生地一次，并作空间喷洒灭成蚊。</w:t>
                  </w:r>
                </w:p>
              </w:tc>
              <w:tc>
                <w:tcPr>
                  <w:tcW w:type="dxa" w:w="1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每月</w:t>
                  </w:r>
                  <w:r>
                    <w:rPr>
                      <w:sz w:val="21"/>
                      <w:color w:val="000000"/>
                    </w:rPr>
                    <w:t>3次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6、居民住宅区（物业管理小区除外）及公共环境各放2盏蚊灯，每月每村布放诱蚊诱卵器60个，每月进行监测，及时掌握蚊虫密度，向发包方提供监测数据和技术支持。</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7、定期对项目服务范围进行孳生地清理查治并建立台账。</w:t>
                  </w:r>
                </w:p>
              </w:tc>
              <w:tc>
                <w:tcPr>
                  <w:tcW w:type="dxa" w:w="1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8、每季度按国家考核标准对蚊密度进行监测。</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1次</w:t>
                  </w:r>
                </w:p>
              </w:tc>
            </w:tr>
            <w:tr>
              <w:tc>
                <w:tcPr>
                  <w:tcW w:type="dxa" w:w="10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灭蝇</w:t>
                  </w: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1、垃圾中转站（安装2个诱蝇笼、定期更换诱饵及维护）、垃圾屋、垃圾池、垃圾桶、垃圾车以及卫生死角、垃圾堆，每周喷药一次。</w:t>
                  </w:r>
                </w:p>
              </w:tc>
              <w:tc>
                <w:tcPr>
                  <w:tcW w:type="dxa" w:w="1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每周</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2、公共场所每月作2次滞留喷洒灭成蝇。</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2次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3、重点场所孳生地：每周检查处理并喷药灭杀。</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每周</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4、每季度按国家考核标准对成蝇密度进行监测。</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1次</w:t>
                  </w:r>
                </w:p>
              </w:tc>
            </w:tr>
            <w:tr>
              <w:tc>
                <w:tcPr>
                  <w:tcW w:type="dxa" w:w="10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灭蟑螂</w:t>
                  </w: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1、定期对服务范围每月检查蟑迹并清理。</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2、下水道灭蟑螂：每两月热烟雾处理1次。</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每两月</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3、每季度按国家考核标准进行结蟑螂密度监测。住户：每季度上门询问蟑情1次，并对有蟑户派发药物及追踪处理。</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4、中标人每月每村入户宣传“四害”知识100户(附入户调查表)。</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5、中标人每年在“爱卫月、登革热”等期间不少4次公益宣传。</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每年</w:t>
                  </w:r>
                  <w:r>
                    <w:rPr>
                      <w:sz w:val="21"/>
                      <w:color w:val="000000"/>
                    </w:rPr>
                    <w:t>4次</w:t>
                  </w:r>
                </w:p>
              </w:tc>
            </w:tr>
            <w:tr>
              <w:tc>
                <w:tcPr>
                  <w:tcW w:type="dxa" w:w="1036"/>
                  <w:vMerge/>
                  <w:tcBorders>
                    <w:top w:val="none" w:color="000000" w:sz="4"/>
                    <w:left w:val="single" w:color="000000" w:sz="4"/>
                    <w:bottom w:val="single" w:color="000000" w:sz="4"/>
                    <w:right w:val="single" w:color="000000" w:sz="4"/>
                  </w:tcBorders>
                </w:tcP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6、中标人每年进社区不少于4次公益讲座和8次的宣传。</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每年</w:t>
                  </w:r>
                  <w:r>
                    <w:rPr>
                      <w:sz w:val="21"/>
                      <w:color w:val="000000"/>
                    </w:rPr>
                    <w:t>12次</w:t>
                  </w:r>
                </w:p>
              </w:tc>
            </w:tr>
          </w:tbl>
          <w:p>
            <w:pPr>
              <w:pStyle w:val="null3"/>
            </w:pPr>
            <w:r>
              <w:rPr/>
              <w:t xml:space="preserve"> </w:t>
            </w:r>
          </w:p>
          <w:p>
            <w:pPr>
              <w:pStyle w:val="null3"/>
            </w:pPr>
            <w:r>
              <w:rPr/>
              <w:t xml:space="preserve"> </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pPr>
            <w:r>
              <w:rPr>
                <w:sz w:val="21"/>
                <w:b/>
                <w:color w:val="000000"/>
              </w:rPr>
              <w:t>二、服务范围</w:t>
            </w:r>
          </w:p>
          <w:p>
            <w:pPr>
              <w:pStyle w:val="null3"/>
              <w:ind w:firstLine="400"/>
              <w:jc w:val="both"/>
            </w:pPr>
            <w:r>
              <w:rPr>
                <w:sz w:val="21"/>
                <w:color w:val="000000"/>
              </w:rPr>
              <w:t>容桂街道各居村的公共外环境范围灭鼠、灭蚊、灭苍蝇、灭蟑螂工作，通称除</w:t>
            </w:r>
            <w:r>
              <w:rPr>
                <w:sz w:val="21"/>
                <w:color w:val="000000"/>
              </w:rPr>
              <w:t>“四害”。服务范围包括居居民住宅区（物业管理小区除外）（不含封闭式物管小区）、工业区（不含封闭式厂房）、街道属下公立教育机构、敬老院、公共场所、公园、广场、大街小巷、下水道、河涌、市政公用类公厕、垃圾收集站及转运点、垃圾屋，以及四害孳生地，并负责和承担本项目相关安全责任。</w:t>
            </w:r>
          </w:p>
          <w:p>
            <w:pPr>
              <w:pStyle w:val="null3"/>
              <w:ind w:firstLine="400"/>
              <w:jc w:val="both"/>
            </w:pPr>
            <w:r>
              <w:rPr>
                <w:sz w:val="21"/>
                <w:color w:val="000000"/>
              </w:rPr>
              <w:t>中标人对封闭式物管小区范围内的除</w:t>
            </w:r>
            <w:r>
              <w:rPr>
                <w:sz w:val="21"/>
                <w:color w:val="000000"/>
              </w:rPr>
              <w:t>“四害”工作，必须做到实地巡查，做好密度监测，并有义务对存在的问题提出专业的指导意见及技术方案，提高其工作水平。</w:t>
            </w:r>
          </w:p>
          <w:p>
            <w:pPr>
              <w:pStyle w:val="null3"/>
            </w:pPr>
            <w:r>
              <w:rPr>
                <w:sz w:val="21"/>
                <w:color w:val="000000"/>
              </w:rPr>
              <w:t xml:space="preserve">       </w:t>
            </w:r>
            <w:r>
              <w:rPr>
                <w:sz w:val="21"/>
                <w:color w:val="000000"/>
              </w:rPr>
              <w:t>达标区范围：达标区包括居居民住宅区（物业管理小区除外）、学校及幼儿园（私人除外）、敬老院、公共场所、公园、广场、大街小巷、下水道、河涌、市政公用类公厕、垃圾收集站及转运点、垃圾屋等场所和区域。</w:t>
            </w:r>
          </w:p>
        </w:tc>
      </w:tr>
      <w:tr>
        <w:tc>
          <w:tcPr>
            <w:tcW w:type="dxa" w:w="2076"/>
          </w:tcPr>
          <w:p/>
        </w:tc>
        <w:tc>
          <w:tcPr>
            <w:tcW w:type="dxa" w:w="415"/>
          </w:tcPr>
          <w:p>
            <w:pPr>
              <w:pStyle w:val="null3"/>
            </w:pPr>
            <w:r>
              <w:rPr/>
              <w:t>3</w:t>
            </w:r>
          </w:p>
        </w:tc>
        <w:tc>
          <w:tcPr>
            <w:tcW w:type="dxa" w:w="5814"/>
          </w:tcPr>
          <w:p>
            <w:pPr>
              <w:pStyle w:val="null3"/>
            </w:pPr>
            <w:r>
              <w:rPr>
                <w:sz w:val="21"/>
                <w:b/>
                <w:color w:val="000000"/>
              </w:rPr>
              <w:t>三、服务标准</w:t>
            </w:r>
          </w:p>
          <w:p>
            <w:pPr>
              <w:pStyle w:val="null3"/>
              <w:jc w:val="both"/>
            </w:pPr>
            <w:r>
              <w:rPr>
                <w:sz w:val="21"/>
                <w:color w:val="000000"/>
              </w:rPr>
              <w:t>1、控制水平标准：GB/T 27773-2011《病媒生物密度控制水平 蜚蠊》、GB/T 27772-2011《病媒生物密度控制水平 蝇类》、GB/T 27771-2011《病媒生物密度控制水平 蚊虫》、GB/T 27770-2011《病媒生物密度控制水平 鼠类》。</w:t>
            </w:r>
          </w:p>
          <w:p>
            <w:pPr>
              <w:pStyle w:val="null3"/>
              <w:jc w:val="both"/>
            </w:pPr>
            <w:r>
              <w:rPr>
                <w:sz w:val="21"/>
                <w:color w:val="000000"/>
              </w:rPr>
              <w:t>2、监测标准《&lt;中华人民共和国国家标准（GB/T 23796-2009）病媒生物密度监测方法蝇类》、《中华人民共和国国家标准（GB/T 23797-2009）病媒生物密度监测方法蚊虫》、《中华人民共和国国家标准（GB/T 23798-2009）病媒生物密度监测方法鼠类》、《中华人民共和国国家标准（GB/T 23795-2009）病媒生物密度监测方法蜚蠊》。</w:t>
            </w:r>
          </w:p>
          <w:tbl>
            <w:tblPr>
              <w:tblInd w:type="dxa" w:w="120"/>
              <w:tblBorders>
                <w:top w:val="none" w:color="000000" w:sz="4"/>
                <w:left w:val="none" w:color="000000" w:sz="4"/>
                <w:bottom w:val="none" w:color="000000" w:sz="4"/>
                <w:right w:val="none" w:color="000000" w:sz="4"/>
                <w:insideH w:val="none"/>
                <w:insideV w:val="none"/>
              </w:tblBorders>
            </w:tblPr>
            <w:tblGrid>
              <w:gridCol w:w="785"/>
              <w:gridCol w:w="4813"/>
            </w:tblGrid>
            <w:tr>
              <w:tc>
                <w:tcPr>
                  <w:tcW w:type="dxa" w:w="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灭鼠标准</w:t>
                  </w:r>
                </w:p>
              </w:tc>
              <w:tc>
                <w:tcPr>
                  <w:tcW w:type="dxa" w:w="4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color w:val="000000"/>
                    </w:rPr>
                    <w:t>1、15平方米标准房间布放20×20厘米滑石粉块两块，一夜后阳性块不超过3%；有鼠洞、鼠粪、鼠咬痕等鼠迹的房间不超过2%；重点单位防鼠设施不合格处不超过5%。</w:t>
                  </w:r>
                </w:p>
                <w:p>
                  <w:pPr>
                    <w:pStyle w:val="null3"/>
                    <w:jc w:val="both"/>
                  </w:pPr>
                  <w:r>
                    <w:rPr>
                      <w:sz w:val="21"/>
                      <w:color w:val="000000"/>
                    </w:rPr>
                    <w:t>2、不同类型的外环境累计2000米，鼠迹不超过5处。</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灭蚊标准</w:t>
                  </w:r>
                </w:p>
              </w:tc>
              <w:tc>
                <w:tcPr>
                  <w:tcW w:type="dxa" w:w="4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color w:val="000000"/>
                    </w:rPr>
                    <w:t>1、居民住宅、单位内外环境各种存水容器和积水中，蚊幼及蛹的阳性率不超过3%。</w:t>
                  </w:r>
                </w:p>
                <w:p>
                  <w:pPr>
                    <w:pStyle w:val="null3"/>
                    <w:ind w:left="195"/>
                    <w:jc w:val="both"/>
                  </w:pPr>
                  <w:r>
                    <w:rPr>
                      <w:sz w:val="21"/>
                      <w:color w:val="000000"/>
                    </w:rPr>
                    <w:t>2、用500ml收集勺采集城区内大中型水体中的蚊幼或蛹阳性率不超过3%，性勺内幼虫或蛹的平均数不超过5只。</w:t>
                  </w:r>
                </w:p>
                <w:p>
                  <w:pPr>
                    <w:pStyle w:val="null3"/>
                    <w:ind w:left="195"/>
                    <w:jc w:val="both"/>
                  </w:pPr>
                  <w:r>
                    <w:rPr>
                      <w:sz w:val="21"/>
                      <w:color w:val="000000"/>
                    </w:rPr>
                    <w:t>3、特殊场所白天人诱蚊30分钟，平均每人次诱获成蚊数不超过1只。</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灭蟑螂</w:t>
                  </w:r>
                </w:p>
                <w:p>
                  <w:pPr>
                    <w:pStyle w:val="null3"/>
                    <w:jc w:val="center"/>
                  </w:pPr>
                  <w:r>
                    <w:rPr>
                      <w:sz w:val="21"/>
                      <w:color w:val="000000"/>
                    </w:rPr>
                    <w:t>标准</w:t>
                  </w:r>
                </w:p>
              </w:tc>
              <w:tc>
                <w:tcPr>
                  <w:tcW w:type="dxa" w:w="4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color w:val="000000"/>
                    </w:rPr>
                    <w:t>1、室内有蟑螂成虫或若虫阳性房间不超过3%，平均每间房大蠊不超过5只，小蠊不超过10只。</w:t>
                  </w:r>
                </w:p>
                <w:p>
                  <w:pPr>
                    <w:pStyle w:val="null3"/>
                    <w:ind w:left="300"/>
                    <w:jc w:val="both"/>
                  </w:pPr>
                  <w:r>
                    <w:rPr>
                      <w:sz w:val="21"/>
                      <w:color w:val="000000"/>
                    </w:rPr>
                    <w:t>2、有活蟑螂卵鞘房间不超过2%，平均每间房不超过4只。</w:t>
                  </w:r>
                </w:p>
                <w:p>
                  <w:pPr>
                    <w:pStyle w:val="null3"/>
                    <w:ind w:left="300"/>
                    <w:jc w:val="both"/>
                  </w:pPr>
                  <w:r>
                    <w:rPr>
                      <w:sz w:val="21"/>
                      <w:color w:val="000000"/>
                    </w:rPr>
                    <w:t>3、有蟑螂粪便、蜕皮等蟑迹的房间不过5%。</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灭蝇标准</w:t>
                  </w:r>
                </w:p>
              </w:tc>
              <w:tc>
                <w:tcPr>
                  <w:tcW w:type="dxa" w:w="4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color w:val="000000"/>
                    </w:rPr>
                    <w:t>1、重点单位有蝇房间不超过1％，其它单位不超过3％，平均每阳性房间不超过3只；重点单位防蝇设施不合格房间不超过5％；加工、销售直接入口食品的场所不得有蝇。</w:t>
                  </w:r>
                </w:p>
                <w:p>
                  <w:pPr>
                    <w:pStyle w:val="null3"/>
                    <w:ind w:left="300"/>
                    <w:jc w:val="both"/>
                  </w:pPr>
                  <w:r>
                    <w:rPr>
                      <w:sz w:val="21"/>
                      <w:color w:val="000000"/>
                    </w:rPr>
                    <w:t>2、蝇类孳生地得到有效治理，幼虫和蛹的检出率不超过3％。</w:t>
                  </w:r>
                </w:p>
              </w:tc>
            </w:tr>
          </w:tbl>
          <w:p>
            <w:pPr>
              <w:pStyle w:val="null3"/>
            </w:pPr>
            <w:r>
              <w:rPr/>
              <w:t xml:space="preserve"> </w:t>
            </w:r>
          </w:p>
          <w:p>
            <w:pPr>
              <w:pStyle w:val="null3"/>
            </w:pPr>
            <w:r>
              <w:rPr/>
              <w:t xml:space="preserve"> </w:t>
            </w:r>
          </w:p>
          <w:p>
            <w:pPr>
              <w:pStyle w:val="null3"/>
            </w:pPr>
            <w:r>
              <w:rPr/>
              <w:t xml:space="preserve"> </w:t>
            </w:r>
          </w:p>
        </w:tc>
      </w:tr>
      <w:tr>
        <w:tc>
          <w:tcPr>
            <w:tcW w:type="dxa" w:w="2076"/>
          </w:tcPr>
          <w:p/>
        </w:tc>
        <w:tc>
          <w:tcPr>
            <w:tcW w:type="dxa" w:w="415"/>
          </w:tcPr>
          <w:p>
            <w:pPr>
              <w:pStyle w:val="null3"/>
            </w:pPr>
            <w:r>
              <w:rPr/>
              <w:t>4</w:t>
            </w:r>
          </w:p>
        </w:tc>
        <w:tc>
          <w:tcPr>
            <w:tcW w:type="dxa" w:w="5814"/>
          </w:tcPr>
          <w:p>
            <w:pPr>
              <w:pStyle w:val="null3"/>
            </w:pPr>
            <w:r>
              <w:rPr>
                <w:sz w:val="21"/>
                <w:b/>
                <w:color w:val="000000"/>
              </w:rPr>
              <w:t>四、监督考评办法</w:t>
            </w:r>
          </w:p>
          <w:p>
            <w:pPr>
              <w:pStyle w:val="null3"/>
              <w:ind w:firstLine="400"/>
              <w:jc w:val="both"/>
            </w:pPr>
            <w:r>
              <w:rPr>
                <w:sz w:val="21"/>
                <w:color w:val="000000"/>
              </w:rPr>
              <w:t>根据</w:t>
            </w:r>
            <w:r>
              <w:rPr>
                <w:sz w:val="21"/>
                <w:color w:val="000000"/>
              </w:rPr>
              <w:t>区卫生健康局</w:t>
            </w:r>
            <w:r>
              <w:rPr>
                <w:sz w:val="21"/>
                <w:color w:val="000000"/>
              </w:rPr>
              <w:t>【</w:t>
            </w:r>
            <w:r>
              <w:rPr>
                <w:sz w:val="21"/>
                <w:color w:val="000000"/>
              </w:rPr>
              <w:t>2006】4号文，《佛山市顺德区公共环境除四害承包质量考评标准》（试行）的通知精神，制定考评办法如下：</w:t>
            </w:r>
          </w:p>
          <w:p>
            <w:pPr>
              <w:pStyle w:val="null3"/>
              <w:ind w:firstLine="400"/>
              <w:jc w:val="both"/>
            </w:pPr>
            <w:r>
              <w:rPr>
                <w:sz w:val="21"/>
                <w:color w:val="000000"/>
              </w:rPr>
              <w:t>1、考评方式</w:t>
            </w:r>
          </w:p>
          <w:p>
            <w:pPr>
              <w:pStyle w:val="null3"/>
              <w:ind w:firstLine="400"/>
              <w:jc w:val="both"/>
            </w:pPr>
            <w:r>
              <w:rPr>
                <w:sz w:val="21"/>
                <w:color w:val="000000"/>
              </w:rPr>
              <w:t>采取街道</w:t>
            </w:r>
            <w:r>
              <w:rPr>
                <w:sz w:val="21"/>
                <w:color w:val="000000"/>
              </w:rPr>
              <w:t>卫生健康办公室</w:t>
            </w:r>
            <w:r>
              <w:rPr>
                <w:sz w:val="21"/>
                <w:color w:val="000000"/>
              </w:rPr>
              <w:t>、居村委会、容桂街综合行政执法队、社会监督等综合考核方法。</w:t>
            </w:r>
          </w:p>
          <w:p>
            <w:pPr>
              <w:pStyle w:val="null3"/>
              <w:ind w:firstLine="400"/>
              <w:jc w:val="both"/>
            </w:pPr>
            <w:r>
              <w:rPr>
                <w:sz w:val="21"/>
                <w:color w:val="000000"/>
              </w:rPr>
              <w:t>1.</w:t>
            </w:r>
            <w:r>
              <w:rPr>
                <w:sz w:val="21"/>
                <w:color w:val="000000"/>
              </w:rPr>
              <w:t>1</w:t>
            </w:r>
            <w:r>
              <w:rPr>
                <w:sz w:val="21"/>
                <w:color w:val="000000"/>
              </w:rPr>
              <w:t>居（村）委会考核：居（村）委会负责对除四害专业队日常工作进行监督，指导。对专业队放药、喷洒、治理孳生地等工作实行签名确认（采购人或容桂街道</w:t>
            </w:r>
            <w:r>
              <w:rPr>
                <w:sz w:val="21"/>
                <w:color w:val="000000"/>
              </w:rPr>
              <w:t>卫生健康办公室</w:t>
            </w:r>
            <w:r>
              <w:rPr>
                <w:sz w:val="21"/>
                <w:color w:val="000000"/>
              </w:rPr>
              <w:t>印发施工记录表），每月对服务本居</w:t>
            </w:r>
            <w:r>
              <w:rPr>
                <w:sz w:val="21"/>
                <w:color w:val="000000"/>
              </w:rPr>
              <w:t>(村)委会除四害工作进行一次系统检查。</w:t>
            </w:r>
          </w:p>
          <w:p>
            <w:pPr>
              <w:pStyle w:val="null3"/>
              <w:ind w:firstLine="400"/>
              <w:jc w:val="both"/>
            </w:pPr>
            <w:r>
              <w:rPr>
                <w:sz w:val="21"/>
                <w:color w:val="000000"/>
              </w:rPr>
              <w:t>1.</w:t>
            </w:r>
            <w:r>
              <w:rPr>
                <w:sz w:val="21"/>
                <w:color w:val="000000"/>
              </w:rPr>
              <w:t>2</w:t>
            </w:r>
            <w:r>
              <w:rPr>
                <w:sz w:val="21"/>
                <w:color w:val="000000"/>
              </w:rPr>
              <w:t>有关部门考核：容桂街道综合行政执法队结合环境卫生监管进行除四害项目监督，对中标人为垃圾中转站、垃圾屋、主干路下水道放药、喷洒等工作进行签名确认。发现问题及时向中标人提出改进意见，并报告街道</w:t>
            </w:r>
            <w:r>
              <w:rPr>
                <w:sz w:val="21"/>
                <w:color w:val="000000"/>
              </w:rPr>
              <w:t>卫生健康办公室</w:t>
            </w:r>
            <w:r>
              <w:rPr>
                <w:sz w:val="21"/>
                <w:color w:val="000000"/>
              </w:rPr>
              <w:t>备案。容桂街道综合行政执法队和</w:t>
            </w:r>
            <w:r>
              <w:rPr>
                <w:sz w:val="21"/>
                <w:color w:val="000000"/>
              </w:rPr>
              <w:t>卫生健康办公室</w:t>
            </w:r>
            <w:r>
              <w:rPr>
                <w:sz w:val="21"/>
                <w:color w:val="000000"/>
              </w:rPr>
              <w:t>结合平时卫生检查进行考核。</w:t>
            </w:r>
          </w:p>
          <w:p>
            <w:pPr>
              <w:pStyle w:val="null3"/>
              <w:ind w:firstLine="400"/>
              <w:jc w:val="both"/>
            </w:pPr>
            <w:r>
              <w:rPr>
                <w:sz w:val="21"/>
                <w:color w:val="000000"/>
              </w:rPr>
              <w:t>1.</w:t>
            </w:r>
            <w:r>
              <w:rPr>
                <w:sz w:val="21"/>
                <w:color w:val="000000"/>
              </w:rPr>
              <w:t>3</w:t>
            </w:r>
            <w:r>
              <w:rPr>
                <w:sz w:val="21"/>
                <w:color w:val="000000"/>
              </w:rPr>
              <w:t>社会监督：（</w:t>
            </w:r>
            <w:r>
              <w:rPr>
                <w:sz w:val="21"/>
                <w:color w:val="000000"/>
              </w:rPr>
              <w:t>1）群众评议：每季度由居（村）委会进行随机访问居民群众。（2）群众举报或投诉，每季度由街道</w:t>
            </w:r>
            <w:r>
              <w:rPr>
                <w:sz w:val="21"/>
                <w:color w:val="000000"/>
              </w:rPr>
              <w:t>卫生健康办公室</w:t>
            </w:r>
            <w:r>
              <w:rPr>
                <w:sz w:val="21"/>
                <w:color w:val="000000"/>
              </w:rPr>
              <w:t>收集和整理群众举报或投诉资料并计分。</w:t>
            </w:r>
          </w:p>
          <w:p>
            <w:pPr>
              <w:pStyle w:val="null3"/>
              <w:ind w:firstLine="400"/>
              <w:jc w:val="both"/>
            </w:pPr>
            <w:r>
              <w:rPr>
                <w:sz w:val="21"/>
                <w:color w:val="000000"/>
              </w:rPr>
              <w:t>2、评定办法</w:t>
            </w:r>
          </w:p>
          <w:p>
            <w:pPr>
              <w:pStyle w:val="null3"/>
              <w:ind w:firstLine="400"/>
              <w:jc w:val="both"/>
            </w:pPr>
            <w:r>
              <w:rPr>
                <w:sz w:val="21"/>
                <w:color w:val="000000"/>
              </w:rPr>
              <w:t>根据容桂街道综合行政执法队和</w:t>
            </w:r>
            <w:r>
              <w:rPr>
                <w:sz w:val="21"/>
                <w:color w:val="000000"/>
              </w:rPr>
              <w:t>卫生健康办公室</w:t>
            </w:r>
            <w:r>
              <w:rPr>
                <w:sz w:val="21"/>
                <w:color w:val="000000"/>
              </w:rPr>
              <w:t>评定、居（村）委会评定、群众评议四个方面的评议，把分别评出的四项分数作综合评定，得出除四害专业队的季度和年度评定分值。综合评定采用百分制。评定分值：容桂街道综合行政执法队评分占</w:t>
            </w:r>
            <w:r>
              <w:rPr>
                <w:sz w:val="21"/>
                <w:color w:val="000000"/>
              </w:rPr>
              <w:t>40分、</w:t>
            </w:r>
            <w:r>
              <w:rPr>
                <w:sz w:val="21"/>
                <w:color w:val="000000"/>
              </w:rPr>
              <w:t>卫生健康办公室</w:t>
            </w:r>
            <w:r>
              <w:rPr>
                <w:sz w:val="21"/>
                <w:color w:val="000000"/>
              </w:rPr>
              <w:t>评定占</w:t>
            </w:r>
            <w:r>
              <w:rPr>
                <w:sz w:val="21"/>
                <w:color w:val="000000"/>
              </w:rPr>
              <w:t>20分，居（村）委会评定占20分、社会监督（群众评议）占20分。群众举报或投诉属实，在总分直接扣除，每宗1分。</w:t>
            </w:r>
          </w:p>
          <w:p>
            <w:pPr>
              <w:pStyle w:val="null3"/>
              <w:ind w:firstLine="400"/>
              <w:jc w:val="both"/>
            </w:pPr>
            <w:r>
              <w:rPr>
                <w:sz w:val="21"/>
                <w:color w:val="000000"/>
              </w:rPr>
              <w:t>2.</w:t>
            </w:r>
            <w:r>
              <w:rPr>
                <w:sz w:val="21"/>
                <w:color w:val="000000"/>
              </w:rPr>
              <w:t>1</w:t>
            </w:r>
            <w:r>
              <w:rPr>
                <w:sz w:val="21"/>
                <w:color w:val="000000"/>
              </w:rPr>
              <w:t>居（村）委会评定：由居（村）委会根据日常管理和施工情况作综合评定。</w:t>
            </w:r>
          </w:p>
          <w:p>
            <w:pPr>
              <w:pStyle w:val="null3"/>
              <w:ind w:firstLine="400"/>
              <w:jc w:val="both"/>
            </w:pPr>
            <w:r>
              <w:rPr>
                <w:sz w:val="21"/>
                <w:color w:val="000000"/>
              </w:rPr>
              <w:t>2.</w:t>
            </w:r>
            <w:r>
              <w:rPr>
                <w:sz w:val="21"/>
                <w:color w:val="000000"/>
              </w:rPr>
              <w:t>2</w:t>
            </w:r>
            <w:r>
              <w:rPr>
                <w:sz w:val="21"/>
                <w:color w:val="000000"/>
              </w:rPr>
              <w:t>容桂街道综合行政执法队和</w:t>
            </w:r>
            <w:r>
              <w:rPr>
                <w:sz w:val="21"/>
                <w:color w:val="000000"/>
              </w:rPr>
              <w:t>卫生健康办公室</w:t>
            </w:r>
            <w:r>
              <w:rPr>
                <w:sz w:val="21"/>
                <w:color w:val="000000"/>
              </w:rPr>
              <w:t>评定：由有关部门根据日常监督作综合评定。</w:t>
            </w:r>
          </w:p>
          <w:p>
            <w:pPr>
              <w:pStyle w:val="null3"/>
              <w:ind w:firstLine="400"/>
              <w:jc w:val="both"/>
            </w:pPr>
            <w:r>
              <w:rPr>
                <w:sz w:val="21"/>
                <w:color w:val="000000"/>
              </w:rPr>
              <w:t>2.</w:t>
            </w:r>
            <w:r>
              <w:rPr>
                <w:sz w:val="21"/>
                <w:color w:val="000000"/>
              </w:rPr>
              <w:t>3</w:t>
            </w:r>
            <w:r>
              <w:rPr>
                <w:sz w:val="21"/>
                <w:color w:val="000000"/>
              </w:rPr>
              <w:t>群众评价：由居（村）委会季度考核时进行群众满意度测评，按</w:t>
            </w:r>
            <w:r>
              <w:rPr>
                <w:sz w:val="21"/>
                <w:color w:val="000000"/>
              </w:rPr>
              <w:t>10分评定。其中操作规程2分；防治效果7分；检测资料1分。</w:t>
            </w:r>
          </w:p>
          <w:p>
            <w:pPr>
              <w:pStyle w:val="null3"/>
              <w:ind w:firstLine="400"/>
              <w:jc w:val="both"/>
            </w:pPr>
            <w:r>
              <w:rPr>
                <w:sz w:val="21"/>
                <w:color w:val="000000"/>
              </w:rPr>
              <w:t>2.</w:t>
            </w:r>
            <w:r>
              <w:rPr>
                <w:sz w:val="21"/>
                <w:color w:val="000000"/>
              </w:rPr>
              <w:t>4</w:t>
            </w:r>
            <w:r>
              <w:rPr>
                <w:sz w:val="21"/>
                <w:color w:val="000000"/>
              </w:rPr>
              <w:t>社会监督（群众举报或投诉）：以各居村为单位，发生群众举报或投诉，经调查核实，中标人须立即进行跟踪处理，一宗投诉扣除</w:t>
            </w:r>
            <w:r>
              <w:rPr>
                <w:sz w:val="21"/>
                <w:color w:val="000000"/>
              </w:rPr>
              <w:t>1分。如果一个季度内同一地点发生两次群众举报或投诉，经调查情况属实的，扣除2分；当年同一地点群众举报或投诉，经调查情况属实的，超过两次后每增加一次，扣除2分。</w:t>
            </w:r>
          </w:p>
          <w:p>
            <w:pPr>
              <w:pStyle w:val="null3"/>
              <w:ind w:firstLine="400"/>
              <w:jc w:val="both"/>
            </w:pPr>
            <w:r>
              <w:rPr>
                <w:sz w:val="21"/>
                <w:color w:val="000000"/>
              </w:rPr>
              <w:t>3、年终评定</w:t>
            </w:r>
          </w:p>
          <w:p>
            <w:pPr>
              <w:pStyle w:val="null3"/>
              <w:ind w:firstLine="400"/>
              <w:jc w:val="both"/>
            </w:pPr>
            <w:r>
              <w:rPr>
                <w:sz w:val="21"/>
                <w:color w:val="000000"/>
              </w:rPr>
              <w:t>3.1</w:t>
            </w:r>
            <w:r>
              <w:rPr>
                <w:sz w:val="21"/>
                <w:color w:val="000000"/>
              </w:rPr>
              <w:t>根据四个季度考核结果，平均分达</w:t>
            </w:r>
            <w:r>
              <w:rPr>
                <w:sz w:val="21"/>
                <w:color w:val="000000"/>
              </w:rPr>
              <w:t>90分以上（含90分）为合格，采购人与中标人续签第二年的合同。</w:t>
            </w:r>
          </w:p>
          <w:p>
            <w:pPr>
              <w:pStyle w:val="null3"/>
              <w:ind w:firstLine="400"/>
              <w:jc w:val="both"/>
            </w:pPr>
            <w:r>
              <w:rPr>
                <w:sz w:val="21"/>
                <w:color w:val="000000"/>
              </w:rPr>
              <w:t>3.2</w:t>
            </w:r>
            <w:r>
              <w:rPr>
                <w:sz w:val="21"/>
                <w:color w:val="000000"/>
              </w:rPr>
              <w:t>根据四个季度考核结果，平均分</w:t>
            </w:r>
            <w:r>
              <w:rPr>
                <w:sz w:val="21"/>
                <w:color w:val="000000"/>
              </w:rPr>
              <w:t>＜</w:t>
            </w:r>
            <w:r>
              <w:rPr>
                <w:sz w:val="21"/>
                <w:color w:val="000000"/>
              </w:rPr>
              <w:t>90分</w:t>
            </w:r>
            <w:r>
              <w:rPr>
                <w:sz w:val="21"/>
                <w:color w:val="000000"/>
              </w:rPr>
              <w:t>的</w:t>
            </w:r>
            <w:r>
              <w:rPr>
                <w:sz w:val="21"/>
                <w:color w:val="000000"/>
              </w:rPr>
              <w:t>为不合格，合同终止，采购人不再与中标人续签第二年的合同。一切经济和法律责任由中标人承担。</w:t>
            </w:r>
          </w:p>
          <w:p>
            <w:pPr>
              <w:pStyle w:val="null3"/>
              <w:ind w:firstLine="400"/>
              <w:jc w:val="both"/>
            </w:pPr>
            <w:r>
              <w:rPr>
                <w:sz w:val="21"/>
                <w:color w:val="000000"/>
              </w:rPr>
              <w:t>4、质量制约</w:t>
            </w:r>
          </w:p>
          <w:p>
            <w:pPr>
              <w:pStyle w:val="null3"/>
              <w:ind w:firstLine="400"/>
              <w:jc w:val="both"/>
            </w:pPr>
            <w:r>
              <w:rPr>
                <w:sz w:val="21"/>
                <w:color w:val="000000"/>
              </w:rPr>
              <w:t>4.1季度和年度考核合格（发生扣罚和奖励情况除外）如数给付服务费用（以90分为合格基数）；考核不合格，每少1分扣罚季度服务费用2％。对服务质量差和操作规程不符合要求的，并出现其中2项超标的，每次扣罚服务费10000.00元；</w:t>
            </w:r>
            <w:r>
              <w:rPr>
                <w:sz w:val="21"/>
                <w:color w:val="000000"/>
              </w:rPr>
              <w:t>采购人</w:t>
            </w:r>
            <w:r>
              <w:rPr>
                <w:sz w:val="21"/>
                <w:color w:val="000000"/>
              </w:rPr>
              <w:t>提出整改意见，限期整改；逾期不整改，服务质量仍旧低劣，</w:t>
            </w:r>
            <w:r>
              <w:rPr>
                <w:sz w:val="21"/>
                <w:color w:val="000000"/>
              </w:rPr>
              <w:t>“三、服务标准”的四害中如有1项不符合标准的，没收其履约保证金，如有2项不符合标准或连续2次不合格的（不满90分），采购人有权无条件终止和解除服务合同、没收其履约保证金并取消该单位的服务资格。一切经济和法律责任由中标人承担。</w:t>
            </w:r>
          </w:p>
          <w:p>
            <w:pPr>
              <w:pStyle w:val="null3"/>
              <w:ind w:firstLine="400"/>
              <w:jc w:val="both"/>
            </w:pPr>
            <w:r>
              <w:rPr>
                <w:sz w:val="21"/>
                <w:color w:val="000000"/>
              </w:rPr>
              <w:t>4.2扣罚</w:t>
            </w:r>
          </w:p>
          <w:p>
            <w:pPr>
              <w:pStyle w:val="null3"/>
              <w:ind w:firstLine="400"/>
              <w:jc w:val="both"/>
            </w:pPr>
            <w:r>
              <w:rPr>
                <w:sz w:val="21"/>
                <w:color w:val="000000"/>
              </w:rPr>
              <w:t>（</w:t>
            </w:r>
            <w:r>
              <w:rPr>
                <w:sz w:val="21"/>
                <w:color w:val="000000"/>
              </w:rPr>
              <w:t>1）违反操作规程，严重影响工作质量，受到上级部门批评的，扣罚该季度服务费总额的5％；</w:t>
            </w:r>
          </w:p>
          <w:p>
            <w:pPr>
              <w:pStyle w:val="null3"/>
              <w:ind w:firstLine="400"/>
              <w:jc w:val="both"/>
            </w:pPr>
            <w:r>
              <w:rPr>
                <w:sz w:val="21"/>
                <w:color w:val="000000"/>
              </w:rPr>
              <w:t>（</w:t>
            </w:r>
            <w:r>
              <w:rPr>
                <w:sz w:val="21"/>
                <w:color w:val="000000"/>
              </w:rPr>
              <w:t>2）不按规定用药，或施药弄虚作假，施药不足者，扣罚该季度服务费总额的7％；</w:t>
            </w:r>
          </w:p>
          <w:p>
            <w:pPr>
              <w:pStyle w:val="null3"/>
              <w:ind w:firstLine="400"/>
              <w:jc w:val="both"/>
            </w:pPr>
            <w:r>
              <w:rPr>
                <w:sz w:val="21"/>
                <w:color w:val="000000"/>
              </w:rPr>
              <w:t>（</w:t>
            </w:r>
            <w:r>
              <w:rPr>
                <w:sz w:val="21"/>
                <w:color w:val="000000"/>
              </w:rPr>
              <w:t>3）中标人有责任配合采购人接受上级领导部门的监督、检查，并提供必须的材料。遇有上级检查及大型活动等需要突击加班的，必须无条件服从安排，在接到通知后2小时内人员必须按要求带全装备到场开展工作，否则每次扣罚当季服务费的2%，突击任务所产生的费用由中标人负责（含卫生防疫）；突发任务未能按时按质完成，对采购人形象造成负面影响的，每次扣罚当季服务费的5%。</w:t>
            </w:r>
          </w:p>
          <w:p>
            <w:pPr>
              <w:pStyle w:val="null3"/>
              <w:ind w:firstLine="400"/>
              <w:jc w:val="both"/>
            </w:pPr>
            <w:r>
              <w:rPr>
                <w:sz w:val="21"/>
                <w:color w:val="000000"/>
              </w:rPr>
              <w:t>（</w:t>
            </w:r>
            <w:r>
              <w:rPr>
                <w:sz w:val="21"/>
                <w:color w:val="000000"/>
              </w:rPr>
              <w:t>4）在合同履行服务过程中，采购人不定期对中标人的服务人数、资格证、药品登记证及机械设备数量抽查，发现缺人、缺证、缺设备的，每次罚款3000元/人/证/机。累计2次抽查不合格一次罚款20000元，采购人有权无条件终止和解除服务合同，没收履约保证金并取消该单位的服务资格，一切经济和法律责任由中标人承担。</w:t>
            </w:r>
          </w:p>
          <w:p>
            <w:pPr>
              <w:pStyle w:val="null3"/>
              <w:ind w:firstLine="400"/>
              <w:jc w:val="both"/>
            </w:pPr>
            <w:r>
              <w:rPr>
                <w:sz w:val="21"/>
                <w:color w:val="000000"/>
              </w:rPr>
              <w:t>（</w:t>
            </w:r>
            <w:r>
              <w:rPr>
                <w:sz w:val="21"/>
                <w:color w:val="000000"/>
              </w:rPr>
              <w:t>5）中标人需每季度向采购人提供药品采购发票等材料，若检查中发现每季度的采购药品数量不够或型号不一致的，在季度服务费中扣减采购不足的金额。</w:t>
            </w:r>
          </w:p>
          <w:p>
            <w:pPr>
              <w:pStyle w:val="null3"/>
              <w:ind w:firstLine="400"/>
              <w:jc w:val="both"/>
            </w:pPr>
            <w:r>
              <w:rPr>
                <w:sz w:val="21"/>
                <w:color w:val="000000"/>
              </w:rPr>
              <w:t>5、其他要求及注意事项</w:t>
            </w:r>
          </w:p>
          <w:p>
            <w:pPr>
              <w:pStyle w:val="null3"/>
              <w:ind w:firstLine="400"/>
              <w:jc w:val="both"/>
            </w:pPr>
            <w:r>
              <w:rPr>
                <w:sz w:val="21"/>
                <w:color w:val="000000"/>
              </w:rPr>
              <w:t>5.1中标人针对项目实施必须配置与投标要求相应的工员和设备，中标人在最低配置要求的基础上，应加强、加大人力和设备的投入，有效确保除四害工作达到良好效果。</w:t>
            </w:r>
          </w:p>
          <w:p>
            <w:pPr>
              <w:pStyle w:val="null3"/>
              <w:ind w:firstLine="400"/>
              <w:jc w:val="both"/>
            </w:pPr>
            <w:r>
              <w:rPr>
                <w:sz w:val="21"/>
                <w:color w:val="000000"/>
              </w:rPr>
              <w:t>5.2若标段辖区有发现死鼠或居民打死老鼠，中标人必须上门义务处理死鼠。</w:t>
            </w:r>
          </w:p>
          <w:p>
            <w:pPr>
              <w:pStyle w:val="null3"/>
              <w:ind w:firstLine="400"/>
              <w:jc w:val="both"/>
            </w:pPr>
            <w:r>
              <w:rPr>
                <w:sz w:val="21"/>
                <w:color w:val="000000"/>
              </w:rPr>
              <w:t>5.3标段辖区每居委必须布放诱蚊产卵器60个，每月监测一次，记录在案上报数据。</w:t>
            </w:r>
          </w:p>
          <w:p>
            <w:pPr>
              <w:pStyle w:val="null3"/>
              <w:ind w:firstLine="400"/>
              <w:jc w:val="both"/>
            </w:pPr>
            <w:r>
              <w:rPr>
                <w:sz w:val="21"/>
                <w:color w:val="000000"/>
              </w:rPr>
              <w:t>5.4防治药品及相关器械的使用按国家有关部门指定的最新标准执行。</w:t>
            </w:r>
          </w:p>
          <w:p>
            <w:pPr>
              <w:pStyle w:val="null3"/>
              <w:ind w:firstLine="400"/>
              <w:jc w:val="both"/>
            </w:pPr>
            <w:r>
              <w:rPr>
                <w:sz w:val="21"/>
                <w:color w:val="000000"/>
              </w:rPr>
              <w:t>5.5中标人对聘用员工必须严格管理，对他们的行为负全责，如在服务期内发生劳资纠纷、意外（生病、伤亡事故）或违反合同规定、触犯国家法律等，由中标人承担全部责任及因事故产生的一切费用。</w:t>
            </w:r>
          </w:p>
          <w:p>
            <w:pPr>
              <w:pStyle w:val="null3"/>
              <w:ind w:firstLine="400"/>
              <w:jc w:val="both"/>
            </w:pPr>
            <w:r>
              <w:rPr>
                <w:sz w:val="21"/>
                <w:color w:val="000000"/>
              </w:rPr>
              <w:t>5.6为了保障员工人身安全及意外的福利保险，中标人必须依法用工与作业人员签订劳动合同，按顺德区社会劳动保险的有关规定为员工购买社会保险，按时发放工资补贴。人员工资不得低于顺德区最低工资标准。（在每季度5号前将上季度各员工的银行工资转账及社保部门的原始单据交采购人审核）。</w:t>
            </w:r>
          </w:p>
          <w:p>
            <w:pPr>
              <w:pStyle w:val="null3"/>
              <w:ind w:firstLine="400"/>
              <w:jc w:val="both"/>
            </w:pPr>
            <w:r>
              <w:rPr>
                <w:sz w:val="21"/>
                <w:color w:val="000000"/>
              </w:rPr>
              <w:t>5.7中标人为服务人员配备相应的防护用品。</w:t>
            </w:r>
          </w:p>
          <w:p>
            <w:pPr>
              <w:pStyle w:val="null3"/>
              <w:ind w:firstLine="400"/>
              <w:jc w:val="both"/>
            </w:pPr>
            <w:r>
              <w:rPr>
                <w:sz w:val="21"/>
                <w:color w:val="000000"/>
              </w:rPr>
              <w:t>5.8中标人应做好服务人员档案管理资料；做好工作记录，建立施药服务卡，做好资料收集，整理归档。如采购人有需要必须随时提供。</w:t>
            </w:r>
          </w:p>
          <w:p>
            <w:pPr>
              <w:pStyle w:val="null3"/>
              <w:ind w:firstLine="400"/>
              <w:jc w:val="both"/>
            </w:pPr>
            <w:r>
              <w:rPr>
                <w:sz w:val="21"/>
                <w:color w:val="000000"/>
              </w:rPr>
              <w:t>5.9按采购人要求做好各种规范的除“四害”监测纪录，制定科学的年度、季度除“四害”工作计划，包括技术方案、工作方法、用药计划等。每季度15号前将上季度的实施质量和工作情况向采购人作书面报告。</w:t>
            </w:r>
          </w:p>
          <w:p>
            <w:pPr>
              <w:pStyle w:val="null3"/>
              <w:ind w:firstLine="400"/>
              <w:jc w:val="both"/>
            </w:pPr>
            <w:r>
              <w:rPr>
                <w:sz w:val="21"/>
                <w:color w:val="000000"/>
              </w:rPr>
              <w:t>5.10科学用药，不得使用国家禁用或伪劣的灭鼠、杀虫剂，并需安全操作，不污染环境，确保人、畜安全，若因管理操作引起的一切责任由中标人负责。</w:t>
            </w:r>
          </w:p>
          <w:p>
            <w:pPr>
              <w:pStyle w:val="null3"/>
              <w:ind w:firstLine="400"/>
              <w:jc w:val="both"/>
            </w:pPr>
            <w:r>
              <w:rPr>
                <w:sz w:val="21"/>
                <w:color w:val="000000"/>
              </w:rPr>
              <w:t>5.11在服务期内，采购人没有增加服务内容、项目，而中标人自行增加工作人员的，所增加的费用由中标人负责。</w:t>
            </w:r>
          </w:p>
          <w:p>
            <w:pPr>
              <w:pStyle w:val="null3"/>
              <w:ind w:firstLine="400"/>
              <w:jc w:val="both"/>
            </w:pPr>
            <w:r>
              <w:rPr>
                <w:sz w:val="21"/>
                <w:color w:val="000000"/>
              </w:rPr>
              <w:t>5.12每年4-11月在除四害高发季节，中标人须无条件配合政府有关部门做好宣传和指导，并对有需要的市民提供优质服务。</w:t>
            </w:r>
          </w:p>
          <w:p>
            <w:pPr>
              <w:pStyle w:val="null3"/>
              <w:ind w:firstLine="400"/>
              <w:jc w:val="both"/>
            </w:pPr>
            <w:r>
              <w:rPr>
                <w:sz w:val="21"/>
                <w:color w:val="000000"/>
              </w:rPr>
              <w:t>5.13中标人除设立足够的作业人员外，还要指派1名能代表中标人履行管理及在检查考评中能承担责任的人员配合采购人、居（村）及监督员的检查考评，以方便日常检查及监督。中标人指派代表应确保手机通信畅通。</w:t>
            </w:r>
          </w:p>
          <w:p>
            <w:pPr>
              <w:pStyle w:val="null3"/>
              <w:ind w:firstLine="400"/>
              <w:jc w:val="both"/>
            </w:pPr>
            <w:r>
              <w:rPr>
                <w:sz w:val="21"/>
                <w:color w:val="000000"/>
              </w:rPr>
              <w:t>5.14中标人无条件配合政府及有关部门举办的一切活动，协助政府及有相部门处理因“四害”引发的应急事件。</w:t>
            </w:r>
          </w:p>
          <w:p>
            <w:pPr>
              <w:pStyle w:val="null3"/>
              <w:ind w:firstLine="400"/>
              <w:jc w:val="both"/>
            </w:pPr>
            <w:r>
              <w:rPr>
                <w:sz w:val="21"/>
                <w:color w:val="000000"/>
              </w:rPr>
              <w:t>5.15及时向采购人及相关部门反映异常情况。</w:t>
            </w:r>
          </w:p>
          <w:p>
            <w:pPr>
              <w:pStyle w:val="null3"/>
            </w:pPr>
            <w:r>
              <w:rPr>
                <w:sz w:val="21"/>
                <w:color w:val="000000"/>
              </w:rPr>
              <w:t>5.16中标人应在合同签订后购买公共责任险。</w:t>
            </w:r>
          </w:p>
        </w:tc>
      </w:tr>
      <w:tr>
        <w:tc>
          <w:tcPr>
            <w:tcW w:type="dxa" w:w="2076"/>
          </w:tcPr>
          <w:p/>
        </w:tc>
        <w:tc>
          <w:tcPr>
            <w:tcW w:type="dxa" w:w="415"/>
          </w:tcPr>
          <w:p>
            <w:pPr>
              <w:pStyle w:val="null3"/>
            </w:pPr>
            <w:r>
              <w:rPr/>
              <w:t>5</w:t>
            </w:r>
          </w:p>
        </w:tc>
        <w:tc>
          <w:tcPr>
            <w:tcW w:type="dxa" w:w="5814"/>
          </w:tcPr>
          <w:p>
            <w:pPr>
              <w:pStyle w:val="null3"/>
            </w:pPr>
            <w:r>
              <w:rPr>
                <w:sz w:val="21"/>
                <w:b/>
                <w:color w:val="000000"/>
              </w:rPr>
              <w:t>五、其他要求</w:t>
            </w:r>
          </w:p>
          <w:p>
            <w:pPr>
              <w:pStyle w:val="null3"/>
              <w:jc w:val="both"/>
            </w:pPr>
            <w:r>
              <w:rPr>
                <w:sz w:val="21"/>
                <w:color w:val="000000"/>
              </w:rPr>
              <w:t>1、根据省、市、区抗药性监测数据，使用推荐产品。</w:t>
            </w:r>
          </w:p>
          <w:p>
            <w:pPr>
              <w:pStyle w:val="null3"/>
              <w:jc w:val="both"/>
            </w:pPr>
            <w:r>
              <w:rPr>
                <w:sz w:val="21"/>
                <w:color w:val="000000"/>
              </w:rPr>
              <w:t>2、药物必须提供具备“三证”（农药登记证、农药生产许可证、企业标准证）并可追索来源，“四害”中每项必须不少于4种不同厂家的药品轮换使用，降低耐药性。</w:t>
            </w:r>
          </w:p>
          <w:p>
            <w:pPr>
              <w:pStyle w:val="null3"/>
              <w:jc w:val="both"/>
            </w:pPr>
            <w:r>
              <w:rPr>
                <w:sz w:val="21"/>
                <w:color w:val="000000"/>
              </w:rPr>
              <w:t>3、安全操作，灭鼠药物须妥善保管，不得遗失，灭鼠毒饵靠边和隐蔽处投放；不污染环境，确保人、畜安全，若因管理或操作不当而引起的一切责任由中标人承担。</w:t>
            </w:r>
          </w:p>
          <w:p>
            <w:pPr>
              <w:pStyle w:val="null3"/>
            </w:pPr>
            <w:r>
              <w:rPr>
                <w:sz w:val="21"/>
                <w:color w:val="000000"/>
              </w:rPr>
              <w:t>4、现场要求：中标人须在现场设有仓库，用于存放药物及服务用品，并配备仓库管理员进行仓库管理及做好安全管理措施。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1.采购代理机构：本项目是指广东华伦招标有限公司，负责整个采购活动的组织，依法负责编制和发布招标文件，对招标文件拥有最终的解释权，不以任何身份出任评标委员会成员。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佛山市顺德区容桂街道综合行政执法队</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1、容桂街道2026-2027年度除四害采购服务项目共包含三个采购包，分别是采购包1：容桂街道2026-2027年度除四害采购服务项目（A标段）、采购包2：容桂街道2026-2027年度除四害采购服务项目（B标段）、采购包3：容桂街道2026-2027年度除四害采购服务项目（C标段），以下简称“采购包1（A标段）”、“采购包2（B标段）”、“采购包3（C标段）”。 2、“采购包1（A标段）”、“采购包2（B标段）”、“采购包3（C标段）”三个采购包兼投不兼中，投标人可以参与多个采购包的投标，但是最多只能被确定为1个采购包的第一中标候选人。本项目的评审顺序为：先“采购包1（A标段）”，再“采购包2（B标段）”，最后“采购包3（C标段）”。 3、已被推荐为任一采购包的第一中标候选人的投标人将不再参与其余采购包的评审（视为其余采购包的符合性评审不通过），且不具有其余采购包的第一中标候选人推荐资格。依此类推。 4、本项目评审结束后，如“采购包1（A标段）”、或“采购包2（B标段）”、“采购包3（C标段）”出现改变排序或者重新评审或重新招标等改变中标结果的情形，其余采购包的排序和评审结果均不作任何调整。若某一采购包出现重新招标的情形，则其余采购包第一中标候选人不能再参与该包的重新招标；若某一采购包出现其他改变中标结果但不需要重新招标的情形，导致同一单位在多个子包排名第一的，则优先保持其余采购包的排序和评审结果不变，前述改变中标结果的采购包按照投标人排名推荐再下一名次的投标人为第一中标候选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采购机构代理服务收费标准：参照国家计委颁布的《招标代理服务收费管理暂行办法》（计价格[2002]1980号）计费类别“服务招标”的招标代理服务费收费标准执行。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1，在不同媒体发布的同一政府采购信息内容、时间不一致的，以在广东省政府采购网 (https://gdgpo.czt.gd.gov.cn/)发布的信息为准。</w:t>
            </w:r>
          </w:p>
          <w:p>
            <w:pPr>
              <w:pStyle w:val="null3"/>
              <w:jc w:val="left"/>
            </w:pPr>
            <w:r>
              <w:rPr/>
              <w:t>2，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left"/>
            </w:pPr>
            <w:r>
              <w:rPr/>
              <w:t>3，根据《佛山市政务服务数据管理局佛山市财政局关于进一步促进公平竞争优化政府采购营商环境的通知》（佛政数函[2021] 54号），参与政府采购的中小微企业可凭借中标(成交)通知书或政府采购合同，利用“省中小融”、“粤信融”、“中征应收账款融资服务平台”等平台向金融机构申请融资，获得无财产抵押贷款。</w:t>
            </w:r>
          </w:p>
          <w:p>
            <w:pPr>
              <w:pStyle w:val="null3"/>
              <w:jc w:val="left"/>
            </w:pPr>
            <w:r>
              <w:rPr/>
              <w:t>4，异常低价审查，评审中出现下列情形之一的，评审委员会应当启动异常低价投标审查程序：（一）投标报价低于全部通过符合性审查供应商投标报价平均值50%的，即投标报价&lt;全部通过符合性审查供应商投标报价平均值×50%；（二）投标报价低于通过符合性审查且报价次低供应商投标报价50%的，即投标报价&lt;通过符合性审查的次低报价供应商投标报价×50%；（三）投标报价低于采购项目最高限价45%的，即投标报价&lt;采购项目最高限价×45%；（四）评审委员会基于专业判断，认为供应商报价过低，有可能影响产品质量或者不能诚信履约的其他情形。 评审委员会启动异常低价投标审查后，应当要求相关供应商在评审现场合理的时间内对投标价格作出解释，提供具体成本测算等与报价合理性相关的书面说明及必要的证明材料。评审委员会依据专业经验，参考同类项目中标（成交）价格、类似产品市场价格水平、行业人工费用标准、国家有关部门指导行业协会发布的行业平均成本等情况，对报价合理性进行判断。如果投标供应商不提供书面说明、证明材料，或者提供的书面说明、证明材料不能证明其报价合理性的，应当将其作为无效投标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p>
            <w:pPr>
              <w:pStyle w:val="null3"/>
              <w:jc w:val="left"/>
            </w:pPr>
            <w:r>
              <w:rPr/>
              <w:t>采购包2：面向小微企业，采购包专门预留</w:t>
            </w:r>
          </w:p>
          <w:p>
            <w:pPr>
              <w:pStyle w:val="null3"/>
              <w:jc w:val="left"/>
            </w:pPr>
            <w:r>
              <w:rPr/>
              <w:t>采购包3：面向小微企业，采购包专门预留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广东华伦招标有限公司</w:t>
      </w:r>
      <w:r>
        <w:rPr/>
        <w:t>代收。具体操作要求详见</w:t>
      </w:r>
      <w:r>
        <w:rPr/>
        <w:t>广东华伦招标有限公司</w:t>
      </w:r>
      <w:r>
        <w:rPr/>
        <w:t>有关指引，递交事宜请自行咨询</w:t>
      </w:r>
      <w:r>
        <w:rPr/>
        <w:t>广东华伦招标有限公司</w:t>
      </w:r>
      <w:r>
        <w:rPr/>
        <w:t>；请各投标人在投标文件递交截止时间前按须知前附表规定的金额递交至</w:t>
      </w:r>
      <w:r>
        <w:rPr/>
        <w:t>广东华伦招标有限公司</w:t>
      </w:r>
      <w:r>
        <w:rPr/>
        <w:t>，到账情况以开标时</w:t>
      </w:r>
      <w:r>
        <w:rPr/>
        <w:t>广东华伦招标有限公司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傅剑伟</w:t>
      </w:r>
    </w:p>
    <w:p>
      <w:pPr>
        <w:pStyle w:val="null3"/>
        <w:ind w:firstLine="480"/>
      </w:pPr>
      <w:r>
        <w:rPr/>
        <w:t>电话：</w:t>
      </w:r>
      <w:r>
        <w:rPr/>
        <w:t>0757-22332909</w:t>
      </w:r>
    </w:p>
    <w:p>
      <w:pPr>
        <w:pStyle w:val="null3"/>
        <w:ind w:firstLine="480"/>
      </w:pPr>
      <w:r>
        <w:rPr/>
        <w:t>传真：</w:t>
      </w:r>
      <w:r>
        <w:rPr/>
        <w:t>0757-22332901</w:t>
      </w:r>
    </w:p>
    <w:p>
      <w:pPr>
        <w:pStyle w:val="null3"/>
        <w:ind w:firstLine="480"/>
      </w:pPr>
      <w:r>
        <w:rPr/>
        <w:t>邮箱：</w:t>
      </w:r>
      <w:r>
        <w:rPr/>
        <w:t>gdhlsd@126.com</w:t>
      </w:r>
    </w:p>
    <w:p>
      <w:pPr>
        <w:pStyle w:val="null3"/>
        <w:ind w:firstLine="480"/>
      </w:pPr>
      <w:r>
        <w:rPr/>
        <w:t>地址：</w:t>
      </w:r>
      <w:r>
        <w:rPr/>
        <w:t>佛山市顺德区大良沿江北路121号龙威大厦20楼CD区</w:t>
      </w:r>
    </w:p>
    <w:p>
      <w:pPr>
        <w:pStyle w:val="null3"/>
        <w:ind w:firstLine="480"/>
      </w:pPr>
      <w:r>
        <w:rPr/>
        <w:t>邮编：</w:t>
      </w:r>
      <w:r>
        <w:rPr/>
        <w:t>528300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容桂街道2026-2027年度除四害采购服务项目A标段)：综合评分法,是指投标文件满足招标文件全部实质性要求，且按照评审因素的量化指标评审得分最高的投标人为中标候选人的评标方法。（最低报价不是中标的唯一依据。）</w:t>
      </w:r>
    </w:p>
    <w:p>
      <w:pPr>
        <w:pStyle w:val="null3"/>
      </w:pPr>
      <w:r>
        <w:rPr/>
        <w:t>采购包2(容桂街道2026-2027年度除四害采购服务项目B标段)：综合评分法,是指投标文件满足招标文件全部实质性要求，且按照评审因素的量化指标评审得分最高的投标人为中标候选人的评标方法。（最低报价不是中标的唯一依据。）</w:t>
      </w:r>
    </w:p>
    <w:p>
      <w:pPr>
        <w:pStyle w:val="null3"/>
      </w:pPr>
      <w:r>
        <w:rPr/>
        <w:t>采购包3(容桂街道2026-2027年度除四害采购服务项目C标段)：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广东华伦招标有限公司</w:t>
      </w:r>
      <w:r>
        <w:rPr/>
        <w:t>统一对外发布。</w:t>
      </w:r>
    </w:p>
    <w:p>
      <w:pPr>
        <w:pStyle w:val="null3"/>
        <w:ind w:firstLine="480"/>
      </w:pPr>
      <w:r>
        <w:rPr/>
        <w:t>（2）对</w:t>
      </w:r>
      <w:r>
        <w:rPr/>
        <w:t>广东华伦招标有限公司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采购包1（容桂街道2026-2027年度除四害采购服务项目A标段）：</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采购包2（容桂街道2026-2027年度除四害采购服务项目B标段）：</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采购包3（容桂街道2026-2027年度除四害采购服务项目C标段）：</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采购包1（容桂街道2026-2027年度除四害采购服务项目A标段）：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提供相应证明材料。），或提供《政府采购供应商资格信用承诺函》（承诺函格式见采购公告附件）。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供应商必须具有良好的商业信誉和健全的财务会计制度（提供2024或2025年度财务状况报告或基本开户行出具的资信证明或提供《政府采购供应商资格信用承诺函》（承诺函格式见采购公告附件））。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承诺函格式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小微企业采购，监狱企业、残疾人福利性单位视同小微企业。（1）中小企业评审及《中小企业声明函》填写要求：①本项目为服务类项目，投标人须根据本项目采购类别选择对应的《中小企业声明函》填写。②根据中小企业划分标准，本项目所属行业为其他未列明行业。③投标人提交的《中小企业声明函》应按要求完整填报所有信息。（2）监狱企业评审要求：提供由省级以上监狱管理局、戒毒管理局（含新疆生产建设兵团）出具的属于监狱企业的证明文件。（3）残疾人福利性单位评审要求：提供《残疾人福利性单位声明函》。</w:t>
            </w:r>
          </w:p>
        </w:tc>
      </w:tr>
    </w:tbl>
    <w:p>
      <w:pPr>
        <w:pStyle w:val="null3"/>
      </w:pPr>
      <w:r>
        <w:rPr/>
        <w:t>采购包2（容桂街道2026-2027年度除四害采购服务项目B标段）：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提供相应证明材料。），或提供《政府采购供应商资格信用承诺函》（承诺函格式见采购公告附件）。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供应商必须具有良好的商业信誉和健全的财务会计制度（提供2024或2025年度财务状况报告或基本开户行出具的资信证明或提供《政府采购供应商资格信用承诺函》（承诺函格式见采购公告附件））。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承诺函格式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小微企业采购，监狱企业、残疾人福利性单位视同小微企业。（1）中小企业评审及《中小企业声明函》填写要求：①本项目为服务类项目，投标人须根据本项目采购类别选择对应的《中小企业声明函》填写。②根据中小企业划分标准，本项目所属行业为其他未列明行业。③投标人提交的《中小企业声明函》应按要求完整填报所有信息。（2）监狱企业评审要求：提供由省级以上监狱管理局、戒毒管理局（含新疆生产建设兵团）出具的属于监狱企业的证明文件。（3）残疾人福利性单位评审要求：提供《残疾人福利性单位声明函》。</w:t>
            </w:r>
          </w:p>
        </w:tc>
      </w:tr>
    </w:tbl>
    <w:p>
      <w:pPr>
        <w:pStyle w:val="null3"/>
      </w:pPr>
      <w:r>
        <w:rPr/>
        <w:t>采购包3（容桂街道2026-2027年度除四害采购服务项目C标段）：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提供相应证明材料。），或提供《政府采购供应商资格信用承诺函》（承诺函格式见采购公告附件）。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供应商必须具有良好的商业信誉和健全的财务会计制度（提供2024或2025年度财务状况报告或基本开户行出具的资信证明或提供《政府采购供应商资格信用承诺函》（承诺函格式见采购公告附件））。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承诺函格式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小微企业采购，监狱企业、残疾人福利性单位视同小微企业。（1）中小企业评审及《中小企业声明函》填写要求：①本项目为服务类项目，投标人须根据本项目采购类别选择对应的《中小企业声明函》填写。②根据中小企业划分标准，本项目所属行业为其他未列明行业。③投标人提交的《中小企业声明函》应按要求完整填报所有信息。（2）监狱企业评审要求：提供由省级以上监狱管理局、戒毒管理局（含新疆生产建设兵团）出具的属于监狱企业的证明文件。（3）残疾人福利性单位评审要求：提供《残疾人福利性单位声明函》。</w:t>
            </w:r>
          </w:p>
        </w:tc>
      </w:tr>
    </w:tbl>
    <w:p>
      <w:pPr>
        <w:pStyle w:val="null3"/>
        <w:ind w:firstLine="480"/>
      </w:pPr>
      <w:r>
        <w:rPr/>
        <w:t>表二符合性审查表：</w:t>
      </w:r>
    </w:p>
    <w:p>
      <w:pPr>
        <w:pStyle w:val="null3"/>
      </w:pPr>
      <w:r>
        <w:rPr/>
        <w:t>采购包1（容桂街道2026-2027年度除四害采购服务项目A标段）：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投标文件的投标函、法定代表人证明书和法定代表人授权书（如有）按招标文件规定签字、盖章（见投标函、法定代表人证明书、法定代表人授权书（如有））</w:t>
            </w:r>
          </w:p>
        </w:tc>
      </w:tr>
      <w:tr>
        <w:tc>
          <w:tcPr>
            <w:tcW w:type="dxa" w:w="890"/>
          </w:tcPr>
          <w:p>
            <w:pPr>
              <w:pStyle w:val="null3"/>
            </w:pPr>
            <w:r>
              <w:rPr/>
              <w:t>2</w:t>
            </w:r>
          </w:p>
        </w:tc>
        <w:tc>
          <w:tcPr>
            <w:tcW w:type="dxa" w:w="3178"/>
          </w:tcPr>
          <w:p>
            <w:pPr>
              <w:pStyle w:val="null3"/>
            </w:pPr>
            <w:r>
              <w:rPr/>
              <w:t>商务要求及合同响应</w:t>
            </w:r>
          </w:p>
        </w:tc>
        <w:tc>
          <w:tcPr>
            <w:tcW w:type="dxa" w:w="4238"/>
          </w:tcPr>
          <w:p>
            <w:pPr>
              <w:pStyle w:val="null3"/>
            </w:pPr>
            <w:r>
              <w:rPr/>
              <w:t>实质性响应招标文件中的商务要求和合同条款（见《商务条件响应表》）</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(1)投标报价方案是唯一的，符合招标文件的其他投标报价相关要求（见《开标一览表》）。 (2) 如出现适用异常低价投标审查程序的情形，投标人应能证明其报价合理性。</w:t>
            </w:r>
          </w:p>
        </w:tc>
      </w:tr>
      <w:tr>
        <w:tc>
          <w:tcPr>
            <w:tcW w:type="dxa" w:w="890"/>
          </w:tcPr>
          <w:p>
            <w:pPr>
              <w:pStyle w:val="null3"/>
            </w:pPr>
            <w:r>
              <w:rPr/>
              <w:t>4</w:t>
            </w:r>
          </w:p>
        </w:tc>
        <w:tc>
          <w:tcPr>
            <w:tcW w:type="dxa" w:w="3178"/>
          </w:tcPr>
          <w:p>
            <w:pPr>
              <w:pStyle w:val="null3"/>
            </w:pPr>
            <w:r>
              <w:rPr/>
              <w:t>不可负偏离的重要项响应</w:t>
            </w:r>
          </w:p>
        </w:tc>
        <w:tc>
          <w:tcPr>
            <w:tcW w:type="dxa" w:w="4238"/>
          </w:tcPr>
          <w:p>
            <w:pPr>
              <w:pStyle w:val="null3"/>
            </w:pPr>
            <w:r>
              <w:rPr/>
              <w:t>实质性响应招标文件中的不可负偏离的重要项（带“★”项）要求；投标文件未含有采购人不能接受的附加条款（见《技术和服务要求响应表》和《商务条件响应表》）</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未发现法律、法规和招标文件规定的其他无效情形（见《商务条件响应表》）</w:t>
            </w:r>
          </w:p>
        </w:tc>
      </w:tr>
    </w:tbl>
    <w:p>
      <w:pPr>
        <w:pStyle w:val="null3"/>
      </w:pPr>
      <w:r>
        <w:rPr/>
        <w:t>采购包2（容桂街道2026-2027年度除四害采购服务项目B标段）：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投标文件的投标函、法定代表人证明书和法定代表人授权书（如有）按招标文件规定签字、盖章（见投标函、法定代表人证明书、法定代表人授权书（如有））</w:t>
            </w:r>
          </w:p>
        </w:tc>
      </w:tr>
      <w:tr>
        <w:tc>
          <w:tcPr>
            <w:tcW w:type="dxa" w:w="890"/>
          </w:tcPr>
          <w:p>
            <w:pPr>
              <w:pStyle w:val="null3"/>
            </w:pPr>
            <w:r>
              <w:rPr/>
              <w:t>2</w:t>
            </w:r>
          </w:p>
        </w:tc>
        <w:tc>
          <w:tcPr>
            <w:tcW w:type="dxa" w:w="3178"/>
          </w:tcPr>
          <w:p>
            <w:pPr>
              <w:pStyle w:val="null3"/>
            </w:pPr>
            <w:r>
              <w:rPr/>
              <w:t>商务要求及合同响应</w:t>
            </w:r>
          </w:p>
        </w:tc>
        <w:tc>
          <w:tcPr>
            <w:tcW w:type="dxa" w:w="4238"/>
          </w:tcPr>
          <w:p>
            <w:pPr>
              <w:pStyle w:val="null3"/>
            </w:pPr>
            <w:r>
              <w:rPr/>
              <w:t>实质性响应招标文件中的商务要求和合同条款（见《商务条件响应表》）</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(1)投标报价方案是唯一的，符合招标文件的其他投标报价相关要求（见《开标一览表》）。 (2) 如出现适用异常低价投标审查程序的情形，投标人应能证明其报价合理性。</w:t>
            </w:r>
          </w:p>
        </w:tc>
      </w:tr>
      <w:tr>
        <w:tc>
          <w:tcPr>
            <w:tcW w:type="dxa" w:w="890"/>
          </w:tcPr>
          <w:p>
            <w:pPr>
              <w:pStyle w:val="null3"/>
            </w:pPr>
            <w:r>
              <w:rPr/>
              <w:t>4</w:t>
            </w:r>
          </w:p>
        </w:tc>
        <w:tc>
          <w:tcPr>
            <w:tcW w:type="dxa" w:w="3178"/>
          </w:tcPr>
          <w:p>
            <w:pPr>
              <w:pStyle w:val="null3"/>
            </w:pPr>
            <w:r>
              <w:rPr/>
              <w:t>不可负偏离的重要项响应</w:t>
            </w:r>
          </w:p>
        </w:tc>
        <w:tc>
          <w:tcPr>
            <w:tcW w:type="dxa" w:w="4238"/>
          </w:tcPr>
          <w:p>
            <w:pPr>
              <w:pStyle w:val="null3"/>
            </w:pPr>
            <w:r>
              <w:rPr/>
              <w:t>实质性响应招标文件中的不可负偏离的重要项（带“★”项）要求；投标文件未含有采购人不能接受的附加条款（见《技术和服务要求响应表》和《商务条件响应表》）</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未发现法律、法规和招标文件规定的其他无效情形（见《商务条件响应表》）</w:t>
            </w:r>
          </w:p>
        </w:tc>
      </w:tr>
    </w:tbl>
    <w:p>
      <w:pPr>
        <w:pStyle w:val="null3"/>
      </w:pPr>
      <w:r>
        <w:rPr/>
        <w:t>采购包3（容桂街道2026-2027年度除四害采购服务项目C标段）：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投标文件的投标函、法定代表人证明书和法定代表人授权书（如有）按招标文件规定签字、盖章（见投标函、法定代表人证明书、法定代表人授权书（如有））</w:t>
            </w:r>
          </w:p>
        </w:tc>
      </w:tr>
      <w:tr>
        <w:tc>
          <w:tcPr>
            <w:tcW w:type="dxa" w:w="890"/>
          </w:tcPr>
          <w:p>
            <w:pPr>
              <w:pStyle w:val="null3"/>
            </w:pPr>
            <w:r>
              <w:rPr/>
              <w:t>2</w:t>
            </w:r>
          </w:p>
        </w:tc>
        <w:tc>
          <w:tcPr>
            <w:tcW w:type="dxa" w:w="3178"/>
          </w:tcPr>
          <w:p>
            <w:pPr>
              <w:pStyle w:val="null3"/>
            </w:pPr>
            <w:r>
              <w:rPr/>
              <w:t>商务要求及合同响应</w:t>
            </w:r>
          </w:p>
        </w:tc>
        <w:tc>
          <w:tcPr>
            <w:tcW w:type="dxa" w:w="4238"/>
          </w:tcPr>
          <w:p>
            <w:pPr>
              <w:pStyle w:val="null3"/>
            </w:pPr>
            <w:r>
              <w:rPr/>
              <w:t>实质性响应招标文件中的商务要求和合同条款（见《商务条件响应表》）</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(1)投标报价方案是唯一的，符合招标文件的其他投标报价相关要求（见《开标一览表》）。 (2) 如出现适用异常低价投标审查程序的情形，投标人应能证明其报价合理性。</w:t>
            </w:r>
          </w:p>
        </w:tc>
      </w:tr>
      <w:tr>
        <w:tc>
          <w:tcPr>
            <w:tcW w:type="dxa" w:w="890"/>
          </w:tcPr>
          <w:p>
            <w:pPr>
              <w:pStyle w:val="null3"/>
            </w:pPr>
            <w:r>
              <w:rPr/>
              <w:t>4</w:t>
            </w:r>
          </w:p>
        </w:tc>
        <w:tc>
          <w:tcPr>
            <w:tcW w:type="dxa" w:w="3178"/>
          </w:tcPr>
          <w:p>
            <w:pPr>
              <w:pStyle w:val="null3"/>
            </w:pPr>
            <w:r>
              <w:rPr/>
              <w:t>不可负偏离的重要项响应</w:t>
            </w:r>
          </w:p>
        </w:tc>
        <w:tc>
          <w:tcPr>
            <w:tcW w:type="dxa" w:w="4238"/>
          </w:tcPr>
          <w:p>
            <w:pPr>
              <w:pStyle w:val="null3"/>
            </w:pPr>
            <w:r>
              <w:rPr/>
              <w:t>实质性响应招标文件中的不可负偏离的重要项（带“★”项）要求；投标文件未含有采购人不能接受的附加条款（见《技术和服务要求响应表》和《商务条件响应表》）</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未发现法律、法规和招标文件规定的其他无效情形（见《商务条件响应表》）</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采购包1(容桂街道2026-2027年度除四害采购服务项目A标段):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对本项目环境特点的分析 (8.0分)</w:t>
            </w:r>
          </w:p>
        </w:tc>
        <w:tc>
          <w:tcPr>
            <w:tcW w:type="dxa" w:w="5076"/>
          </w:tcPr>
          <w:p>
            <w:pPr>
              <w:pStyle w:val="null3"/>
              <w:jc w:val="left"/>
            </w:pPr>
            <w:r>
              <w:rPr/>
              <w:t>根据投标人对防制环境特点（包括但不限于四害发生情况、种类、栖息地、发生密度、繁殖季节、危害情况等）的分析进行综合评价： 1.对辖区内环境特点描述清晰，各要素分析准确、透彻，内容全面，防制重点突出，得8分； 2.对辖区内环境特点描述较清晰，各要素分析较准确、透彻，内容较全面，防制重点较突出，得5分； 3.对辖区内环境特点描述清晰性一般，各要素分析准确、透彻性一般，内容全面性一般，防制重点基本突出，得2分； 4. 对辖区内环境特点描述模糊，各要素分析不够准确、透彻，内容粗略，防制重点不突出，得1分； 5.不提供不得分。</w:t>
            </w:r>
          </w:p>
        </w:tc>
      </w:tr>
      <w:tr>
        <w:tc>
          <w:tcPr>
            <w:tcW w:type="dxa" w:w="922"/>
            <w:gridSpan w:val="2"/>
            <w:vMerge/>
          </w:tcPr>
          <w:p/>
        </w:tc>
        <w:tc>
          <w:tcPr>
            <w:tcW w:type="dxa" w:w="2307"/>
          </w:tcPr>
          <w:p>
            <w:pPr>
              <w:pStyle w:val="null3"/>
              <w:jc w:val="left"/>
            </w:pPr>
            <w:r>
              <w:rPr/>
              <w:t>总体实施方案 (10.0分)</w:t>
            </w:r>
          </w:p>
        </w:tc>
        <w:tc>
          <w:tcPr>
            <w:tcW w:type="dxa" w:w="5076"/>
          </w:tcPr>
          <w:p>
            <w:pPr>
              <w:pStyle w:val="null3"/>
              <w:jc w:val="left"/>
            </w:pPr>
            <w:r>
              <w:rPr/>
              <w:t>根据投标人提供的总体实施方案(包括：人员搭配、药品配备、器械选择、仓库设置、质量管理、日常作业安全保障措施、制度建设等)进行综合评分： 1.总体实施方案符合项目特点、针对性强，资源配置物资储备完全符合实际需求，管理制度、作业流程对项目实施保障性强，得10分； 2.总体实施方案符合项目特点、针对性较强，资源配置物资储备符合实际需求，管理制度、作业流程对项目实施保障性较强，得7分； 3.总体实施方案基本符合项目特点、针对性一般，资源配置物资储备基本符合实际需求，管理制度、作业流程对项目实施保障性一般，得4分； 4.总体实施方案较粗略，资源配置物资储备不能满足实际需求，管理制度、作业流程对项目实施保障性不足，得1分； 5.不提供不得分。</w:t>
            </w:r>
          </w:p>
        </w:tc>
      </w:tr>
      <w:tr>
        <w:tc>
          <w:tcPr>
            <w:tcW w:type="dxa" w:w="922"/>
            <w:gridSpan w:val="2"/>
            <w:vMerge/>
          </w:tcPr>
          <w:p/>
        </w:tc>
        <w:tc>
          <w:tcPr>
            <w:tcW w:type="dxa" w:w="2307"/>
          </w:tcPr>
          <w:p>
            <w:pPr>
              <w:pStyle w:val="null3"/>
              <w:jc w:val="left"/>
            </w:pPr>
            <w:r>
              <w:rPr/>
              <w:t>防制技术和方法 (8.0分)</w:t>
            </w:r>
          </w:p>
        </w:tc>
        <w:tc>
          <w:tcPr>
            <w:tcW w:type="dxa" w:w="5076"/>
          </w:tcPr>
          <w:p>
            <w:pPr>
              <w:pStyle w:val="null3"/>
              <w:jc w:val="left"/>
            </w:pPr>
            <w:r>
              <w:rPr/>
              <w:t>根据投标人提供的防制技术和方法进行综合评价： 1.掌握本地区有害生物季节生长规律，对病媒生物防制工作中突出时间差；所采取的技术和方法适应本辖区内环境的特点，科学有效的，得8分； 2.基本掌握本地区有害生物季节生长规律，对病媒生物防制工作中突出时间差；所采取的技术和方法基本适应本辖区内环境的特点，较科学有效的，得5分； 3.对本地区有害生物季节生长规律不够了解，对病媒生物防制工作中未能突出时间差；所采取的技术和方法对本辖区内环境的特点适应性一般，科学有效性一般的，得2分； 4.对本地区有害生物季节生长规律不了解，对病媒生物防制工作中未能突出时间差；所采取的技术和方法对本辖区内环境的特点适应性差，科学有效性差的，得1分； 5.不提供不得分。</w:t>
            </w:r>
          </w:p>
        </w:tc>
      </w:tr>
      <w:tr>
        <w:tc>
          <w:tcPr>
            <w:tcW w:type="dxa" w:w="922"/>
            <w:gridSpan w:val="2"/>
            <w:vMerge/>
          </w:tcPr>
          <w:p/>
        </w:tc>
        <w:tc>
          <w:tcPr>
            <w:tcW w:type="dxa" w:w="2307"/>
          </w:tcPr>
          <w:p>
            <w:pPr>
              <w:pStyle w:val="null3"/>
              <w:jc w:val="left"/>
            </w:pPr>
            <w:r>
              <w:rPr/>
              <w:t>监测方法 (8.0分)</w:t>
            </w:r>
          </w:p>
        </w:tc>
        <w:tc>
          <w:tcPr>
            <w:tcW w:type="dxa" w:w="5076"/>
          </w:tcPr>
          <w:p>
            <w:pPr>
              <w:pStyle w:val="null3"/>
              <w:jc w:val="left"/>
            </w:pPr>
            <w:r>
              <w:rPr/>
              <w:t>根据投标人针对防制对象、种类、密度等的监测方法进行综合评价： 1.监测方法全面、具体，科学合理，针对性强，有利于长效的提高服务质量，得8分； 2.监测方法完整、合理、可行，可保障基本的服务质量，5分； 3.监测方法基本完整，有一定的可行性，但对服务质量的保障不足，基本满足采购需求，得2分； 4.监测方法不完整，可行性差，对服务质量的保障不足，不满足采购需求，得1分； 5. 不提供不得分。</w:t>
            </w:r>
          </w:p>
        </w:tc>
      </w:tr>
      <w:tr>
        <w:tc>
          <w:tcPr>
            <w:tcW w:type="dxa" w:w="922"/>
            <w:gridSpan w:val="2"/>
            <w:vMerge/>
          </w:tcPr>
          <w:p/>
        </w:tc>
        <w:tc>
          <w:tcPr>
            <w:tcW w:type="dxa" w:w="2307"/>
          </w:tcPr>
          <w:p>
            <w:pPr>
              <w:pStyle w:val="null3"/>
              <w:jc w:val="left"/>
            </w:pPr>
            <w:r>
              <w:rPr/>
              <w:t>用药方案 (8.0分)</w:t>
            </w:r>
          </w:p>
        </w:tc>
        <w:tc>
          <w:tcPr>
            <w:tcW w:type="dxa" w:w="5076"/>
          </w:tcPr>
          <w:p>
            <w:pPr>
              <w:pStyle w:val="null3"/>
              <w:jc w:val="left"/>
            </w:pPr>
            <w:r>
              <w:rPr/>
              <w:t>根据投标人提供的用药方案进行综合评审： 1.用药方案内容全面，包含药物的选择、不同环境的用药及方法，可操作性突出的得8分； 2.用药方案内容较全面，包含药物的选择、不同环境的用药及方法，可操作性较突出的得5分； 3.用药方案满足采购人需要，操作性不强的得2分； 4.用药方案不合理的得1分； 5.不提供不得分。</w:t>
            </w:r>
          </w:p>
        </w:tc>
      </w:tr>
      <w:tr>
        <w:tc>
          <w:tcPr>
            <w:tcW w:type="dxa" w:w="922"/>
            <w:gridSpan w:val="2"/>
            <w:vMerge/>
          </w:tcPr>
          <w:p/>
        </w:tc>
        <w:tc>
          <w:tcPr>
            <w:tcW w:type="dxa" w:w="2307"/>
          </w:tcPr>
          <w:p>
            <w:pPr>
              <w:pStyle w:val="null3"/>
              <w:jc w:val="left"/>
            </w:pPr>
            <w:r>
              <w:rPr/>
              <w:t>应急预案 (8.0分)</w:t>
            </w:r>
          </w:p>
        </w:tc>
        <w:tc>
          <w:tcPr>
            <w:tcW w:type="dxa" w:w="5076"/>
          </w:tcPr>
          <w:p>
            <w:pPr>
              <w:pStyle w:val="null3"/>
              <w:jc w:val="left"/>
            </w:pPr>
            <w:r>
              <w:rPr/>
              <w:t>根据投标人的应急预案（包括但不限于突发事件、紧急任务的应对措施）进行综合评价： 1.针对突发事件、紧急情况下的组织、安排及实施情况提岀详细、合理、可操作性强的实施方法和措施，人、药、器械到位迅速、数量充足，响应及时，得8分； 2.针对突发事件、紧急情况下的组织、安排及实施情况提出可操作性较好的实施方法和措施，人、药、器械到位速度较迅速、数量足，响应较及时，得5分； 3.针对突发事件、紧急情况下的组织、安排及实施情况提出可操作性一般的实施方法和措施，人、药、器械到位较慢、数量不充足，响应及时性一般，得2分； 4.针对突发事件、紧急情况下的组织、安排及实施情况提出可操作性差的实施方法和措施，人、药、器械速度很慢、数量少，没有突发灾害或重大任务的应急经验，得1分； 5.不提供不得分。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1.投标人具有质量管理体系认证得1分； 2.投标人具有职业健康安全管理体系认证得1分； 3.投标人具有环境管理体系认证得1分； 本项最高得3分。 【注：须提供相关证书复印件和在全国认证认可信息公共服务平台上查证为有效状态的网页截图并加盖投标人公章，否则不得分。由于成立时间不足导致不能办理相应认证证书的，供应商提供认证机构出具的“成立时间不足，不能办理认证”的书面证明材料，可得相应得分。】</w:t>
            </w:r>
          </w:p>
        </w:tc>
      </w:tr>
      <w:tr>
        <w:tc>
          <w:tcPr>
            <w:tcW w:type="dxa" w:w="922"/>
            <w:gridSpan w:val="2"/>
            <w:vMerge/>
          </w:tcPr>
          <w:p/>
        </w:tc>
        <w:tc>
          <w:tcPr>
            <w:tcW w:type="dxa" w:w="2307"/>
          </w:tcPr>
          <w:p>
            <w:pPr>
              <w:pStyle w:val="null3"/>
              <w:jc w:val="left"/>
            </w:pPr>
            <w:r>
              <w:rPr/>
              <w:t>项目业绩 (9.0分)</w:t>
            </w:r>
          </w:p>
        </w:tc>
        <w:tc>
          <w:tcPr>
            <w:tcW w:type="dxa" w:w="5076"/>
          </w:tcPr>
          <w:p>
            <w:pPr>
              <w:pStyle w:val="null3"/>
              <w:jc w:val="left"/>
            </w:pPr>
            <w:r>
              <w:rPr/>
              <w:t>自2023年1月1日以来（以签订时间为准），投标人完成过或正在履行的公共区域（不包含封闭式物业管理小区、私人物业、机关事业单位办公场所等区域）除四害项目（或登革热蚊媒传染病消杀）业绩，每个得3分，最高得9分。 【注：每份业绩须提供合同复印件并加盖投标人公章，否则不得分。】</w:t>
            </w:r>
          </w:p>
        </w:tc>
      </w:tr>
      <w:tr>
        <w:tc>
          <w:tcPr>
            <w:tcW w:type="dxa" w:w="922"/>
            <w:gridSpan w:val="2"/>
            <w:vMerge/>
          </w:tcPr>
          <w:p/>
        </w:tc>
        <w:tc>
          <w:tcPr>
            <w:tcW w:type="dxa" w:w="2307"/>
          </w:tcPr>
          <w:p>
            <w:pPr>
              <w:pStyle w:val="null3"/>
              <w:jc w:val="left"/>
            </w:pPr>
            <w:r>
              <w:rPr/>
              <w:t>投入设备 (9.0分)</w:t>
            </w:r>
          </w:p>
        </w:tc>
        <w:tc>
          <w:tcPr>
            <w:tcW w:type="dxa" w:w="5076"/>
          </w:tcPr>
          <w:p>
            <w:pPr>
              <w:pStyle w:val="null3"/>
              <w:jc w:val="left"/>
            </w:pPr>
            <w:r>
              <w:rPr/>
              <w:t>在满足招标文件“技术标准与要求”的“设备配置要求”基础上，投标人拟投入本项目器械、车辆（自有或租赁均可）： 1.车载式超低容量喷雾机每台得2分，最高得2分； 2.超低容量喷雾器每台得0.5分，最高得3分； 3.机动喷雾器每台得0.5分，最高得2分； 4.热烟雾机每台得0.5分，最高得1分； 5.工程服务车每台得1分，最高得1分。 【注：本项总分最高得9分；以上设备须提供器械一览表（包括器械名称、型号、数量）及发票（租赁的提供租赁合同）复印件加盖投标人公章；工程服务车还需提供车辆登记证或行驶证复印件加盖投标人公章。】</w:t>
            </w:r>
          </w:p>
        </w:tc>
      </w:tr>
      <w:tr>
        <w:tc>
          <w:tcPr>
            <w:tcW w:type="dxa" w:w="922"/>
            <w:gridSpan w:val="2"/>
            <w:vMerge/>
          </w:tcPr>
          <w:p/>
        </w:tc>
        <w:tc>
          <w:tcPr>
            <w:tcW w:type="dxa" w:w="2307"/>
          </w:tcPr>
          <w:p>
            <w:pPr>
              <w:pStyle w:val="null3"/>
              <w:jc w:val="left"/>
            </w:pPr>
            <w:r>
              <w:rPr/>
              <w:t>投入人员 (9.0分)</w:t>
            </w:r>
          </w:p>
        </w:tc>
        <w:tc>
          <w:tcPr>
            <w:tcW w:type="dxa" w:w="5076"/>
          </w:tcPr>
          <w:p>
            <w:pPr>
              <w:pStyle w:val="null3"/>
              <w:jc w:val="left"/>
            </w:pPr>
            <w:r>
              <w:rPr/>
              <w:t>①投入本项目的管理人员具有有害生物防制（治）员高级或以上证书的得1分，本项最高得1分； ②投入本项目的除四害专业人员（管理人员除外）具有有害生物防制（治）员或病媒生物防制工”初级或以上证书的，每人得1分，本项最高得8分。 【注：①本项总分最高得9分。②须同时提供有效资格证书复印件和含投标截止当月的近6个月内任意1个月在投标单位的有效个人参保证明复印件加盖投标人公章。】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采购包2(容桂街道2026-2027年度除四害采购服务项目B标段):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对本项目环境特点的分析 (8.0分)</w:t>
            </w:r>
          </w:p>
        </w:tc>
        <w:tc>
          <w:tcPr>
            <w:tcW w:type="dxa" w:w="5076"/>
          </w:tcPr>
          <w:p>
            <w:pPr>
              <w:pStyle w:val="null3"/>
              <w:jc w:val="left"/>
            </w:pPr>
            <w:r>
              <w:rPr/>
              <w:t>根据投标人对防制环境特点（包括但不限于四害发生情况、种类、栖息地、发生密度、繁殖季节、危害情况等）的分析进行综合评价： 1.对辖区内环境特点描述清晰，各要素分析准确、透彻，内容全面，防制重点突出，得8分； 2.对辖区内环境特点描述较清晰，各要素分析较准确、透彻，内容较全面，防制重点较突出，得5分； 3.对辖区内环境特点描述清晰性一般，各要素分析准确、透彻性一般，内容全面性一般，防制重点基本突出，得2分； 4. 对辖区内环境特点描述模糊，各要素分析不够准确、透彻，内容粗略，防制重点不突出，得1分； 5.不提供不得分。</w:t>
            </w:r>
          </w:p>
        </w:tc>
      </w:tr>
      <w:tr>
        <w:tc>
          <w:tcPr>
            <w:tcW w:type="dxa" w:w="922"/>
            <w:gridSpan w:val="2"/>
            <w:vMerge/>
          </w:tcPr>
          <w:p/>
        </w:tc>
        <w:tc>
          <w:tcPr>
            <w:tcW w:type="dxa" w:w="2307"/>
          </w:tcPr>
          <w:p>
            <w:pPr>
              <w:pStyle w:val="null3"/>
              <w:jc w:val="left"/>
            </w:pPr>
            <w:r>
              <w:rPr/>
              <w:t>总体实施方案 (10.0分)</w:t>
            </w:r>
          </w:p>
        </w:tc>
        <w:tc>
          <w:tcPr>
            <w:tcW w:type="dxa" w:w="5076"/>
          </w:tcPr>
          <w:p>
            <w:pPr>
              <w:pStyle w:val="null3"/>
              <w:jc w:val="left"/>
            </w:pPr>
            <w:r>
              <w:rPr/>
              <w:t>根据投标人提供的总体实施方案(包括：人员搭配、药品配备、器械选择、仓库设置、质量管理、日常作业安全保障措施、制度建设等)进行综合评分： 1.总体实施方案符合项目特点、针对性强，资源配置物资储备完全符合实际需求，管理制度、作业流程对项目实施保障性强，得10分； 2.总体实施方案符合项目特点、针对性较强，资源配置物资储备符合实际需求，管理制度、作业流程对项目实施保障性较强，得7分； 3.总体实施方案基本符合项目特点、针对性一般，资源配置物资储备基本符合实际需求，管理制度、作业流程对项目实施保障性一般，得4分； 4.总体实施方案较粗略，资源配置物资储备不能满足实际需求，管理制度、作业流程对项目实施保障性不足，得1分； 5.不提供不得分。</w:t>
            </w:r>
          </w:p>
        </w:tc>
      </w:tr>
      <w:tr>
        <w:tc>
          <w:tcPr>
            <w:tcW w:type="dxa" w:w="922"/>
            <w:gridSpan w:val="2"/>
            <w:vMerge/>
          </w:tcPr>
          <w:p/>
        </w:tc>
        <w:tc>
          <w:tcPr>
            <w:tcW w:type="dxa" w:w="2307"/>
          </w:tcPr>
          <w:p>
            <w:pPr>
              <w:pStyle w:val="null3"/>
              <w:jc w:val="left"/>
            </w:pPr>
            <w:r>
              <w:rPr/>
              <w:t>防制技术和方法 (8.0分)</w:t>
            </w:r>
          </w:p>
        </w:tc>
        <w:tc>
          <w:tcPr>
            <w:tcW w:type="dxa" w:w="5076"/>
          </w:tcPr>
          <w:p>
            <w:pPr>
              <w:pStyle w:val="null3"/>
              <w:jc w:val="left"/>
            </w:pPr>
            <w:r>
              <w:rPr/>
              <w:t>根据投标人提供的防制技术和方法进行综合评价： 1.掌握本地区有害生物季节生长规律，对病媒生物防制工作中突出时间差；所采取的技术和方法适应本辖区内环境的特点，科学有效的，得8分； 2.基本掌握本地区有害生物季节生长规律，对病媒生物防制工作中突出时间差；所采取的技术和方法基本适应本辖区内环境的特点，较科学有效的，得5分； 3.对本地区有害生物季节生长规律不够了解，对病媒生物防制工作中未能突出时间差；所采取的技术和方法对本辖区内环境的特点适应性一般，科学有效性一般的，得2分； 4.对本地区有害生物季节生长规律不了解，对病媒生物防制工作中未能突出时间差；所采取的技术和方法对本辖区内环境的特点适应性差，科学有效性差的，得1分； 5.不提供不得分。</w:t>
            </w:r>
          </w:p>
        </w:tc>
      </w:tr>
      <w:tr>
        <w:tc>
          <w:tcPr>
            <w:tcW w:type="dxa" w:w="922"/>
            <w:gridSpan w:val="2"/>
            <w:vMerge/>
          </w:tcPr>
          <w:p/>
        </w:tc>
        <w:tc>
          <w:tcPr>
            <w:tcW w:type="dxa" w:w="2307"/>
          </w:tcPr>
          <w:p>
            <w:pPr>
              <w:pStyle w:val="null3"/>
              <w:jc w:val="left"/>
            </w:pPr>
            <w:r>
              <w:rPr/>
              <w:t>监测方法 (8.0分)</w:t>
            </w:r>
          </w:p>
        </w:tc>
        <w:tc>
          <w:tcPr>
            <w:tcW w:type="dxa" w:w="5076"/>
          </w:tcPr>
          <w:p>
            <w:pPr>
              <w:pStyle w:val="null3"/>
              <w:jc w:val="left"/>
            </w:pPr>
            <w:r>
              <w:rPr/>
              <w:t>根据投标人针对防制对象、种类、密度等的监测方法进行综合评价： 1.监测方法全面、具体，科学合理，针对性强，有利于长效的提高服务质量，得8分； 2.监测方法完整、合理、可行，可保障基本的服务质量，5分； 3.监测方法基本完整，有一定的可行性，但对服务质量的保障不足，基本满足采购需求，得2分； 4.监测方法不完整，可行性差，对服务质量的保障不足，不满足采购需求，得1分； 5. 不提供不得分。</w:t>
            </w:r>
          </w:p>
        </w:tc>
      </w:tr>
      <w:tr>
        <w:tc>
          <w:tcPr>
            <w:tcW w:type="dxa" w:w="922"/>
            <w:gridSpan w:val="2"/>
            <w:vMerge/>
          </w:tcPr>
          <w:p/>
        </w:tc>
        <w:tc>
          <w:tcPr>
            <w:tcW w:type="dxa" w:w="2307"/>
          </w:tcPr>
          <w:p>
            <w:pPr>
              <w:pStyle w:val="null3"/>
              <w:jc w:val="left"/>
            </w:pPr>
            <w:r>
              <w:rPr/>
              <w:t>用药方案 (8.0分)</w:t>
            </w:r>
          </w:p>
        </w:tc>
        <w:tc>
          <w:tcPr>
            <w:tcW w:type="dxa" w:w="5076"/>
          </w:tcPr>
          <w:p>
            <w:pPr>
              <w:pStyle w:val="null3"/>
              <w:jc w:val="left"/>
            </w:pPr>
            <w:r>
              <w:rPr/>
              <w:t>根据投标人提供的用药方案进行综合评审： 1.用药方案内容全面，包含药物的选择、不同环境的用药及方法，可操作性突出的得8分； 2.用药方案内容较全面，包含药物的选择、不同环境的用药及方法，可操作性较突出的得5分； 3.用药方案满足采购人需要，操作性不强的得2分； 4.用药方案不合理的得1分； 5.不提供不得分。</w:t>
            </w:r>
          </w:p>
        </w:tc>
      </w:tr>
      <w:tr>
        <w:tc>
          <w:tcPr>
            <w:tcW w:type="dxa" w:w="922"/>
            <w:gridSpan w:val="2"/>
            <w:vMerge/>
          </w:tcPr>
          <w:p/>
        </w:tc>
        <w:tc>
          <w:tcPr>
            <w:tcW w:type="dxa" w:w="2307"/>
          </w:tcPr>
          <w:p>
            <w:pPr>
              <w:pStyle w:val="null3"/>
              <w:jc w:val="left"/>
            </w:pPr>
            <w:r>
              <w:rPr/>
              <w:t>应急预案 (8.0分)</w:t>
            </w:r>
          </w:p>
        </w:tc>
        <w:tc>
          <w:tcPr>
            <w:tcW w:type="dxa" w:w="5076"/>
          </w:tcPr>
          <w:p>
            <w:pPr>
              <w:pStyle w:val="null3"/>
              <w:jc w:val="left"/>
            </w:pPr>
            <w:r>
              <w:rPr/>
              <w:t>根据投标人的应急预案（包括但不限于突发事件、紧急任务的应对措施）进行综合评价： 1.针对突发事件、紧急情况下的组织、安排及实施情况提岀详细、合理、可操作性强的实施方法和措施，人、药、器械到位迅速、数量充足，响应及时，得8分； 2.针对突发事件、紧急情况下的组织、安排及实施情况提出可操作性较好的实施方法和措施，人、药、器械到位速度较迅速、数量足，响应较及时，得5分； 3.针对突发事件、紧急情况下的组织、安排及实施情况提出可操作性一般的实施方法和措施，人、药、器械到位较慢、数量不充足，响应及时性一般，得2分； 4.针对突发事件、紧急情况下的组织、安排及实施情况提出可操作性差的实施方法和措施，人、药、器械速度很慢、数量少，没有突发灾害或重大任务的应急经验，得1分； 5.不提供不得分。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1.投标人具有质量管理体系认证得1分； 2.投标人具有职业健康安全管理体系认证得1分； 3.投标人具有环境管理体系认证得1分； 本项最高得3分。 【注：须提供相关证书复印件和在全国认证认可信息公共服务平台上查证为有效状态的网页截图并加盖投标人公章，否则不得分。由于成立时间不足导致不能办理相应认证证书的，供应商提供认证机构出具的“成立时间不足，不能办理认证”的书面证明材料，可得相应得分。】</w:t>
            </w:r>
          </w:p>
        </w:tc>
      </w:tr>
      <w:tr>
        <w:tc>
          <w:tcPr>
            <w:tcW w:type="dxa" w:w="922"/>
            <w:gridSpan w:val="2"/>
            <w:vMerge/>
          </w:tcPr>
          <w:p/>
        </w:tc>
        <w:tc>
          <w:tcPr>
            <w:tcW w:type="dxa" w:w="2307"/>
          </w:tcPr>
          <w:p>
            <w:pPr>
              <w:pStyle w:val="null3"/>
              <w:jc w:val="left"/>
            </w:pPr>
            <w:r>
              <w:rPr/>
              <w:t>项目业绩 (9.0分)</w:t>
            </w:r>
          </w:p>
        </w:tc>
        <w:tc>
          <w:tcPr>
            <w:tcW w:type="dxa" w:w="5076"/>
          </w:tcPr>
          <w:p>
            <w:pPr>
              <w:pStyle w:val="null3"/>
              <w:jc w:val="left"/>
            </w:pPr>
            <w:r>
              <w:rPr/>
              <w:t>自2023年1月1日以来（以签订时间为准），投标人完成过或正在履行的公共区域（不包含封闭式物业管理小区、私人物业、机关事业单位办公场所等区域）除四害项目（或登革热蚊媒传染病消杀）业绩，每个得3分，最高得9分。 【注：每份业绩须提供合同复印件并加盖投标人公章，否则不得分。】</w:t>
            </w:r>
          </w:p>
        </w:tc>
      </w:tr>
      <w:tr>
        <w:tc>
          <w:tcPr>
            <w:tcW w:type="dxa" w:w="922"/>
            <w:gridSpan w:val="2"/>
            <w:vMerge/>
          </w:tcPr>
          <w:p/>
        </w:tc>
        <w:tc>
          <w:tcPr>
            <w:tcW w:type="dxa" w:w="2307"/>
          </w:tcPr>
          <w:p>
            <w:pPr>
              <w:pStyle w:val="null3"/>
              <w:jc w:val="left"/>
            </w:pPr>
            <w:r>
              <w:rPr/>
              <w:t>投入设备 (9.0分)</w:t>
            </w:r>
          </w:p>
        </w:tc>
        <w:tc>
          <w:tcPr>
            <w:tcW w:type="dxa" w:w="5076"/>
          </w:tcPr>
          <w:p>
            <w:pPr>
              <w:pStyle w:val="null3"/>
              <w:jc w:val="left"/>
            </w:pPr>
            <w:r>
              <w:rPr/>
              <w:t>在满足招标文件“技术标准与要求”的“设备配置要求”基础上，投标人拟投入本项目器械、车辆（自有或租赁均可）： 1.车载式超低容量喷雾机每台得2分，最高得2分； 2.超低容量喷雾器每台得0.5分，最高得3分； 3.机动喷雾器每台得0.5分，最高得2分； 4.热烟雾机每台得0.5分，最高得1分； 5.工程服务车每台得1分，最高得1分。 【注：本项总分最高得9分；以上设备须提供器械一览表（包括器械名称、型号、数量）及发票（租赁的提供租赁合同）复印件加盖投标人公章；工程服务车还需提供车辆登记证或行驶证复印件加盖投标人公章。】</w:t>
            </w:r>
          </w:p>
        </w:tc>
      </w:tr>
      <w:tr>
        <w:tc>
          <w:tcPr>
            <w:tcW w:type="dxa" w:w="922"/>
            <w:gridSpan w:val="2"/>
            <w:vMerge/>
          </w:tcPr>
          <w:p/>
        </w:tc>
        <w:tc>
          <w:tcPr>
            <w:tcW w:type="dxa" w:w="2307"/>
          </w:tcPr>
          <w:p>
            <w:pPr>
              <w:pStyle w:val="null3"/>
              <w:jc w:val="left"/>
            </w:pPr>
            <w:r>
              <w:rPr/>
              <w:t>投入人员 (9.0分)</w:t>
            </w:r>
          </w:p>
        </w:tc>
        <w:tc>
          <w:tcPr>
            <w:tcW w:type="dxa" w:w="5076"/>
          </w:tcPr>
          <w:p>
            <w:pPr>
              <w:pStyle w:val="null3"/>
              <w:jc w:val="left"/>
            </w:pPr>
            <w:r>
              <w:rPr/>
              <w:t>①投入本项目的管理人员具有有害生物防制（治）员高级或以上证书的得1分，本项最高得1分； ②投入本项目的除四害专业人员（管理人员除外）具有有害生物防制（治）员或病媒生物防制工”初级或以上证书的，每人得1分，本项最高得8分。 【注：①本项总分最高得9分。②须同时提供有效资格证书复印件和含投标截止当月的近6个月内任意1个月在投标单位的有效个人参保证明复印件加盖投标人公章。】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采购包3(容桂街道2026-2027年度除四害采购服务项目C标段):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对本项目环境特点的分析 (8.0分)</w:t>
            </w:r>
          </w:p>
        </w:tc>
        <w:tc>
          <w:tcPr>
            <w:tcW w:type="dxa" w:w="5076"/>
          </w:tcPr>
          <w:p>
            <w:pPr>
              <w:pStyle w:val="null3"/>
              <w:jc w:val="left"/>
            </w:pPr>
            <w:r>
              <w:rPr/>
              <w:t>根据投标人对防制环境特点（包括但不限于四害发生情况、种类、栖息地、发生密度、繁殖季节、危害情况等）的分析进行综合评价： 1.对辖区内环境特点描述清晰，各要素分析准确、透彻，内容全面，防制重点突出，得8分； 2.对辖区内环境特点描述较清晰，各要素分析较准确、透彻，内容较全面，防制重点较突出，得5分； 3.对辖区内环境特点描述清晰性一般，各要素分析准确、透彻性一般，内容全面性一般，防制重点基本突出，得2分； 4. 对辖区内环境特点描述模糊，各要素分析不够准确、透彻，内容粗略，防制重点不突出，得1分； 5.不提供不得分。</w:t>
            </w:r>
          </w:p>
        </w:tc>
      </w:tr>
      <w:tr>
        <w:tc>
          <w:tcPr>
            <w:tcW w:type="dxa" w:w="922"/>
            <w:gridSpan w:val="2"/>
            <w:vMerge/>
          </w:tcPr>
          <w:p/>
        </w:tc>
        <w:tc>
          <w:tcPr>
            <w:tcW w:type="dxa" w:w="2307"/>
          </w:tcPr>
          <w:p>
            <w:pPr>
              <w:pStyle w:val="null3"/>
              <w:jc w:val="left"/>
            </w:pPr>
            <w:r>
              <w:rPr/>
              <w:t>总体实施方案 (10.0分)</w:t>
            </w:r>
          </w:p>
        </w:tc>
        <w:tc>
          <w:tcPr>
            <w:tcW w:type="dxa" w:w="5076"/>
          </w:tcPr>
          <w:p>
            <w:pPr>
              <w:pStyle w:val="null3"/>
              <w:jc w:val="left"/>
            </w:pPr>
            <w:r>
              <w:rPr/>
              <w:t>根据投标人提供的总体实施方案(包括：人员搭配、药品配备、器械选择、仓库设置、质量管理、日常作业安全保障措施、制度建设等)进行综合评分： 1.总体实施方案符合项目特点、针对性强，资源配置物资储备完全符合实际需求，管理制度、作业流程对项目实施保障性强，得10分； 2.总体实施方案符合项目特点、针对性较强，资源配置物资储备符合实际需求，管理制度、作业流程对项目实施保障性较强，得7分； 3.总体实施方案基本符合项目特点、针对性一般，资源配置物资储备基本符合实际需求，管理制度、作业流程对项目实施保障性一般，得4分； 4.总体实施方案较粗略，资源配置物资储备不能满足实际需求，管理制度、作业流程对项目实施保障性不足，得1分； 5.不提供不得分。</w:t>
            </w:r>
          </w:p>
        </w:tc>
      </w:tr>
      <w:tr>
        <w:tc>
          <w:tcPr>
            <w:tcW w:type="dxa" w:w="922"/>
            <w:gridSpan w:val="2"/>
            <w:vMerge/>
          </w:tcPr>
          <w:p/>
        </w:tc>
        <w:tc>
          <w:tcPr>
            <w:tcW w:type="dxa" w:w="2307"/>
          </w:tcPr>
          <w:p>
            <w:pPr>
              <w:pStyle w:val="null3"/>
              <w:jc w:val="left"/>
            </w:pPr>
            <w:r>
              <w:rPr/>
              <w:t>防制技术和方法 (8.0分)</w:t>
            </w:r>
          </w:p>
        </w:tc>
        <w:tc>
          <w:tcPr>
            <w:tcW w:type="dxa" w:w="5076"/>
          </w:tcPr>
          <w:p>
            <w:pPr>
              <w:pStyle w:val="null3"/>
              <w:jc w:val="left"/>
            </w:pPr>
            <w:r>
              <w:rPr/>
              <w:t>根据投标人提供的防制技术和方法进行综合评价： 1.掌握本地区有害生物季节生长规律，对病媒生物防制工作中突出时间差；所采取的技术和方法适应本辖区内环境的特点，科学有效的，得8分； 2.基本掌握本地区有害生物季节生长规律，对病媒生物防制工作中突出时间差；所采取的技术和方法基本适应本辖区内环境的特点，较科学有效的，得5分； 3.对本地区有害生物季节生长规律不够了解，对病媒生物防制工作中未能突出时间差；所采取的技术和方法对本辖区内环境的特点适应性一般，科学有效性一般的，得2分； 4.对本地区有害生物季节生长规律不了解，对病媒生物防制工作中未能突出时间差；所采取的技术和方法对本辖区内环境的特点适应性差，科学有效性差的，得1分； 5.不提供不得分。</w:t>
            </w:r>
          </w:p>
        </w:tc>
      </w:tr>
      <w:tr>
        <w:tc>
          <w:tcPr>
            <w:tcW w:type="dxa" w:w="922"/>
            <w:gridSpan w:val="2"/>
            <w:vMerge/>
          </w:tcPr>
          <w:p/>
        </w:tc>
        <w:tc>
          <w:tcPr>
            <w:tcW w:type="dxa" w:w="2307"/>
          </w:tcPr>
          <w:p>
            <w:pPr>
              <w:pStyle w:val="null3"/>
              <w:jc w:val="left"/>
            </w:pPr>
            <w:r>
              <w:rPr/>
              <w:t>监测方法 (8.0分)</w:t>
            </w:r>
          </w:p>
        </w:tc>
        <w:tc>
          <w:tcPr>
            <w:tcW w:type="dxa" w:w="5076"/>
          </w:tcPr>
          <w:p>
            <w:pPr>
              <w:pStyle w:val="null3"/>
              <w:jc w:val="left"/>
            </w:pPr>
            <w:r>
              <w:rPr/>
              <w:t>根据投标人针对防制对象、种类、密度等的监测方法进行综合评价： 1.监测方法全面、具体，科学合理，针对性强，有利于长效的提高服务质量，得8分； 2.监测方法完整、合理、可行，可保障基本的服务质量，5分； 3.监测方法基本完整，有一定的可行性，但对服务质量的保障不足，基本满足采购需求，得2分； 4.监测方法不完整，可行性差，对服务质量的保障不足，不满足采购需求，得1分； 5. 不提供不得分。</w:t>
            </w:r>
          </w:p>
        </w:tc>
      </w:tr>
      <w:tr>
        <w:tc>
          <w:tcPr>
            <w:tcW w:type="dxa" w:w="922"/>
            <w:gridSpan w:val="2"/>
            <w:vMerge/>
          </w:tcPr>
          <w:p/>
        </w:tc>
        <w:tc>
          <w:tcPr>
            <w:tcW w:type="dxa" w:w="2307"/>
          </w:tcPr>
          <w:p>
            <w:pPr>
              <w:pStyle w:val="null3"/>
              <w:jc w:val="left"/>
            </w:pPr>
            <w:r>
              <w:rPr/>
              <w:t>用药方案 (8.0分)</w:t>
            </w:r>
          </w:p>
        </w:tc>
        <w:tc>
          <w:tcPr>
            <w:tcW w:type="dxa" w:w="5076"/>
          </w:tcPr>
          <w:p>
            <w:pPr>
              <w:pStyle w:val="null3"/>
              <w:jc w:val="left"/>
            </w:pPr>
            <w:r>
              <w:rPr/>
              <w:t>根据投标人提供的用药方案进行综合评审： 1.用药方案内容全面，包含药物的选择、不同环境的用药及方法，可操作性突出的得8分； 2.用药方案内容较全面，包含药物的选择、不同环境的用药及方法，可操作性较突出的得5分； 3.用药方案满足采购人需要，操作性不强的得2分； 4.用药方案不合理的得1分； 5.不提供不得分。</w:t>
            </w:r>
          </w:p>
        </w:tc>
      </w:tr>
      <w:tr>
        <w:tc>
          <w:tcPr>
            <w:tcW w:type="dxa" w:w="922"/>
            <w:gridSpan w:val="2"/>
            <w:vMerge/>
          </w:tcPr>
          <w:p/>
        </w:tc>
        <w:tc>
          <w:tcPr>
            <w:tcW w:type="dxa" w:w="2307"/>
          </w:tcPr>
          <w:p>
            <w:pPr>
              <w:pStyle w:val="null3"/>
              <w:jc w:val="left"/>
            </w:pPr>
            <w:r>
              <w:rPr/>
              <w:t>应急预案 (8.0分)</w:t>
            </w:r>
          </w:p>
        </w:tc>
        <w:tc>
          <w:tcPr>
            <w:tcW w:type="dxa" w:w="5076"/>
          </w:tcPr>
          <w:p>
            <w:pPr>
              <w:pStyle w:val="null3"/>
              <w:jc w:val="left"/>
            </w:pPr>
            <w:r>
              <w:rPr/>
              <w:t>根据投标人的应急预案（包括但不限于突发事件、紧急任务的应对措施）进行综合评价： 1.针对突发事件、紧急情况下的组织、安排及实施情况提岀详细、合理、可操作性强的实施方法和措施，人、药、器械到位迅速、数量充足，响应及时，得8分； 2.针对突发事件、紧急情况下的组织、安排及实施情况提出可操作性较好的实施方法和措施，人、药、器械到位速度较迅速、数量足，响应较及时，得5分； 3.针对突发事件、紧急情况下的组织、安排及实施情况提出可操作性一般的实施方法和措施，人、药、器械到位较慢、数量不充足，响应及时性一般，得2分； 4.针对突发事件、紧急情况下的组织、安排及实施情况提出可操作性差的实施方法和措施，人、药、器械速度很慢、数量少，没有突发灾害或重大任务的应急经验，得1分； 5.不提供不得分。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1.投标人具有质量管理体系认证得1分； 2.投标人具有职业健康安全管理体系认证得1分； 3.投标人具有环境管理体系认证得1分； 本项最高得3分。 【注：须提供相关证书复印件和在全国认证认可信息公共服务平台上查证为有效状态的网页截图并加盖投标人公章，否则不得分。由于成立时间不足导致不能办理相应认证证书的，供应商提供认证机构出具的“成立时间不足，不能办理认证”的书面证明材料，可得相应得分。】</w:t>
            </w:r>
          </w:p>
        </w:tc>
      </w:tr>
      <w:tr>
        <w:tc>
          <w:tcPr>
            <w:tcW w:type="dxa" w:w="922"/>
            <w:gridSpan w:val="2"/>
            <w:vMerge/>
          </w:tcPr>
          <w:p/>
        </w:tc>
        <w:tc>
          <w:tcPr>
            <w:tcW w:type="dxa" w:w="2307"/>
          </w:tcPr>
          <w:p>
            <w:pPr>
              <w:pStyle w:val="null3"/>
              <w:jc w:val="left"/>
            </w:pPr>
            <w:r>
              <w:rPr/>
              <w:t>项目业绩 (9.0分)</w:t>
            </w:r>
          </w:p>
        </w:tc>
        <w:tc>
          <w:tcPr>
            <w:tcW w:type="dxa" w:w="5076"/>
          </w:tcPr>
          <w:p>
            <w:pPr>
              <w:pStyle w:val="null3"/>
              <w:jc w:val="left"/>
            </w:pPr>
            <w:r>
              <w:rPr/>
              <w:t>自2023年1月1日以来（以签订时间为准），投标人完成过或正在履行的公共区域（不包含封闭式物业管理小区、私人物业、机关事业单位办公场所等区域）除四害项目（或登革热蚊媒传染病消杀）业绩，每个得3分，最高得9分。 【注：每份业绩须提供合同复印件并加盖投标人公章，否则不得分。】</w:t>
            </w:r>
          </w:p>
        </w:tc>
      </w:tr>
      <w:tr>
        <w:tc>
          <w:tcPr>
            <w:tcW w:type="dxa" w:w="922"/>
            <w:gridSpan w:val="2"/>
            <w:vMerge/>
          </w:tcPr>
          <w:p/>
        </w:tc>
        <w:tc>
          <w:tcPr>
            <w:tcW w:type="dxa" w:w="2307"/>
          </w:tcPr>
          <w:p>
            <w:pPr>
              <w:pStyle w:val="null3"/>
              <w:jc w:val="left"/>
            </w:pPr>
            <w:r>
              <w:rPr/>
              <w:t>投入设备 (10.0分)</w:t>
            </w:r>
          </w:p>
        </w:tc>
        <w:tc>
          <w:tcPr>
            <w:tcW w:type="dxa" w:w="5076"/>
          </w:tcPr>
          <w:p>
            <w:pPr>
              <w:pStyle w:val="null3"/>
              <w:jc w:val="left"/>
            </w:pPr>
            <w:r>
              <w:rPr/>
              <w:t>在满足招标文件“技术标准与要求”的“设备配置要求”基础上，投标人拟投入本项目器械、车辆（自有或租赁均可）： 1.车载式超低容量喷雾机每台得2分，最高得2分； 2.超低容量喷雾器每台得0.5分，最高得3分； 3.机动喷雾器每台得0.5分，最高得2分； 4.热烟雾机每台得1分，最高得2分； 5.工程服务车每台得1分，最高得1分。 【注：本项总分最高得10分；以上设备须提供器械一览表（包括器械名称、型号、数量）及发票（租赁的提供租赁合同）复印件加盖投标人公章；工程服务车还需提供车辆登记证或行驶证复印件加盖投标人公章。】</w:t>
            </w:r>
          </w:p>
        </w:tc>
      </w:tr>
      <w:tr>
        <w:tc>
          <w:tcPr>
            <w:tcW w:type="dxa" w:w="922"/>
            <w:gridSpan w:val="2"/>
            <w:vMerge/>
          </w:tcPr>
          <w:p/>
        </w:tc>
        <w:tc>
          <w:tcPr>
            <w:tcW w:type="dxa" w:w="2307"/>
          </w:tcPr>
          <w:p>
            <w:pPr>
              <w:pStyle w:val="null3"/>
              <w:jc w:val="left"/>
            </w:pPr>
            <w:r>
              <w:rPr/>
              <w:t>投入人员 (8.0分)</w:t>
            </w:r>
          </w:p>
        </w:tc>
        <w:tc>
          <w:tcPr>
            <w:tcW w:type="dxa" w:w="5076"/>
          </w:tcPr>
          <w:p>
            <w:pPr>
              <w:pStyle w:val="null3"/>
              <w:jc w:val="left"/>
            </w:pPr>
            <w:r>
              <w:rPr/>
              <w:t>①投入本项目的管理人员具有有害生物防制（治）员高级或以上证书的得1分，本项最高得1分； ②投入本项目的除四害专业人员（管理人员除外）具有有害生物防制（治）员或病媒生物防制工”初级或以上证书的，每人得1分，本项最高得7分。 【注：①本项总分最高得8分。②须同时提供有效资格证书复印件和含投标截止当月的近6个月内任意1个月在投标单位的有效个人参保证明复印件加盖投标人公章。】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合同时参考文本（服务类）</w:t>
      </w:r>
    </w:p>
    <w:p>
      <w:pPr>
        <w:pStyle w:val="null3"/>
        <w:jc w:val="both"/>
      </w:pPr>
      <w:r>
        <w:rPr>
          <w:sz w:val="68"/>
          <w:b/>
          <w:color w:val="000000"/>
        </w:rPr>
        <w:t>佛山市政府采购项目</w:t>
      </w:r>
    </w:p>
    <w:p>
      <w:pPr>
        <w:pStyle w:val="null3"/>
        <w:jc w:val="center"/>
      </w:pPr>
      <w:r>
        <w:rPr>
          <w:sz w:val="68"/>
          <w:b/>
          <w:color w:val="000000"/>
        </w:rPr>
        <w:t>合同书</w:t>
      </w:r>
    </w:p>
    <w:p>
      <w:pPr>
        <w:pStyle w:val="null3"/>
        <w:jc w:val="center"/>
      </w:pPr>
      <w:r>
        <w:rPr>
          <w:sz w:val="24"/>
          <w:b/>
          <w:color w:val="000000"/>
        </w:rPr>
        <w:t>项目编号：</w:t>
      </w:r>
      <w:r>
        <w:rPr>
          <w:sz w:val="24"/>
          <w:b/>
          <w:color w:val="000000"/>
          <w:u w:val="single"/>
        </w:rPr>
        <w:t>440606-2026-01025</w:t>
      </w:r>
    </w:p>
    <w:p>
      <w:pPr>
        <w:pStyle w:val="null3"/>
        <w:ind w:firstLine="1681"/>
        <w:jc w:val="both"/>
      </w:pPr>
      <w:r>
        <w:rPr>
          <w:sz w:val="24"/>
          <w:b/>
          <w:color w:val="000000"/>
        </w:rPr>
        <w:t>项目名称：</w:t>
      </w:r>
      <w:r>
        <w:rPr>
          <w:sz w:val="24"/>
          <w:b/>
          <w:color w:val="000000"/>
          <w:u w:val="single"/>
        </w:rPr>
        <w:t>容桂街道</w:t>
      </w:r>
      <w:r>
        <w:rPr>
          <w:sz w:val="24"/>
          <w:b/>
          <w:color w:val="000000"/>
          <w:u w:val="single"/>
        </w:rPr>
        <w:t>2026-2027</w:t>
      </w:r>
      <w:r>
        <w:rPr>
          <w:sz w:val="24"/>
          <w:b/>
          <w:color w:val="000000"/>
          <w:u w:val="single"/>
        </w:rPr>
        <w:t>年度除四害采购服务项目</w:t>
      </w:r>
    </w:p>
    <w:p>
      <w:pPr>
        <w:pStyle w:val="null3"/>
        <w:ind w:firstLine="2891"/>
        <w:jc w:val="both"/>
      </w:pPr>
      <w:r>
        <w:rPr>
          <w:sz w:val="24"/>
          <w:b/>
          <w:color w:val="000000"/>
          <w:u w:val="single"/>
        </w:rPr>
        <w:t>A</w:t>
      </w:r>
      <w:r>
        <w:rPr>
          <w:sz w:val="24"/>
          <w:b/>
          <w:color w:val="000000"/>
          <w:u w:val="single"/>
        </w:rPr>
        <w:t>标段</w:t>
      </w:r>
      <w:r>
        <w:rPr>
          <w:sz w:val="24"/>
          <w:b/>
          <w:color w:val="000000"/>
          <w:u w:val="single"/>
        </w:rPr>
        <w:t>/B</w:t>
      </w:r>
      <w:r>
        <w:rPr>
          <w:sz w:val="24"/>
          <w:b/>
          <w:color w:val="000000"/>
          <w:u w:val="single"/>
        </w:rPr>
        <w:t>标段</w:t>
      </w:r>
      <w:r>
        <w:rPr>
          <w:sz w:val="24"/>
          <w:b/>
          <w:color w:val="000000"/>
          <w:u w:val="single"/>
        </w:rPr>
        <w:t>/C</w:t>
      </w:r>
      <w:r>
        <w:rPr>
          <w:sz w:val="24"/>
          <w:b/>
          <w:color w:val="000000"/>
          <w:u w:val="single"/>
        </w:rPr>
        <w:t>标段</w:t>
      </w:r>
    </w:p>
    <w:tbl>
      <w:tblPr>
        <w:tblW w:w="0" w:type="auto"/>
        <w:tblBorders>
          <w:top w:val="none" w:color="000000" w:sz="4"/>
          <w:left w:val="none" w:color="000000" w:sz="4"/>
          <w:bottom w:val="none" w:color="000000" w:sz="4"/>
          <w:right w:val="none" w:color="000000" w:sz="4"/>
          <w:insideH w:val="none"/>
          <w:insideV w:val="none"/>
        </w:tblBorders>
      </w:tblPr>
      <w:tblGrid>
        <w:gridCol w:w="2261"/>
        <w:gridCol w:w="6045"/>
      </w:tblGrid>
      <w:tr>
        <w:tc>
          <w:tcPr>
            <w:tcW w:type="dxa" w:w="22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甲</w:t>
            </w:r>
            <w:r>
              <w:rPr>
                <w:sz w:val="28"/>
                <w:color w:val="000000"/>
              </w:rPr>
              <w:t xml:space="preserve">   </w:t>
            </w:r>
            <w:r>
              <w:rPr>
                <w:sz w:val="28"/>
                <w:color w:val="000000"/>
              </w:rPr>
              <w:t>方：</w:t>
            </w:r>
          </w:p>
        </w:tc>
        <w:tc>
          <w:tcPr>
            <w:tcW w:type="dxa" w:w="60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color w:val="000000"/>
                <w:u w:val="single"/>
              </w:rPr>
              <w:t>佛山市顺德区容桂街道综合行政执法队</w:t>
            </w:r>
          </w:p>
        </w:tc>
      </w:tr>
      <w:tr>
        <w:tc>
          <w:tcPr>
            <w:tcW w:type="dxa" w:w="22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乙</w:t>
            </w:r>
            <w:r>
              <w:rPr>
                <w:sz w:val="28"/>
                <w:color w:val="000000"/>
              </w:rPr>
              <w:t xml:space="preserve">   </w:t>
            </w:r>
            <w:r>
              <w:rPr>
                <w:sz w:val="28"/>
                <w:color w:val="000000"/>
              </w:rPr>
              <w:t>方：</w:t>
            </w:r>
          </w:p>
        </w:tc>
        <w:tc>
          <w:tcPr>
            <w:tcW w:type="dxa" w:w="60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r>
              <w:rPr>
                <w:sz w:val="28"/>
                <w:color w:val="000000"/>
                <w:u w:val="single"/>
              </w:rPr>
              <w:t>（中标</w:t>
            </w:r>
            <w:r>
              <w:rPr>
                <w:sz w:val="28"/>
                <w:color w:val="000000"/>
                <w:u w:val="single"/>
              </w:rPr>
              <w:t>/</w:t>
            </w:r>
            <w:r>
              <w:rPr>
                <w:sz w:val="28"/>
                <w:color w:val="000000"/>
                <w:u w:val="single"/>
              </w:rPr>
              <w:t xml:space="preserve">成交供应商名称）   </w:t>
            </w:r>
          </w:p>
        </w:tc>
      </w:tr>
      <w:tr>
        <w:tc>
          <w:tcPr>
            <w:tcW w:type="dxa" w:w="22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r>
              <w:rPr>
                <w:sz w:val="28"/>
                <w:color w:val="000000"/>
              </w:rPr>
              <w:t>签订日期：</w:t>
            </w:r>
          </w:p>
        </w:tc>
        <w:tc>
          <w:tcPr>
            <w:tcW w:type="dxa" w:w="60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r>
              <w:rPr>
                <w:sz w:val="28"/>
                <w:color w:val="000000"/>
                <w:u w:val="single"/>
              </w:rPr>
              <w:t>年</w:t>
            </w:r>
            <w:r>
              <w:rPr>
                <w:sz w:val="19"/>
                <w:u w:val="single"/>
              </w:rPr>
              <w:t xml:space="preserve">   </w:t>
            </w:r>
            <w:r>
              <w:rPr>
                <w:sz w:val="28"/>
                <w:color w:val="000000"/>
                <w:u w:val="single"/>
              </w:rPr>
              <w:t>月</w:t>
            </w:r>
            <w:r>
              <w:rPr>
                <w:sz w:val="19"/>
                <w:u w:val="single"/>
              </w:rPr>
              <w:t xml:space="preserve">    </w:t>
            </w:r>
            <w:r>
              <w:rPr>
                <w:sz w:val="28"/>
                <w:color w:val="000000"/>
                <w:u w:val="single"/>
              </w:rPr>
              <w:t>日</w:t>
            </w:r>
            <w:r>
              <w:rPr>
                <w:sz w:val="28"/>
                <w:color w:val="000000"/>
                <w:u w:val="single"/>
              </w:rPr>
              <w:t xml:space="preserve">       </w:t>
            </w:r>
          </w:p>
        </w:tc>
      </w:tr>
    </w:tbl>
    <w:p>
      <w:pPr>
        <w:pStyle w:val="null3"/>
        <w:jc w:val="both"/>
      </w:pPr>
      <w:r>
        <w:rPr>
          <w:sz w:val="24"/>
          <w:i/>
          <w:color w:val="000000"/>
        </w:rPr>
        <w:t>注：本合同仅为合同的参考文本，可根据项目的具体要求进行修订。</w:t>
      </w:r>
    </w:p>
    <w:p>
      <w:pPr>
        <w:pStyle w:val="null3"/>
        <w:jc w:val="center"/>
      </w:pPr>
      <w:r>
        <w:rPr/>
        <w:t xml:space="preserve"> </w:t>
      </w:r>
    </w:p>
    <w:p>
      <w:pPr>
        <w:pStyle w:val="null3"/>
        <w:jc w:val="center"/>
      </w:pPr>
      <w:r>
        <w:rPr>
          <w:sz w:val="44"/>
          <w:b/>
          <w:color w:val="000000"/>
        </w:rPr>
        <w:t>佛山市政府采购项目合同书</w:t>
      </w:r>
    </w:p>
    <w:p>
      <w:pPr>
        <w:pStyle w:val="null3"/>
        <w:jc w:val="center"/>
      </w:pPr>
      <w:r>
        <w:rPr>
          <w:sz w:val="21"/>
          <w:b/>
          <w:color w:val="000000"/>
        </w:rPr>
        <w:t>项目名称：</w:t>
      </w:r>
      <w:r>
        <w:rPr>
          <w:sz w:val="24"/>
          <w:b/>
          <w:color w:val="000000"/>
          <w:u w:val="single"/>
        </w:rPr>
        <w:t>容桂街道</w:t>
      </w:r>
      <w:r>
        <w:rPr>
          <w:sz w:val="24"/>
          <w:b/>
          <w:color w:val="000000"/>
          <w:u w:val="single"/>
        </w:rPr>
        <w:t>2026-2027</w:t>
      </w:r>
      <w:r>
        <w:rPr>
          <w:sz w:val="24"/>
          <w:b/>
          <w:color w:val="000000"/>
          <w:u w:val="single"/>
        </w:rPr>
        <w:t>年度除四害采购服务项目</w:t>
      </w:r>
      <w:r>
        <w:rPr>
          <w:sz w:val="24"/>
          <w:b/>
          <w:color w:val="000000"/>
          <w:u w:val="single"/>
        </w:rPr>
        <w:t>A</w:t>
      </w:r>
      <w:r>
        <w:rPr>
          <w:sz w:val="24"/>
          <w:b/>
          <w:color w:val="000000"/>
          <w:u w:val="single"/>
        </w:rPr>
        <w:t>标段</w:t>
      </w:r>
      <w:r>
        <w:rPr>
          <w:sz w:val="24"/>
          <w:b/>
          <w:color w:val="000000"/>
          <w:u w:val="single"/>
        </w:rPr>
        <w:t>/B</w:t>
      </w:r>
      <w:r>
        <w:rPr>
          <w:sz w:val="24"/>
          <w:b/>
          <w:color w:val="000000"/>
          <w:u w:val="single"/>
        </w:rPr>
        <w:t>标段</w:t>
      </w:r>
      <w:r>
        <w:rPr>
          <w:sz w:val="24"/>
          <w:b/>
          <w:color w:val="000000"/>
          <w:u w:val="single"/>
        </w:rPr>
        <w:t>/C</w:t>
      </w:r>
      <w:r>
        <w:rPr>
          <w:sz w:val="24"/>
          <w:b/>
          <w:color w:val="000000"/>
          <w:u w:val="single"/>
        </w:rPr>
        <w:t>标段</w:t>
      </w:r>
    </w:p>
    <w:p>
      <w:pPr>
        <w:pStyle w:val="null3"/>
        <w:jc w:val="both"/>
      </w:pPr>
      <w:r>
        <w:rPr>
          <w:sz w:val="21"/>
          <w:b/>
          <w:color w:val="000000"/>
        </w:rPr>
        <w:t>项目编号：</w:t>
      </w:r>
      <w:r>
        <w:rPr>
          <w:sz w:val="24"/>
          <w:b/>
          <w:color w:val="000000"/>
          <w:u w:val="single"/>
        </w:rPr>
        <w:t>440606-2026-01025</w:t>
      </w:r>
    </w:p>
    <w:p>
      <w:pPr>
        <w:pStyle w:val="null3"/>
        <w:jc w:val="both"/>
      </w:pPr>
      <w:r>
        <w:rPr>
          <w:sz w:val="21"/>
          <w:b/>
          <w:color w:val="000000"/>
        </w:rPr>
        <w:t>甲</w:t>
      </w:r>
      <w:r>
        <w:rPr>
          <w:sz w:val="21"/>
          <w:b/>
          <w:color w:val="000000"/>
        </w:rPr>
        <w:t xml:space="preserve">    </w:t>
      </w:r>
      <w:r>
        <w:rPr>
          <w:sz w:val="21"/>
          <w:b/>
          <w:color w:val="000000"/>
        </w:rPr>
        <w:t>方：</w:t>
      </w:r>
      <w:r>
        <w:rPr>
          <w:sz w:val="21"/>
          <w:color w:val="000000"/>
          <w:u w:val="single"/>
        </w:rPr>
        <w:t>佛山市顺德区容桂街道综合行政执法队</w:t>
      </w:r>
    </w:p>
    <w:p>
      <w:pPr>
        <w:pStyle w:val="null3"/>
        <w:jc w:val="both"/>
      </w:pPr>
      <w:r>
        <w:rPr>
          <w:sz w:val="21"/>
          <w:b/>
          <w:color w:val="000000"/>
        </w:rPr>
        <w:t>乙</w:t>
      </w:r>
      <w:r>
        <w:rPr>
          <w:sz w:val="21"/>
          <w:b/>
          <w:color w:val="000000"/>
        </w:rPr>
        <w:t xml:space="preserve">    </w:t>
      </w:r>
      <w:r>
        <w:rPr>
          <w:sz w:val="21"/>
          <w:b/>
          <w:color w:val="000000"/>
        </w:rPr>
        <w:t>方：</w:t>
      </w:r>
      <w:r>
        <w:rPr>
          <w:sz w:val="21"/>
          <w:color w:val="000000"/>
          <w:u w:val="single"/>
        </w:rPr>
        <w:t>（中标</w:t>
      </w:r>
      <w:r>
        <w:rPr>
          <w:sz w:val="21"/>
          <w:color w:val="000000"/>
          <w:u w:val="single"/>
        </w:rPr>
        <w:t>/</w:t>
      </w:r>
      <w:r>
        <w:rPr>
          <w:sz w:val="21"/>
          <w:color w:val="000000"/>
          <w:u w:val="single"/>
        </w:rPr>
        <w:t>成交供应商）</w:t>
      </w:r>
    </w:p>
    <w:p>
      <w:pPr>
        <w:pStyle w:val="null3"/>
        <w:jc w:val="both"/>
      </w:pPr>
      <w:r>
        <w:rPr>
          <w:sz w:val="21"/>
          <w:b/>
          <w:color w:val="000000"/>
        </w:rPr>
        <w:t>合同性质：</w:t>
      </w:r>
      <w:r>
        <w:rPr>
          <w:sz w:val="21"/>
          <w:color w:val="000000"/>
          <w:u w:val="single"/>
        </w:rPr>
        <w:t>本合同为中小企业预留合同</w:t>
      </w:r>
      <w:r>
        <w:rPr>
          <w:sz w:val="21"/>
          <w:color w:val="000000"/>
          <w:u w:val="single"/>
        </w:rPr>
        <w:t xml:space="preserve">                         </w:t>
      </w:r>
    </w:p>
    <w:p>
      <w:pPr>
        <w:pStyle w:val="null3"/>
        <w:jc w:val="both"/>
      </w:pPr>
      <w:r>
        <w:rPr>
          <w:sz w:val="21"/>
          <w:color w:val="000000"/>
        </w:rPr>
        <w:t>根据《中华人民共和国政府采购法》《中华人民共和国民法典》和本项目采购文件的要求，经双方协商，本着平等互利和诚实信用的原则，一致同意签订本合同如下。</w:t>
      </w:r>
    </w:p>
    <w:p>
      <w:pPr>
        <w:pStyle w:val="null3"/>
        <w:ind w:firstLine="241"/>
        <w:jc w:val="both"/>
      </w:pPr>
      <w:r>
        <w:rPr>
          <w:sz w:val="24"/>
          <w:b/>
          <w:color w:val="000000"/>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6230"/>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标段</w:t>
            </w:r>
          </w:p>
        </w:tc>
        <w:tc>
          <w:tcPr>
            <w:tcW w:type="dxa" w:w="6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覆盖的主要社区（村）及各村居区域面积</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A标段（即采购包1）</w:t>
            </w:r>
          </w:p>
        </w:tc>
        <w:tc>
          <w:tcPr>
            <w:tcW w:type="dxa" w:w="6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1、高黎村居(5.63km</w:t>
            </w:r>
            <w:r>
              <w:rPr>
                <w:sz w:val="21"/>
                <w:color w:val="000000"/>
                <w:vertAlign w:val="superscript"/>
              </w:rPr>
              <w:t>2</w:t>
            </w:r>
            <w:r>
              <w:rPr>
                <w:sz w:val="21"/>
                <w:color w:val="000000"/>
              </w:rPr>
              <w:t>)；2、小黄圃村居(9km</w:t>
            </w:r>
            <w:r>
              <w:rPr>
                <w:sz w:val="21"/>
                <w:color w:val="000000"/>
                <w:vertAlign w:val="superscript"/>
              </w:rPr>
              <w:t>2</w:t>
            </w:r>
            <w:r>
              <w:rPr>
                <w:sz w:val="21"/>
                <w:color w:val="000000"/>
              </w:rPr>
              <w:t>)；3、华口村居(5.3km</w:t>
            </w:r>
            <w:r>
              <w:rPr>
                <w:sz w:val="21"/>
                <w:color w:val="000000"/>
                <w:vertAlign w:val="superscript"/>
              </w:rPr>
              <w:t>2</w:t>
            </w:r>
            <w:r>
              <w:rPr>
                <w:sz w:val="21"/>
                <w:color w:val="000000"/>
              </w:rPr>
              <w:t>)；4、容里村居(5.3km</w:t>
            </w:r>
            <w:r>
              <w:rPr>
                <w:sz w:val="21"/>
                <w:color w:val="000000"/>
                <w:vertAlign w:val="superscript"/>
              </w:rPr>
              <w:t>2</w:t>
            </w:r>
            <w:r>
              <w:rPr>
                <w:sz w:val="21"/>
                <w:color w:val="000000"/>
              </w:rPr>
              <w:t>)；5、容边村居(2.4km</w:t>
            </w:r>
            <w:r>
              <w:rPr>
                <w:sz w:val="21"/>
                <w:color w:val="000000"/>
                <w:vertAlign w:val="superscript"/>
              </w:rPr>
              <w:t>2</w:t>
            </w:r>
            <w:r>
              <w:rPr>
                <w:sz w:val="21"/>
                <w:color w:val="000000"/>
              </w:rPr>
              <w:t>)；6、南区村居(1.8km</w:t>
            </w:r>
            <w:r>
              <w:rPr>
                <w:sz w:val="21"/>
                <w:color w:val="000000"/>
                <w:vertAlign w:val="superscript"/>
              </w:rPr>
              <w:t>2</w:t>
            </w:r>
            <w:r>
              <w:rPr>
                <w:sz w:val="21"/>
                <w:color w:val="000000"/>
              </w:rPr>
              <w:t>)；7、扁滘村居(2km</w:t>
            </w:r>
            <w:r>
              <w:rPr>
                <w:sz w:val="21"/>
                <w:color w:val="000000"/>
                <w:vertAlign w:val="superscript"/>
              </w:rPr>
              <w:t>2</w:t>
            </w:r>
            <w:r>
              <w:rPr>
                <w:sz w:val="21"/>
                <w:color w:val="000000"/>
              </w:rPr>
              <w:t>)；8、上佳市居委(1km</w:t>
            </w:r>
            <w:r>
              <w:rPr>
                <w:sz w:val="21"/>
                <w:color w:val="000000"/>
                <w:vertAlign w:val="superscript"/>
              </w:rPr>
              <w:t>2</w:t>
            </w:r>
            <w:r>
              <w:rPr>
                <w:sz w:val="21"/>
                <w:color w:val="000000"/>
              </w:rPr>
              <w:t>)；9、德胜居委(3km</w:t>
            </w:r>
            <w:r>
              <w:rPr>
                <w:sz w:val="21"/>
                <w:color w:val="000000"/>
                <w:vertAlign w:val="superscript"/>
              </w:rPr>
              <w:t>2</w:t>
            </w:r>
            <w:r>
              <w:rPr>
                <w:sz w:val="21"/>
                <w:color w:val="000000"/>
              </w:rPr>
              <w:t>)。</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标段</w:t>
            </w:r>
          </w:p>
        </w:tc>
        <w:tc>
          <w:tcPr>
            <w:tcW w:type="dxa" w:w="6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覆盖的主要社区（村）及各村居区域面积</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B标段（即采购包2）</w:t>
            </w:r>
          </w:p>
        </w:tc>
        <w:tc>
          <w:tcPr>
            <w:tcW w:type="dxa" w:w="6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1、龙涌口村居(1.8 km</w:t>
            </w:r>
            <w:r>
              <w:rPr>
                <w:sz w:val="21"/>
                <w:color w:val="000000"/>
                <w:vertAlign w:val="superscript"/>
              </w:rPr>
              <w:t>2</w:t>
            </w:r>
            <w:r>
              <w:rPr>
                <w:sz w:val="21"/>
                <w:color w:val="000000"/>
              </w:rPr>
              <w:t>)；2、大福基村居(1.52 km</w:t>
            </w:r>
            <w:r>
              <w:rPr>
                <w:sz w:val="21"/>
                <w:color w:val="000000"/>
                <w:vertAlign w:val="superscript"/>
              </w:rPr>
              <w:t>2</w:t>
            </w:r>
            <w:r>
              <w:rPr>
                <w:sz w:val="21"/>
                <w:color w:val="000000"/>
              </w:rPr>
              <w:t>)；3、穗香村居(2.5 km</w:t>
            </w:r>
            <w:r>
              <w:rPr>
                <w:sz w:val="21"/>
                <w:color w:val="000000"/>
                <w:vertAlign w:val="superscript"/>
              </w:rPr>
              <w:t>2</w:t>
            </w:r>
            <w:r>
              <w:rPr>
                <w:sz w:val="21"/>
                <w:color w:val="000000"/>
              </w:rPr>
              <w:t>)；4、四基村居(2.3 km</w:t>
            </w:r>
            <w:r>
              <w:rPr>
                <w:sz w:val="21"/>
                <w:color w:val="000000"/>
                <w:vertAlign w:val="superscript"/>
              </w:rPr>
              <w:t>2</w:t>
            </w:r>
            <w:r>
              <w:rPr>
                <w:sz w:val="21"/>
                <w:color w:val="000000"/>
              </w:rPr>
              <w:t>)；5、红旗居委(2.8 km</w:t>
            </w:r>
            <w:r>
              <w:rPr>
                <w:sz w:val="21"/>
                <w:color w:val="000000"/>
                <w:vertAlign w:val="superscript"/>
              </w:rPr>
              <w:t>2</w:t>
            </w:r>
            <w:r>
              <w:rPr>
                <w:sz w:val="21"/>
                <w:color w:val="000000"/>
              </w:rPr>
              <w:t>)；6、桂洲居委(0.7 km</w:t>
            </w:r>
            <w:r>
              <w:rPr>
                <w:sz w:val="21"/>
                <w:color w:val="000000"/>
                <w:vertAlign w:val="superscript"/>
              </w:rPr>
              <w:t>2</w:t>
            </w:r>
            <w:r>
              <w:rPr>
                <w:sz w:val="21"/>
                <w:color w:val="000000"/>
              </w:rPr>
              <w:t>)；7、细滘村居(4.5 km</w:t>
            </w:r>
            <w:r>
              <w:rPr>
                <w:sz w:val="21"/>
                <w:color w:val="000000"/>
                <w:vertAlign w:val="superscript"/>
              </w:rPr>
              <w:t>2</w:t>
            </w:r>
            <w:r>
              <w:rPr>
                <w:sz w:val="21"/>
                <w:color w:val="000000"/>
              </w:rPr>
              <w:t>)；8、海尾村居(3 km</w:t>
            </w:r>
            <w:r>
              <w:rPr>
                <w:sz w:val="21"/>
                <w:color w:val="000000"/>
                <w:vertAlign w:val="superscript"/>
              </w:rPr>
              <w:t>2</w:t>
            </w:r>
            <w:r>
              <w:rPr>
                <w:sz w:val="21"/>
                <w:color w:val="000000"/>
              </w:rPr>
              <w:t>)；9、马岗村居(12 km</w:t>
            </w:r>
            <w:r>
              <w:rPr>
                <w:sz w:val="21"/>
                <w:color w:val="000000"/>
                <w:vertAlign w:val="superscript"/>
              </w:rPr>
              <w:t>2</w:t>
            </w:r>
            <w:r>
              <w:rPr>
                <w:sz w:val="21"/>
                <w:color w:val="000000"/>
              </w:rPr>
              <w:t>)。</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标段</w:t>
            </w:r>
          </w:p>
        </w:tc>
        <w:tc>
          <w:tcPr>
            <w:tcW w:type="dxa" w:w="6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覆盖的主要社区（村）及各村居区域面积</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C标段（即采购包3）</w:t>
            </w:r>
          </w:p>
        </w:tc>
        <w:tc>
          <w:tcPr>
            <w:tcW w:type="dxa" w:w="6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1、卫红居委(0.8 km</w:t>
            </w:r>
            <w:r>
              <w:rPr>
                <w:sz w:val="21"/>
                <w:color w:val="000000"/>
                <w:vertAlign w:val="superscript"/>
              </w:rPr>
              <w:t>2</w:t>
            </w:r>
            <w:r>
              <w:rPr>
                <w:sz w:val="21"/>
                <w:color w:val="000000"/>
              </w:rPr>
              <w:t>)；2、东风居委(0.8 km</w:t>
            </w:r>
            <w:r>
              <w:rPr>
                <w:sz w:val="21"/>
                <w:color w:val="000000"/>
                <w:vertAlign w:val="superscript"/>
              </w:rPr>
              <w:t>2</w:t>
            </w:r>
            <w:r>
              <w:rPr>
                <w:sz w:val="21"/>
                <w:color w:val="000000"/>
              </w:rPr>
              <w:t>)；3、振华居委(0.6 km</w:t>
            </w:r>
            <w:r>
              <w:rPr>
                <w:sz w:val="21"/>
                <w:color w:val="000000"/>
                <w:vertAlign w:val="superscript"/>
              </w:rPr>
              <w:t>2</w:t>
            </w:r>
            <w:r>
              <w:rPr>
                <w:sz w:val="21"/>
                <w:color w:val="000000"/>
              </w:rPr>
              <w:t>)；4、朝阳居委(0.8 km</w:t>
            </w:r>
            <w:r>
              <w:rPr>
                <w:sz w:val="21"/>
                <w:color w:val="000000"/>
                <w:vertAlign w:val="superscript"/>
              </w:rPr>
              <w:t>2</w:t>
            </w:r>
            <w:r>
              <w:rPr>
                <w:sz w:val="21"/>
                <w:color w:val="000000"/>
              </w:rPr>
              <w:t>)；5、容山居委(1 km</w:t>
            </w:r>
            <w:r>
              <w:rPr>
                <w:sz w:val="21"/>
                <w:color w:val="000000"/>
                <w:vertAlign w:val="superscript"/>
              </w:rPr>
              <w:t>2</w:t>
            </w:r>
            <w:r>
              <w:rPr>
                <w:sz w:val="21"/>
                <w:color w:val="000000"/>
              </w:rPr>
              <w:t>)；6、容新居委(1 km</w:t>
            </w:r>
            <w:r>
              <w:rPr>
                <w:sz w:val="21"/>
                <w:color w:val="000000"/>
                <w:vertAlign w:val="superscript"/>
              </w:rPr>
              <w:t>2</w:t>
            </w:r>
            <w:r>
              <w:rPr>
                <w:sz w:val="21"/>
                <w:color w:val="000000"/>
              </w:rPr>
              <w:t>)；7、红星居委(3 km</w:t>
            </w:r>
            <w:r>
              <w:rPr>
                <w:sz w:val="21"/>
                <w:color w:val="000000"/>
                <w:vertAlign w:val="superscript"/>
              </w:rPr>
              <w:t>2</w:t>
            </w:r>
            <w:r>
              <w:rPr>
                <w:sz w:val="21"/>
                <w:color w:val="000000"/>
              </w:rPr>
              <w:t>)；8、幸福居委(1.8 km</w:t>
            </w:r>
            <w:r>
              <w:rPr>
                <w:sz w:val="21"/>
                <w:color w:val="000000"/>
                <w:vertAlign w:val="superscript"/>
              </w:rPr>
              <w:t>2</w:t>
            </w:r>
            <w:r>
              <w:rPr>
                <w:sz w:val="21"/>
                <w:color w:val="000000"/>
              </w:rPr>
              <w:t>)。</w:t>
            </w:r>
          </w:p>
        </w:tc>
      </w:tr>
    </w:tbl>
    <w:p>
      <w:pPr>
        <w:pStyle w:val="null3"/>
        <w:ind w:firstLine="241"/>
        <w:jc w:val="both"/>
      </w:pPr>
      <w:r>
        <w:rPr>
          <w:sz w:val="24"/>
          <w:b/>
          <w:color w:val="000000"/>
        </w:rPr>
        <w:t>二、产品及服务供应清单：见附件一《报价清单明细表》。</w:t>
      </w:r>
    </w:p>
    <w:p>
      <w:pPr>
        <w:pStyle w:val="null3"/>
        <w:ind w:firstLine="241"/>
        <w:jc w:val="both"/>
      </w:pPr>
      <w:r>
        <w:rPr>
          <w:sz w:val="24"/>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34"/>
        <w:gridCol w:w="1646"/>
        <w:gridCol w:w="6026"/>
      </w:tblGrid>
      <w:tr>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合同条款</w:t>
            </w:r>
          </w:p>
        </w:tc>
        <w:tc>
          <w:tcPr>
            <w:tcW w:type="dxa" w:w="6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内</w:t>
            </w:r>
            <w:r>
              <w:rPr>
                <w:sz w:val="21"/>
                <w:b/>
                <w:color w:val="000000"/>
              </w:rPr>
              <w:t xml:space="preserve">  </w:t>
            </w:r>
            <w:r>
              <w:rPr>
                <w:sz w:val="21"/>
                <w:b/>
                <w:color w:val="000000"/>
              </w:rPr>
              <w:t>容</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w:t>
            </w:r>
          </w:p>
        </w:tc>
        <w:tc>
          <w:tcPr>
            <w:tcW w:type="dxa" w:w="6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w:t>
            </w:r>
            <w:r>
              <w:rPr>
                <w:sz w:val="21"/>
                <w:b/>
                <w:color w:val="000000"/>
              </w:rPr>
              <w:t>1</w:t>
            </w:r>
            <w:r>
              <w:rPr>
                <w:sz w:val="21"/>
                <w:b/>
                <w:color w:val="000000"/>
              </w:rPr>
              <w:t>）两年服务期合同总额：</w:t>
            </w:r>
          </w:p>
          <w:p>
            <w:pPr>
              <w:pStyle w:val="null3"/>
              <w:jc w:val="both"/>
            </w:pPr>
            <w:r>
              <w:rPr>
                <w:sz w:val="21"/>
                <w:color w:val="000000"/>
              </w:rPr>
              <w:t>人民币</w:t>
            </w:r>
            <w:r>
              <w:rPr>
                <w:sz w:val="21"/>
                <w:color w:val="000000"/>
              </w:rPr>
              <w:t xml:space="preserve">  </w:t>
            </w:r>
            <w:r>
              <w:rPr>
                <w:sz w:val="21"/>
                <w:color w:val="000000"/>
              </w:rPr>
              <w:t>小写：</w:t>
            </w:r>
            <w:r>
              <w:rPr>
                <w:sz w:val="21"/>
                <w:color w:val="000000"/>
                <w:u w:val="single"/>
              </w:rPr>
              <w:t xml:space="preserve">            </w:t>
            </w:r>
            <w:r>
              <w:rPr>
                <w:sz w:val="21"/>
                <w:color w:val="000000"/>
                <w:u w:val="single"/>
              </w:rPr>
              <w:t>元</w:t>
            </w:r>
            <w:r>
              <w:rPr>
                <w:sz w:val="21"/>
                <w:color w:val="000000"/>
              </w:rPr>
              <w:t>；</w:t>
            </w:r>
          </w:p>
          <w:p>
            <w:pPr>
              <w:pStyle w:val="null3"/>
              <w:jc w:val="both"/>
            </w:pPr>
            <w:r>
              <w:rPr>
                <w:sz w:val="21"/>
                <w:color w:val="000000"/>
              </w:rPr>
              <w:t>大写：</w:t>
            </w:r>
            <w:r>
              <w:rPr>
                <w:sz w:val="19"/>
                <w:u w:val="single"/>
              </w:rPr>
              <w:t xml:space="preserve">                       </w:t>
            </w:r>
            <w:r>
              <w:rPr>
                <w:sz w:val="19"/>
              </w:rPr>
              <w:t xml:space="preserve"> </w:t>
            </w:r>
          </w:p>
          <w:p>
            <w:pPr>
              <w:pStyle w:val="null3"/>
              <w:jc w:val="both"/>
            </w:pPr>
            <w:r>
              <w:rPr>
                <w:sz w:val="21"/>
                <w:b/>
                <w:color w:val="000000"/>
              </w:rPr>
              <w:t>（</w:t>
            </w:r>
            <w:r>
              <w:rPr>
                <w:sz w:val="21"/>
                <w:b/>
                <w:color w:val="000000"/>
              </w:rPr>
              <w:t>2</w:t>
            </w:r>
            <w:r>
              <w:rPr>
                <w:sz w:val="21"/>
                <w:b/>
                <w:color w:val="000000"/>
              </w:rPr>
              <w:t>）</w:t>
            </w:r>
            <w:r>
              <w:rPr>
                <w:sz w:val="21"/>
                <w:b/>
                <w:color w:val="000000"/>
              </w:rPr>
              <w:t>第一</w:t>
            </w:r>
            <w:r>
              <w:rPr>
                <w:sz w:val="21"/>
                <w:b/>
                <w:color w:val="000000"/>
              </w:rPr>
              <w:t>年服务期合同总额：</w:t>
            </w:r>
          </w:p>
          <w:p>
            <w:pPr>
              <w:pStyle w:val="null3"/>
              <w:jc w:val="both"/>
            </w:pPr>
            <w:r>
              <w:rPr>
                <w:sz w:val="21"/>
                <w:color w:val="000000"/>
              </w:rPr>
              <w:t>人民币</w:t>
            </w:r>
            <w:r>
              <w:rPr>
                <w:sz w:val="21"/>
                <w:color w:val="000000"/>
              </w:rPr>
              <w:t xml:space="preserve">  </w:t>
            </w:r>
            <w:r>
              <w:rPr>
                <w:sz w:val="21"/>
                <w:color w:val="000000"/>
              </w:rPr>
              <w:t>小写：</w:t>
            </w:r>
            <w:r>
              <w:rPr>
                <w:sz w:val="21"/>
                <w:color w:val="000000"/>
                <w:u w:val="single"/>
              </w:rPr>
              <w:t xml:space="preserve">            </w:t>
            </w:r>
            <w:r>
              <w:rPr>
                <w:sz w:val="21"/>
                <w:color w:val="000000"/>
                <w:u w:val="single"/>
              </w:rPr>
              <w:t>元</w:t>
            </w:r>
            <w:r>
              <w:rPr>
                <w:sz w:val="21"/>
                <w:color w:val="000000"/>
              </w:rPr>
              <w:t>；</w:t>
            </w:r>
          </w:p>
          <w:p>
            <w:pPr>
              <w:pStyle w:val="null3"/>
              <w:jc w:val="both"/>
            </w:pPr>
            <w:r>
              <w:rPr>
                <w:sz w:val="21"/>
                <w:color w:val="000000"/>
              </w:rPr>
              <w:t>大写：</w:t>
            </w:r>
            <w:r>
              <w:rPr>
                <w:sz w:val="19"/>
                <w:u w:val="single"/>
              </w:rPr>
              <w:t xml:space="preserve">                       </w:t>
            </w:r>
          </w:p>
          <w:p>
            <w:pPr>
              <w:pStyle w:val="null3"/>
              <w:jc w:val="both"/>
            </w:pPr>
            <w:r>
              <w:rPr>
                <w:sz w:val="21"/>
                <w:b/>
                <w:color w:val="000000"/>
              </w:rPr>
              <w:t>（</w:t>
            </w:r>
            <w:r>
              <w:rPr>
                <w:sz w:val="21"/>
                <w:b/>
                <w:color w:val="000000"/>
              </w:rPr>
              <w:t>3</w:t>
            </w:r>
            <w:r>
              <w:rPr>
                <w:sz w:val="21"/>
                <w:b/>
                <w:color w:val="000000"/>
              </w:rPr>
              <w:t>）</w:t>
            </w:r>
            <w:r>
              <w:rPr>
                <w:sz w:val="21"/>
                <w:b/>
                <w:color w:val="000000"/>
              </w:rPr>
              <w:t>第二</w:t>
            </w:r>
            <w:r>
              <w:rPr>
                <w:sz w:val="21"/>
                <w:b/>
                <w:color w:val="000000"/>
              </w:rPr>
              <w:t>年服务期合同总额：</w:t>
            </w:r>
          </w:p>
          <w:p>
            <w:pPr>
              <w:pStyle w:val="null3"/>
              <w:jc w:val="both"/>
            </w:pPr>
            <w:r>
              <w:rPr>
                <w:sz w:val="21"/>
                <w:color w:val="000000"/>
              </w:rPr>
              <w:t>人民币</w:t>
            </w:r>
            <w:r>
              <w:rPr>
                <w:sz w:val="21"/>
                <w:color w:val="000000"/>
              </w:rPr>
              <w:t xml:space="preserve">  </w:t>
            </w:r>
            <w:r>
              <w:rPr>
                <w:sz w:val="21"/>
                <w:color w:val="000000"/>
              </w:rPr>
              <w:t>小写：</w:t>
            </w:r>
            <w:r>
              <w:rPr>
                <w:sz w:val="21"/>
                <w:color w:val="000000"/>
                <w:u w:val="single"/>
              </w:rPr>
              <w:t xml:space="preserve">            </w:t>
            </w:r>
            <w:r>
              <w:rPr>
                <w:sz w:val="21"/>
                <w:color w:val="000000"/>
                <w:u w:val="single"/>
              </w:rPr>
              <w:t>元</w:t>
            </w:r>
            <w:r>
              <w:rPr>
                <w:sz w:val="21"/>
                <w:color w:val="000000"/>
              </w:rPr>
              <w:t>；</w:t>
            </w:r>
          </w:p>
          <w:p>
            <w:pPr>
              <w:pStyle w:val="null3"/>
              <w:jc w:val="both"/>
            </w:pPr>
            <w:r>
              <w:rPr>
                <w:sz w:val="21"/>
                <w:color w:val="000000"/>
              </w:rPr>
              <w:t>大写：</w:t>
            </w:r>
            <w:r>
              <w:rPr>
                <w:sz w:val="19"/>
                <w:u w:val="single"/>
              </w:rPr>
              <w:t xml:space="preserve">                       </w:t>
            </w:r>
            <w:r>
              <w:rPr>
                <w:sz w:val="19"/>
              </w:rPr>
              <w:t xml:space="preserve">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合同总额内容</w:t>
            </w:r>
          </w:p>
        </w:tc>
        <w:tc>
          <w:tcPr>
            <w:tcW w:type="dxa" w:w="6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w:t>
            </w:r>
            <w:r>
              <w:rPr>
                <w:sz w:val="21"/>
                <w:color w:val="000000"/>
              </w:rPr>
              <w:t>合同</w:t>
            </w:r>
            <w:r>
              <w:rPr>
                <w:sz w:val="21"/>
                <w:color w:val="000000"/>
              </w:rPr>
              <w:t>价为全包价，包括除</w:t>
            </w:r>
            <w:r>
              <w:rPr>
                <w:sz w:val="21"/>
                <w:color w:val="000000"/>
              </w:rPr>
              <w:t>“四害”服务项目及与此相关的人工费、管理费用、相关用具及药物的使用费用、设备折旧费及各项税费等一切与完成本项目相关费用及合同实施过程中应预见和不可预见费用等。甲方不再另外支付任何费用。所有价格均应以人民币报价。</w:t>
            </w:r>
          </w:p>
          <w:p>
            <w:pPr>
              <w:pStyle w:val="null3"/>
              <w:jc w:val="both"/>
            </w:pPr>
            <w:r>
              <w:rPr>
                <w:sz w:val="21"/>
                <w:color w:val="000000"/>
              </w:rPr>
              <w:t>（</w:t>
            </w:r>
            <w:r>
              <w:rPr>
                <w:sz w:val="21"/>
                <w:color w:val="000000"/>
              </w:rPr>
              <w:t>2</w:t>
            </w:r>
            <w:r>
              <w:rPr>
                <w:sz w:val="21"/>
                <w:color w:val="000000"/>
              </w:rPr>
              <w:t>）乙方须考虑本项目在实施期间的一切可能产生的费用。</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项目服务地点</w:t>
            </w:r>
          </w:p>
        </w:tc>
        <w:tc>
          <w:tcPr>
            <w:tcW w:type="dxa" w:w="6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甲方（用户）指定地点：佛山市顺德区容桂街道。</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服务期</w:t>
            </w:r>
          </w:p>
        </w:tc>
        <w:tc>
          <w:tcPr>
            <w:tcW w:type="dxa" w:w="6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r>
              <w:rPr>
                <w:sz w:val="21"/>
                <w:color w:val="000000"/>
              </w:rPr>
              <w:t>年，自    年  月  日至  年  月  日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合同签订方式及情况</w:t>
            </w:r>
          </w:p>
        </w:tc>
        <w:tc>
          <w:tcPr>
            <w:tcW w:type="dxa" w:w="6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一年一签。</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6</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付款方式</w:t>
            </w:r>
          </w:p>
        </w:tc>
        <w:tc>
          <w:tcPr>
            <w:tcW w:type="dxa" w:w="6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1）按季度（三个月，下同）支付，甲方根据每季度的服务质量检查考评结果，减去该季度的罚款计算（若有）。每季度支付金额=（中标金额÷</w:t>
            </w:r>
            <w:r>
              <w:rPr>
                <w:sz w:val="21"/>
                <w:color w:val="000000"/>
              </w:rPr>
              <w:t>2年</w:t>
            </w:r>
            <w:r>
              <w:rPr>
                <w:sz w:val="21"/>
                <w:color w:val="000000"/>
              </w:rPr>
              <w:t>÷4季度）-该季度的罚款（若有，金额按四舍五入原则精确到分）。该季度的服务费用于考评后15个工作日内向乙方支付。服务期不足一个月的月份则按实际服务天数按实结算，每天服务费</w:t>
            </w:r>
            <w:r>
              <w:rPr>
                <w:sz w:val="21"/>
                <w:color w:val="000000"/>
              </w:rPr>
              <w:t>=每季度支付金额÷3个月÷当月总天数。</w:t>
            </w:r>
            <w:r>
              <w:rPr>
                <w:sz w:val="19"/>
              </w:rPr>
              <w:t xml:space="preserve"> </w:t>
            </w:r>
          </w:p>
          <w:p>
            <w:pPr>
              <w:pStyle w:val="null3"/>
            </w:pPr>
            <w:r>
              <w:rPr>
                <w:sz w:val="21"/>
                <w:color w:val="000000"/>
              </w:rPr>
              <w:t>（</w:t>
            </w:r>
            <w:r>
              <w:rPr>
                <w:sz w:val="21"/>
                <w:color w:val="000000"/>
              </w:rPr>
              <w:t>2）乙方应理解政府部门付款的相关程序，因甲方使用的是财政资金，甲方在前款规定的付款时间为向政府财政支付部门提出办理财政支付申请手续的时间，不含政府财政支付部门审核的时间。因政府财政支付审批流程及办理手续而造成项目支付进度有所推延，而导致甲方逾期付款的，甲方不承担逾期付款违约责任。</w:t>
            </w:r>
          </w:p>
          <w:p>
            <w:pPr>
              <w:pStyle w:val="null3"/>
            </w:pPr>
            <w:r>
              <w:rPr>
                <w:sz w:val="21"/>
                <w:color w:val="000000"/>
              </w:rPr>
              <w:t>（</w:t>
            </w:r>
            <w:r>
              <w:rPr>
                <w:sz w:val="21"/>
                <w:color w:val="000000"/>
              </w:rPr>
              <w:t>3）付款期间如因特殊情况需调整，由双方协商处理。</w:t>
            </w:r>
          </w:p>
          <w:p>
            <w:pPr>
              <w:pStyle w:val="null3"/>
            </w:pPr>
            <w:r>
              <w:rPr>
                <w:sz w:val="21"/>
                <w:color w:val="000000"/>
              </w:rPr>
              <w:t>（</w:t>
            </w:r>
            <w:r>
              <w:rPr>
                <w:sz w:val="21"/>
                <w:color w:val="000000"/>
              </w:rPr>
              <w:t>4）合同款项的支付方式：转账结算（银行转账）</w:t>
            </w:r>
          </w:p>
          <w:p>
            <w:pPr>
              <w:pStyle w:val="null3"/>
            </w:pPr>
            <w:r>
              <w:rPr>
                <w:sz w:val="21"/>
                <w:color w:val="000000"/>
              </w:rPr>
              <w:t>（</w:t>
            </w:r>
            <w:r>
              <w:rPr>
                <w:sz w:val="21"/>
                <w:color w:val="000000"/>
              </w:rPr>
              <w:t>5）付款方：甲方；收款方：乙方。</w:t>
            </w:r>
          </w:p>
          <w:p>
            <w:pPr>
              <w:pStyle w:val="null3"/>
            </w:pPr>
            <w:r>
              <w:rPr>
                <w:sz w:val="21"/>
                <w:color w:val="000000"/>
              </w:rPr>
              <w:t>（</w:t>
            </w:r>
            <w:r>
              <w:rPr>
                <w:sz w:val="21"/>
                <w:color w:val="000000"/>
              </w:rPr>
              <w:t>6）开具发票：乙方收款时必须持有效发票。收款方、出具发票方、合同乙方均必须与中标人名称一致。</w:t>
            </w:r>
          </w:p>
          <w:p>
            <w:pPr>
              <w:pStyle w:val="null3"/>
              <w:jc w:val="both"/>
            </w:pPr>
            <w:r>
              <w:rPr>
                <w:sz w:val="21"/>
                <w:color w:val="000000"/>
              </w:rPr>
              <w:t>如项目发生合同融资，甲方需将合同款项支付到合同约定收款账户</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验收要求</w:t>
            </w:r>
          </w:p>
        </w:tc>
        <w:tc>
          <w:tcPr>
            <w:tcW w:type="dxa" w:w="6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根据招标文件要求和乙方的投标承诺及行业标准、国家标准验收，以及详见采购项目技术要求中的</w:t>
            </w:r>
            <w:r>
              <w:rPr>
                <w:sz w:val="21"/>
                <w:color w:val="000000"/>
              </w:rPr>
              <w:t>“四、监督考评办法”。</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8</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响应服务</w:t>
            </w:r>
          </w:p>
        </w:tc>
        <w:tc>
          <w:tcPr>
            <w:tcW w:type="dxa" w:w="6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服务时间内，乙方须提供常设每周</w:t>
            </w:r>
            <w:r>
              <w:rPr>
                <w:sz w:val="21"/>
                <w:color w:val="000000"/>
              </w:rPr>
              <w:t>7</w:t>
            </w:r>
            <w:r>
              <w:rPr>
                <w:sz w:val="21"/>
                <w:color w:val="000000"/>
              </w:rPr>
              <w:t>天×</w:t>
            </w:r>
            <w:r>
              <w:rPr>
                <w:sz w:val="21"/>
                <w:color w:val="000000"/>
              </w:rPr>
              <w:t>24</w:t>
            </w:r>
            <w:r>
              <w:rPr>
                <w:sz w:val="21"/>
                <w:color w:val="000000"/>
              </w:rPr>
              <w:t>小时服务专线技术支持。</w:t>
            </w:r>
          </w:p>
          <w:p>
            <w:pPr>
              <w:pStyle w:val="null3"/>
              <w:jc w:val="both"/>
            </w:pPr>
            <w:r>
              <w:rPr>
                <w:sz w:val="21"/>
                <w:color w:val="000000"/>
              </w:rPr>
              <w:t>2.</w:t>
            </w:r>
            <w:r>
              <w:rPr>
                <w:sz w:val="21"/>
                <w:color w:val="000000"/>
              </w:rPr>
              <w:t>对甲方的服务通知，乙方必须符合以下要求：一般事项</w:t>
            </w:r>
            <w:r>
              <w:rPr>
                <w:sz w:val="21"/>
                <w:color w:val="000000"/>
              </w:rPr>
              <w:t>24</w:t>
            </w:r>
            <w:r>
              <w:rPr>
                <w:sz w:val="21"/>
                <w:color w:val="000000"/>
              </w:rPr>
              <w:t>小时内处理完毕</w:t>
            </w:r>
            <w:r>
              <w:rPr>
                <w:sz w:val="21"/>
                <w:color w:val="000000"/>
              </w:rPr>
              <w:t>,</w:t>
            </w:r>
            <w:r>
              <w:rPr>
                <w:sz w:val="21"/>
                <w:color w:val="000000"/>
              </w:rPr>
              <w:t>另有具体约定时间的按照约定时间执行。</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9</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分包要求</w:t>
            </w:r>
          </w:p>
        </w:tc>
        <w:tc>
          <w:tcPr>
            <w:tcW w:type="dxa" w:w="6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本项目不允许分包。</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10</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履约保证金</w:t>
            </w:r>
          </w:p>
        </w:tc>
        <w:tc>
          <w:tcPr>
            <w:tcW w:type="dxa" w:w="6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收取比例：</w:t>
            </w:r>
            <w:r>
              <w:rPr>
                <w:sz w:val="21"/>
                <w:color w:val="000000"/>
              </w:rPr>
              <w:t>5%,</w:t>
            </w:r>
            <w:r>
              <w:rPr>
                <w:sz w:val="21"/>
                <w:color w:val="000000"/>
              </w:rPr>
              <w:t>即</w:t>
            </w:r>
            <w:r>
              <w:rPr>
                <w:sz w:val="19"/>
                <w:u w:val="single"/>
              </w:rPr>
              <w:t xml:space="preserve">     </w:t>
            </w:r>
          </w:p>
          <w:p>
            <w:pPr>
              <w:pStyle w:val="null3"/>
              <w:jc w:val="both"/>
            </w:pPr>
            <w:r>
              <w:rPr>
                <w:sz w:val="21"/>
                <w:color w:val="000000"/>
              </w:rPr>
              <w:t>缴费渠道：电子保函（保险）、支票（本票、汇票）、其他</w:t>
            </w:r>
          </w:p>
          <w:p>
            <w:pPr>
              <w:pStyle w:val="null3"/>
              <w:jc w:val="both"/>
            </w:pPr>
            <w:r>
              <w:rPr>
                <w:sz w:val="21"/>
                <w:color w:val="000000"/>
              </w:rPr>
              <w:t>账号：</w:t>
            </w:r>
            <w:r>
              <w:rPr>
                <w:sz w:val="21"/>
                <w:color w:val="000000"/>
              </w:rPr>
              <w:t>10618800150454</w:t>
            </w:r>
          </w:p>
          <w:p>
            <w:pPr>
              <w:pStyle w:val="null3"/>
              <w:jc w:val="both"/>
            </w:pPr>
            <w:r>
              <w:rPr>
                <w:sz w:val="21"/>
                <w:color w:val="000000"/>
              </w:rPr>
              <w:t>户名：佛山市顺德区容桂街道综合行政执法队</w:t>
            </w:r>
          </w:p>
          <w:p>
            <w:pPr>
              <w:pStyle w:val="null3"/>
              <w:jc w:val="both"/>
            </w:pPr>
            <w:r>
              <w:rPr>
                <w:sz w:val="21"/>
                <w:color w:val="000000"/>
              </w:rPr>
              <w:t>开户行：广东顺德农村商业银行股份有限</w:t>
            </w:r>
            <w:r>
              <w:rPr>
                <w:sz w:val="21"/>
                <w:color w:val="000000"/>
              </w:rPr>
              <w:t>公司容桂支行</w:t>
            </w:r>
          </w:p>
          <w:p>
            <w:pPr>
              <w:pStyle w:val="null3"/>
              <w:jc w:val="both"/>
            </w:pPr>
            <w:r>
              <w:rPr>
                <w:sz w:val="21"/>
                <w:color w:val="000000"/>
              </w:rPr>
              <w:t>支票提交方式：当面递交</w:t>
            </w:r>
          </w:p>
          <w:p>
            <w:pPr>
              <w:pStyle w:val="null3"/>
              <w:jc w:val="both"/>
            </w:pPr>
            <w:r>
              <w:rPr>
                <w:sz w:val="21"/>
                <w:color w:val="000000"/>
              </w:rPr>
              <w:t>汇票、本票提交方式：直接交付</w:t>
            </w:r>
          </w:p>
          <w:p>
            <w:pPr>
              <w:pStyle w:val="null3"/>
              <w:jc w:val="both"/>
            </w:pPr>
            <w:r>
              <w:rPr>
                <w:sz w:val="21"/>
                <w:color w:val="000000"/>
              </w:rPr>
              <w:t>说明：</w:t>
            </w:r>
            <w:r>
              <w:rPr>
                <w:sz w:val="21"/>
                <w:color w:val="000000"/>
              </w:rPr>
              <w:t>1.</w:t>
            </w:r>
            <w:r>
              <w:rPr>
                <w:sz w:val="21"/>
                <w:color w:val="000000"/>
              </w:rPr>
              <w:t>乙方必须在中标通知书发出之日起</w:t>
            </w:r>
            <w:r>
              <w:rPr>
                <w:sz w:val="21"/>
                <w:color w:val="000000"/>
              </w:rPr>
              <w:t>7</w:t>
            </w:r>
            <w:r>
              <w:rPr>
                <w:sz w:val="21"/>
                <w:color w:val="000000"/>
              </w:rPr>
              <w:t>个工作日内，须通过转账、银行保函、支票、汇票、本票等形式向甲方提交本项目中标金额的</w:t>
            </w:r>
            <w:r>
              <w:rPr>
                <w:sz w:val="21"/>
                <w:color w:val="000000"/>
              </w:rPr>
              <w:t>5%</w:t>
            </w:r>
            <w:r>
              <w:rPr>
                <w:sz w:val="21"/>
                <w:color w:val="000000"/>
              </w:rPr>
              <w:t xml:space="preserve">作为履约保证金，否则将视为乙方放弃中标，甲方有权对本项目重新进行招标。 </w:t>
            </w:r>
            <w:r>
              <w:rPr>
                <w:sz w:val="21"/>
                <w:color w:val="000000"/>
              </w:rPr>
              <w:t>2.</w:t>
            </w:r>
            <w:r>
              <w:rPr>
                <w:sz w:val="21"/>
                <w:color w:val="000000"/>
              </w:rPr>
              <w:t>甲方鼓励乙方使用保函形式提交履约保证金。【</w:t>
            </w:r>
            <w:r>
              <w:rPr>
                <w:sz w:val="21"/>
                <w:color w:val="000000"/>
              </w:rPr>
              <w:t>1.</w:t>
            </w:r>
            <w:r>
              <w:rPr>
                <w:sz w:val="21"/>
                <w:color w:val="000000"/>
              </w:rPr>
              <w:t>采用银行保函时，出具履约担保的银行级别：国有商业银行或股份制商业银行。</w:t>
            </w:r>
            <w:r>
              <w:rPr>
                <w:sz w:val="21"/>
                <w:color w:val="000000"/>
              </w:rPr>
              <w:t>2.</w:t>
            </w:r>
            <w:r>
              <w:rPr>
                <w:sz w:val="21"/>
                <w:color w:val="000000"/>
              </w:rPr>
              <w:t>银行保函须为见索即付、不可撤销的保函，并须由中国境内注册的银行出具的银行保函，且必须包含以下内容： （</w:t>
            </w:r>
            <w:r>
              <w:rPr>
                <w:sz w:val="21"/>
                <w:color w:val="000000"/>
              </w:rPr>
              <w:t>1</w:t>
            </w:r>
            <w:r>
              <w:rPr>
                <w:sz w:val="21"/>
                <w:color w:val="000000"/>
              </w:rPr>
              <w:t>）甲方名称、项目名称、乙方名称、担保金额、担保期限； （</w:t>
            </w:r>
            <w:r>
              <w:rPr>
                <w:sz w:val="21"/>
                <w:color w:val="000000"/>
              </w:rPr>
              <w:t>2</w:t>
            </w:r>
            <w:r>
              <w:rPr>
                <w:sz w:val="21"/>
                <w:color w:val="000000"/>
              </w:rPr>
              <w:t>）保证方式为连带责任保证； （</w:t>
            </w:r>
            <w:r>
              <w:rPr>
                <w:sz w:val="21"/>
                <w:color w:val="000000"/>
              </w:rPr>
              <w:t>3</w:t>
            </w:r>
            <w:r>
              <w:rPr>
                <w:sz w:val="21"/>
                <w:color w:val="000000"/>
              </w:rPr>
              <w:t>）在甲方向银行提出索赔时，银行将不要求甲方先向乙方提出索赔或要求甲方提供其他任何证明材料； （</w:t>
            </w:r>
            <w:r>
              <w:rPr>
                <w:sz w:val="21"/>
                <w:color w:val="000000"/>
              </w:rPr>
              <w:t>4</w:t>
            </w:r>
            <w:r>
              <w:rPr>
                <w:sz w:val="21"/>
                <w:color w:val="000000"/>
              </w:rPr>
              <w:t>）如在履约担保期限内，乙方自行终止合同或违反合同有关规定被甲方终止合同的，则履约担保金归甲方所有； （</w:t>
            </w:r>
            <w:r>
              <w:rPr>
                <w:sz w:val="21"/>
                <w:color w:val="000000"/>
              </w:rPr>
              <w:t>5</w:t>
            </w:r>
            <w:r>
              <w:rPr>
                <w:sz w:val="21"/>
                <w:color w:val="000000"/>
              </w:rPr>
              <w:t>）因本保函发生的纠纷，由甲方和乙方协商解决，协商不成的，任意一方均有权将争议提交项目所在地有管辖权的人民法院诉讼解决； （</w:t>
            </w:r>
            <w:r>
              <w:rPr>
                <w:sz w:val="21"/>
                <w:color w:val="000000"/>
              </w:rPr>
              <w:t>6</w:t>
            </w:r>
            <w:r>
              <w:rPr>
                <w:sz w:val="21"/>
                <w:color w:val="000000"/>
              </w:rPr>
              <w:t>）乙方在提供履约担保时所发生的一切费用由乙方承担。】 注：保函有效期应覆盖项目服务期后</w:t>
            </w:r>
            <w:r>
              <w:rPr>
                <w:sz w:val="21"/>
                <w:color w:val="000000"/>
              </w:rPr>
              <w:t>30</w:t>
            </w:r>
            <w:r>
              <w:rPr>
                <w:sz w:val="21"/>
                <w:color w:val="000000"/>
              </w:rPr>
              <w:t xml:space="preserve">天失效。 </w:t>
            </w:r>
            <w:r>
              <w:rPr>
                <w:sz w:val="21"/>
                <w:color w:val="000000"/>
              </w:rPr>
              <w:t>3.</w:t>
            </w:r>
            <w:r>
              <w:rPr>
                <w:sz w:val="21"/>
                <w:color w:val="000000"/>
              </w:rPr>
              <w:t>在合同期满后，在乙方完成合同相关要求、没有出现任何违约或因任何原因单方中止履行合同义务时，且乙方必须做好下列工作并经甲方书面同意后，则甲方在</w:t>
            </w:r>
            <w:r>
              <w:rPr>
                <w:sz w:val="21"/>
                <w:color w:val="000000"/>
              </w:rPr>
              <w:t>15</w:t>
            </w:r>
            <w:r>
              <w:rPr>
                <w:sz w:val="21"/>
                <w:color w:val="000000"/>
              </w:rPr>
              <w:t>个工作日内将履约保证金（银行保函、支票、汇票、本票等）无息退回乙方； （</w:t>
            </w:r>
            <w:r>
              <w:rPr>
                <w:sz w:val="21"/>
                <w:color w:val="000000"/>
              </w:rPr>
              <w:t>1</w:t>
            </w:r>
            <w:r>
              <w:rPr>
                <w:sz w:val="21"/>
                <w:color w:val="000000"/>
              </w:rPr>
              <w:t>）在乙方按要求核发最后一个月工人工资后</w:t>
            </w:r>
            <w:r>
              <w:rPr>
                <w:sz w:val="21"/>
                <w:color w:val="000000"/>
              </w:rPr>
              <w:t>15</w:t>
            </w:r>
            <w:r>
              <w:rPr>
                <w:sz w:val="21"/>
                <w:color w:val="000000"/>
              </w:rPr>
              <w:t>个工作日内，以书面形式正式通知甲方； （</w:t>
            </w:r>
            <w:r>
              <w:rPr>
                <w:sz w:val="21"/>
                <w:color w:val="000000"/>
              </w:rPr>
              <w:t>2</w:t>
            </w:r>
            <w:r>
              <w:rPr>
                <w:sz w:val="21"/>
                <w:color w:val="000000"/>
              </w:rPr>
              <w:t>）已妥善处理本项目的债权债务（工资、税费、社保及其他欠款等）； （</w:t>
            </w:r>
            <w:r>
              <w:rPr>
                <w:sz w:val="21"/>
                <w:color w:val="000000"/>
              </w:rPr>
              <w:t>3</w:t>
            </w:r>
            <w:r>
              <w:rPr>
                <w:sz w:val="21"/>
                <w:color w:val="000000"/>
              </w:rPr>
              <w:t xml:space="preserve">）必须做好过渡期各项工作，顺利交接。 </w:t>
            </w:r>
            <w:r>
              <w:rPr>
                <w:sz w:val="21"/>
                <w:color w:val="000000"/>
              </w:rPr>
              <w:t>4.</w:t>
            </w:r>
            <w:r>
              <w:rPr>
                <w:sz w:val="21"/>
                <w:color w:val="000000"/>
              </w:rPr>
              <w:t>如在合同期内，乙方自行终止合同或违反合同有关规定被甲方终止或解除合同的，甲方将不予退还履约保证金。</w:t>
            </w:r>
          </w:p>
          <w:p>
            <w:pPr>
              <w:pStyle w:val="null3"/>
              <w:jc w:val="both"/>
            </w:pPr>
            <w:r>
              <w:rPr>
                <w:sz w:val="21"/>
                <w:color w:val="000000"/>
              </w:rPr>
              <w:t>5.</w:t>
            </w:r>
            <w:r>
              <w:rPr>
                <w:sz w:val="21"/>
                <w:color w:val="000000"/>
              </w:rPr>
              <w:t>履约保证金可以以履约保函（保险）形式提供，目前</w:t>
            </w:r>
            <w:r>
              <w:rPr>
                <w:sz w:val="21"/>
                <w:color w:val="000000"/>
              </w:rPr>
              <w:t>"</w:t>
            </w:r>
            <w:r>
              <w:rPr>
                <w:sz w:val="21"/>
                <w:color w:val="000000"/>
              </w:rPr>
              <w:t>广东政府采购智慧云平台金融服务中心</w:t>
            </w:r>
            <w:r>
              <w:rPr>
                <w:sz w:val="21"/>
                <w:color w:val="000000"/>
              </w:rPr>
              <w:t>(https://gdgpo.czt.gd.gov.cn/zcdservice/zcd/guangdong/)</w:t>
            </w:r>
            <w:r>
              <w:rPr>
                <w:sz w:val="21"/>
                <w:color w:val="000000"/>
              </w:rPr>
              <w:t>已实现电子履约保函（保险）在线办理功能，有意愿供应商可自行办理提供。</w:t>
            </w:r>
          </w:p>
        </w:tc>
      </w:tr>
    </w:tbl>
    <w:p>
      <w:pPr>
        <w:pStyle w:val="null3"/>
        <w:ind w:firstLine="241"/>
        <w:jc w:val="both"/>
      </w:pPr>
      <w:r>
        <w:rPr>
          <w:sz w:val="24"/>
          <w:b/>
          <w:color w:val="000000"/>
        </w:rPr>
        <w:t>四、基本配置要求</w:t>
      </w:r>
    </w:p>
    <w:p>
      <w:pPr>
        <w:pStyle w:val="null3"/>
        <w:jc w:val="both"/>
      </w:pPr>
      <w:r>
        <w:rPr>
          <w:sz w:val="21"/>
          <w:b/>
          <w:color w:val="000000"/>
        </w:rPr>
        <w:t>一、基本配置要求</w:t>
      </w:r>
    </w:p>
    <w:p>
      <w:pPr>
        <w:pStyle w:val="null3"/>
        <w:ind w:firstLine="402"/>
        <w:jc w:val="both"/>
      </w:pPr>
      <w:r>
        <w:rPr>
          <w:sz w:val="21"/>
          <w:b/>
          <w:color w:val="000000"/>
        </w:rPr>
        <w:t>1、人员配置要求</w:t>
      </w:r>
    </w:p>
    <w:p>
      <w:pPr>
        <w:pStyle w:val="null3"/>
        <w:ind w:firstLine="402"/>
        <w:jc w:val="both"/>
      </w:pPr>
      <w:r>
        <w:rPr>
          <w:sz w:val="21"/>
          <w:b/>
          <w:color w:val="000000"/>
        </w:rPr>
        <w:t>投入本项目的人员不得低于以下要求：</w:t>
      </w:r>
    </w:p>
    <w:tbl>
      <w:tblPr>
        <w:tblW w:w="0" w:type="auto"/>
        <w:tblBorders>
          <w:top w:val="none" w:color="000000" w:sz="4"/>
          <w:left w:val="none" w:color="000000" w:sz="4"/>
          <w:bottom w:val="none" w:color="000000" w:sz="4"/>
          <w:right w:val="none" w:color="000000" w:sz="4"/>
          <w:insideH w:val="none"/>
          <w:insideV w:val="none"/>
        </w:tblBorders>
      </w:tblPr>
      <w:tblGrid>
        <w:gridCol w:w="1582"/>
        <w:gridCol w:w="4952"/>
        <w:gridCol w:w="1772"/>
      </w:tblGrid>
      <w:tr>
        <w:tc>
          <w:tcPr>
            <w:tcW w:type="dxa" w:w="1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人员类别</w:t>
            </w:r>
          </w:p>
        </w:tc>
        <w:tc>
          <w:tcPr>
            <w:tcW w:type="dxa" w:w="49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具体要求</w:t>
            </w:r>
          </w:p>
        </w:tc>
        <w:tc>
          <w:tcPr>
            <w:tcW w:type="dxa" w:w="17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配置人数</w:t>
            </w:r>
          </w:p>
        </w:tc>
      </w:tr>
      <w:tr>
        <w:tc>
          <w:tcPr>
            <w:tcW w:type="dxa" w:w="1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管理人员</w:t>
            </w:r>
          </w:p>
        </w:tc>
        <w:tc>
          <w:tcPr>
            <w:tcW w:type="dxa" w:w="4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负责管理工作团队，并制定每次的除四害工作方案及分配工作，具有除四害工作管理经验。</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除四害专业人员</w:t>
            </w:r>
          </w:p>
        </w:tc>
        <w:tc>
          <w:tcPr>
            <w:tcW w:type="dxa" w:w="4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负责主要的除四害工作及技术指导，具有除四害工作经验，技术熟练，政治素质良好。</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b/>
        </w:rPr>
        <w:t xml:space="preserve"> </w:t>
      </w:r>
      <w:r>
        <w:rPr>
          <w:sz w:val="21"/>
          <w:color w:val="000000"/>
        </w:rPr>
        <w:t>注：（</w:t>
      </w:r>
      <w:r>
        <w:rPr>
          <w:sz w:val="21"/>
          <w:color w:val="000000"/>
        </w:rPr>
        <w:t>1）在同一标段内，同一人员不得同时从事上述不同岗位的工作；（2）如获中标，投标文件中拟投入的人员不得随意更换，如需更换，更换的人员资质不得低于招标文件要求，且必须经得甲方同意后方可更换，并及时提供更换人员的资料给甲方备案。</w:t>
      </w:r>
    </w:p>
    <w:p>
      <w:pPr>
        <w:pStyle w:val="null3"/>
        <w:ind w:firstLine="402"/>
        <w:jc w:val="both"/>
      </w:pPr>
      <w:r>
        <w:rPr>
          <w:sz w:val="21"/>
          <w:b/>
          <w:color w:val="000000"/>
        </w:rPr>
        <w:t>2、设备配置要求</w:t>
      </w:r>
    </w:p>
    <w:p>
      <w:pPr>
        <w:pStyle w:val="null3"/>
        <w:jc w:val="both"/>
      </w:pPr>
      <w:r>
        <w:rPr>
          <w:sz w:val="21"/>
          <w:b/>
          <w:color w:val="000000"/>
        </w:rPr>
        <w:t>（</w:t>
      </w:r>
      <w:r>
        <w:rPr>
          <w:sz w:val="21"/>
          <w:b/>
          <w:color w:val="000000"/>
        </w:rPr>
        <w:t>1）乙方的自有设备基本配置数量及要求须达到下表要求：</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711"/>
        <w:gridCol w:w="1468"/>
        <w:gridCol w:w="4835"/>
        <w:gridCol w:w="1275"/>
      </w:tblGrid>
      <w:tr>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4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4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技术参数要求</w:t>
            </w:r>
          </w:p>
        </w:tc>
        <w:tc>
          <w:tcPr>
            <w:tcW w:type="dxa" w:w="1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配置数量</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热烟雾机</w:t>
            </w:r>
          </w:p>
        </w:tc>
        <w:tc>
          <w:tcPr>
            <w:tcW w:type="dxa" w:w="4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5微米。药液输出量：0-42L/小时。功率:11.6-22KW。药箱容量：5L或以上</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背负式蓄电池超低容量喷雾器</w:t>
            </w:r>
          </w:p>
        </w:tc>
        <w:tc>
          <w:tcPr>
            <w:tcW w:type="dxa" w:w="4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电机：直流无碳刷电机，</w:t>
            </w:r>
            <w:r>
              <w:rPr>
                <w:sz w:val="21"/>
                <w:color w:val="000000"/>
              </w:rPr>
              <w:t>600W；24V。雾滴直径：10-30微米。药液输出量ml/min：0-330连续可调。药箱容量：5L。空机重量(KG)：10.2。整机外型尺寸：309mm×32mm×506mm。电池：配置2块锂电池。工作时间（连续工作时间：高速档：50-60分钟，低速档80-90分钟。</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背负式机动超低容量喷雾机</w:t>
            </w:r>
          </w:p>
        </w:tc>
        <w:tc>
          <w:tcPr>
            <w:tcW w:type="dxa" w:w="4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2-20微米。额定流量：1-3L/分钟。水平射程：＞8米。外型尺寸：400×470×495cm。 配套动力：2冲程冲程发动机。药箱容量：5L。整机重量：12KG。</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电动喷雾</w:t>
            </w:r>
            <w:r>
              <w:rPr>
                <w:sz w:val="21"/>
                <w:color w:val="000000"/>
              </w:rPr>
              <w:t>器</w:t>
            </w:r>
          </w:p>
        </w:tc>
        <w:tc>
          <w:tcPr>
            <w:tcW w:type="dxa" w:w="4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2-20微米。水平射程&gt;6米</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机动式喷雾机</w:t>
            </w:r>
          </w:p>
        </w:tc>
        <w:tc>
          <w:tcPr>
            <w:tcW w:type="dxa" w:w="4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50-100微米。水平射程&gt;8米</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车载式喷雾机</w:t>
            </w:r>
          </w:p>
        </w:tc>
        <w:tc>
          <w:tcPr>
            <w:tcW w:type="dxa" w:w="4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输出容量</w:t>
            </w:r>
            <w:r>
              <w:rPr>
                <w:sz w:val="21"/>
                <w:color w:val="000000"/>
              </w:rPr>
              <w:t>50-100公升/小时，达距100米（受制于风速），雾滴80%&lt;40微米，声量80分贝以下。</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鼠屋</w:t>
            </w:r>
          </w:p>
        </w:tc>
        <w:tc>
          <w:tcPr>
            <w:tcW w:type="dxa" w:w="4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color w:val="000000"/>
        </w:rPr>
        <w:t>3、投入药物最低用量要求：</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344"/>
        <w:gridCol w:w="3869"/>
        <w:gridCol w:w="3092"/>
      </w:tblGrid>
      <w:tr>
        <w:tc>
          <w:tcPr>
            <w:tcW w:type="dxa" w:w="1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8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药物名称</w:t>
            </w:r>
          </w:p>
        </w:tc>
        <w:tc>
          <w:tcPr>
            <w:tcW w:type="dxa" w:w="30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每月数量（公斤）</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1"/>
                <w:color w:val="000000"/>
              </w:rPr>
              <w:t>1</w:t>
            </w:r>
          </w:p>
        </w:tc>
        <w:tc>
          <w:tcPr>
            <w:tcW w:type="dxa" w:w="3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高效氯氟氰菊酯</w:t>
            </w:r>
          </w:p>
        </w:tc>
        <w:tc>
          <w:tcPr>
            <w:tcW w:type="dxa" w:w="3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3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残杀威</w:t>
            </w:r>
          </w:p>
        </w:tc>
        <w:tc>
          <w:tcPr>
            <w:tcW w:type="dxa" w:w="3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3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鼠谷</w:t>
            </w:r>
          </w:p>
        </w:tc>
        <w:tc>
          <w:tcPr>
            <w:tcW w:type="dxa" w:w="3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3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倍硫磷</w:t>
            </w:r>
          </w:p>
        </w:tc>
        <w:tc>
          <w:tcPr>
            <w:tcW w:type="dxa" w:w="3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3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其他用药</w:t>
            </w:r>
          </w:p>
        </w:tc>
        <w:tc>
          <w:tcPr>
            <w:tcW w:type="dxa" w:w="3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color w:val="000000"/>
        </w:rPr>
        <w:t>4、日常作业标准</w:t>
      </w:r>
    </w:p>
    <w:tbl>
      <w:tblPr>
        <w:tblW w:w="0" w:type="auto"/>
        <w:tblBorders>
          <w:top w:val="none" w:color="000000" w:sz="4"/>
          <w:left w:val="none" w:color="000000" w:sz="4"/>
          <w:bottom w:val="none" w:color="000000" w:sz="4"/>
          <w:right w:val="none" w:color="000000" w:sz="4"/>
          <w:insideH w:val="none"/>
          <w:insideV w:val="none"/>
        </w:tblBorders>
      </w:tblPr>
      <w:tblGrid>
        <w:gridCol w:w="1125"/>
        <w:gridCol w:w="3240"/>
        <w:gridCol w:w="1695"/>
      </w:tblGrid>
      <w:tr>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服务项目</w:t>
            </w:r>
          </w:p>
        </w:tc>
        <w:tc>
          <w:tcPr>
            <w:tcW w:type="dxa" w:w="3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服务内容</w:t>
            </w:r>
          </w:p>
        </w:tc>
        <w:tc>
          <w:tcPr>
            <w:tcW w:type="dxa" w:w="1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服务要求</w:t>
            </w:r>
            <w:r>
              <w:rPr>
                <w:sz w:val="21"/>
                <w:color w:val="000000"/>
              </w:rPr>
              <w:t xml:space="preserve">             </w:t>
            </w:r>
          </w:p>
        </w:tc>
      </w:tr>
      <w:tr>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灭鼠</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1、公共环境和扩大覆盖面范围要每季饱和投放灭鼠药。</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w:t>
            </w:r>
            <w:r>
              <w:rPr>
                <w:sz w:val="21"/>
                <w:color w:val="000000"/>
              </w:rPr>
              <w:t>1次</w:t>
            </w:r>
          </w:p>
        </w:tc>
      </w:tr>
      <w:tr>
        <w:tc>
          <w:tcPr>
            <w:tcW w:type="dxa" w:w="1125"/>
            <w:vMerge/>
            <w:tcBorders>
              <w:top w:val="none" w:color="000000" w:sz="4"/>
              <w:left w:val="single" w:color="000000" w:sz="4"/>
              <w:bottom w:val="single" w:color="000000" w:sz="4"/>
              <w:right w:val="single" w:color="000000" w:sz="4"/>
            </w:tcBorders>
          </w:tcP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2、公共环境每月检查鼠迹，发现鼠迹立即清理并及时按常规投放和补充毒饵。</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125"/>
            <w:vMerge/>
            <w:tcBorders>
              <w:top w:val="none" w:color="000000" w:sz="4"/>
              <w:left w:val="single" w:color="000000" w:sz="4"/>
              <w:bottom w:val="single" w:color="000000" w:sz="4"/>
              <w:right w:val="single" w:color="000000" w:sz="4"/>
            </w:tcBorders>
          </w:tcP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3、单位灭鼠：每月监测鼠情，按常规投药和补投药。主要重点单位如学校饭堂等每季度进行密度检测。</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125"/>
            <w:vMerge/>
            <w:tcBorders>
              <w:top w:val="none" w:color="000000" w:sz="4"/>
              <w:left w:val="single" w:color="000000" w:sz="4"/>
              <w:bottom w:val="single" w:color="000000" w:sz="4"/>
              <w:right w:val="single" w:color="000000" w:sz="4"/>
            </w:tcBorders>
          </w:tcP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4、居民区（不含封闭式物管小区）、学校及幼儿园（私人除外）、公共场所等每月入户询问鼠情1次。</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125"/>
            <w:vMerge/>
            <w:tcBorders>
              <w:top w:val="none" w:color="000000" w:sz="4"/>
              <w:left w:val="single" w:color="000000" w:sz="4"/>
              <w:bottom w:val="single" w:color="000000" w:sz="4"/>
              <w:right w:val="single" w:color="000000" w:sz="4"/>
            </w:tcBorders>
          </w:tcP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5、乙方在承包范围内的各村居委须按照标准要求，自行安装灭鼠屋不少于200个，并经甲方验收合格并统筹安装，合同期内如有损毁，须按要求进行补装。</w:t>
            </w:r>
          </w:p>
        </w:tc>
        <w:tc>
          <w:tcPr>
            <w:tcW w:type="dxa" w:w="16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平均每居（村）不少于</w:t>
            </w:r>
            <w:r>
              <w:rPr>
                <w:sz w:val="21"/>
                <w:color w:val="000000"/>
              </w:rPr>
              <w:t>200个</w:t>
            </w:r>
          </w:p>
        </w:tc>
      </w:tr>
      <w:tr>
        <w:tc>
          <w:tcPr>
            <w:tcW w:type="dxa" w:w="1125"/>
            <w:vMerge/>
            <w:tcBorders>
              <w:top w:val="none" w:color="000000" w:sz="4"/>
              <w:left w:val="single" w:color="000000" w:sz="4"/>
              <w:bottom w:val="single" w:color="000000" w:sz="4"/>
              <w:right w:val="single" w:color="000000" w:sz="4"/>
            </w:tcBorders>
          </w:tcP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6、每季度按国家考核标准对鼠密度进行监测。</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1次</w:t>
            </w:r>
          </w:p>
        </w:tc>
      </w:tr>
      <w:tr>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灭蚊</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1、大、中型水体必须每周检查一次，发现幼虫孳生立即施药。</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r>
              <w:rPr>
                <w:sz w:val="21"/>
                <w:color w:val="000000"/>
              </w:rPr>
              <w:t>1次</w:t>
            </w:r>
          </w:p>
        </w:tc>
      </w:tr>
      <w:tr>
        <w:tc>
          <w:tcPr>
            <w:tcW w:type="dxa" w:w="1125"/>
            <w:vMerge/>
            <w:tcBorders>
              <w:top w:val="none" w:color="000000" w:sz="4"/>
              <w:left w:val="single" w:color="000000" w:sz="4"/>
              <w:bottom w:val="single" w:color="000000" w:sz="4"/>
              <w:right w:val="single" w:color="000000" w:sz="4"/>
            </w:tcBorders>
          </w:tcP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下水道沉沙井（有积水的），每井吊挂含10克倍硫磷缓释剂木塞1粒，每月更换一次，控制蚊幼虫孳生；沙井装有防蚊闸或存水弯管损坏或不密封的的每两月吊挂含10克倍硫磷缓释剂木塞1粒或投放药物进行灭杀，每月1次，控制蚊幼虫孳生。</w:t>
            </w:r>
          </w:p>
        </w:tc>
        <w:tc>
          <w:tcPr>
            <w:tcW w:type="dxa" w:w="16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每月更换</w:t>
            </w:r>
            <w:r>
              <w:rPr>
                <w:sz w:val="21"/>
                <w:color w:val="000000"/>
              </w:rPr>
              <w:t>1次</w:t>
            </w:r>
          </w:p>
        </w:tc>
      </w:tr>
      <w:tr>
        <w:tc>
          <w:tcPr>
            <w:tcW w:type="dxa" w:w="1125"/>
            <w:vMerge/>
            <w:tcBorders>
              <w:top w:val="none" w:color="000000" w:sz="4"/>
              <w:left w:val="single" w:color="000000" w:sz="4"/>
              <w:bottom w:val="single" w:color="000000" w:sz="4"/>
              <w:right w:val="single" w:color="000000" w:sz="4"/>
            </w:tcBorders>
          </w:tcP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3、经常清理外环境小积水，控制蚊虫孳生，并施药处理。</w:t>
            </w:r>
          </w:p>
        </w:tc>
        <w:tc>
          <w:tcPr>
            <w:tcW w:type="dxa" w:w="16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每周</w:t>
            </w:r>
            <w:r>
              <w:rPr>
                <w:sz w:val="21"/>
                <w:color w:val="000000"/>
              </w:rPr>
              <w:t>1次</w:t>
            </w:r>
          </w:p>
        </w:tc>
      </w:tr>
      <w:tr>
        <w:tc>
          <w:tcPr>
            <w:tcW w:type="dxa" w:w="1125"/>
            <w:vMerge/>
            <w:tcBorders>
              <w:top w:val="none" w:color="000000" w:sz="4"/>
              <w:left w:val="single" w:color="000000" w:sz="4"/>
              <w:bottom w:val="single" w:color="000000" w:sz="4"/>
              <w:right w:val="single" w:color="000000" w:sz="4"/>
            </w:tcBorders>
          </w:tcP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4、下水道烟熏灭蚊：每月结合灭蟑对外环境的下水道进行热烟雾处理。</w:t>
            </w:r>
          </w:p>
        </w:tc>
        <w:tc>
          <w:tcPr>
            <w:tcW w:type="dxa" w:w="16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125"/>
            <w:vMerge/>
            <w:tcBorders>
              <w:top w:val="none" w:color="000000" w:sz="4"/>
              <w:left w:val="single" w:color="000000" w:sz="4"/>
              <w:bottom w:val="single" w:color="000000" w:sz="4"/>
              <w:right w:val="single" w:color="000000" w:sz="4"/>
            </w:tcBorders>
          </w:tcP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5、居民区（不含封闭式物管小区）、学校及幼儿园（私人除外）、政府机关单位、待建地、丛林、公园、废品收购站、公寓楼梯间等特殊场所外环境，每10天全面查治孳生地一次，并作空间喷洒灭成蚊。</w:t>
            </w:r>
          </w:p>
        </w:tc>
        <w:tc>
          <w:tcPr>
            <w:tcW w:type="dxa" w:w="16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每月</w:t>
            </w:r>
            <w:r>
              <w:rPr>
                <w:sz w:val="21"/>
                <w:color w:val="000000"/>
              </w:rPr>
              <w:t>3次</w:t>
            </w:r>
          </w:p>
        </w:tc>
      </w:tr>
      <w:tr>
        <w:tc>
          <w:tcPr>
            <w:tcW w:type="dxa" w:w="1125"/>
            <w:vMerge/>
            <w:tcBorders>
              <w:top w:val="none" w:color="000000" w:sz="4"/>
              <w:left w:val="single" w:color="000000" w:sz="4"/>
              <w:bottom w:val="single" w:color="000000" w:sz="4"/>
              <w:right w:val="single" w:color="000000" w:sz="4"/>
            </w:tcBorders>
          </w:tcP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6、居民住宅区（物业管理小区除外）及公共环境各放2盏蚊灯，每月每村布放诱蚊诱卵器60个，每月进行监测，及时掌握蚊虫密度，向发包方提供监测数据和技术支持。</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125"/>
            <w:vMerge/>
            <w:tcBorders>
              <w:top w:val="none" w:color="000000" w:sz="4"/>
              <w:left w:val="single" w:color="000000" w:sz="4"/>
              <w:bottom w:val="single" w:color="000000" w:sz="4"/>
              <w:right w:val="single" w:color="000000" w:sz="4"/>
            </w:tcBorders>
          </w:tcPr>
          <w:p/>
        </w:tc>
        <w:tc>
          <w:tcPr>
            <w:tcW w:type="dxa" w:w="32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7、定期对项目服务范围进行孳生地清理查治并建立台账。</w:t>
            </w:r>
          </w:p>
        </w:tc>
        <w:tc>
          <w:tcPr>
            <w:tcW w:type="dxa" w:w="16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125"/>
            <w:vMerge/>
            <w:tcBorders>
              <w:top w:val="none" w:color="000000" w:sz="4"/>
              <w:left w:val="single" w:color="000000" w:sz="4"/>
              <w:bottom w:val="single" w:color="000000" w:sz="4"/>
              <w:right w:val="single" w:color="000000" w:sz="4"/>
            </w:tcBorders>
          </w:tcP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8、每季度按国家考核标准对蚊密度进行监测。</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1次</w:t>
            </w:r>
          </w:p>
        </w:tc>
      </w:tr>
      <w:tr>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灭蝇</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1、垃圾中转站（安装2个诱蝇笼、定期更换诱饵及维护）、垃圾屋、垃圾池、垃圾桶、垃圾车以及卫生死角、垃圾堆，每周喷药一次。</w:t>
            </w:r>
          </w:p>
        </w:tc>
        <w:tc>
          <w:tcPr>
            <w:tcW w:type="dxa" w:w="16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每周</w:t>
            </w:r>
            <w:r>
              <w:rPr>
                <w:sz w:val="21"/>
                <w:color w:val="000000"/>
              </w:rPr>
              <w:t>1次</w:t>
            </w:r>
          </w:p>
        </w:tc>
      </w:tr>
      <w:tr>
        <w:tc>
          <w:tcPr>
            <w:tcW w:type="dxa" w:w="1125"/>
            <w:vMerge/>
            <w:tcBorders>
              <w:top w:val="none" w:color="000000" w:sz="4"/>
              <w:left w:val="single" w:color="000000" w:sz="4"/>
              <w:bottom w:val="single" w:color="000000" w:sz="4"/>
              <w:right w:val="single" w:color="000000" w:sz="4"/>
            </w:tcBorders>
          </w:tcP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2、公共场所每月作2次滞留喷洒灭成蝇。</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2次</w:t>
            </w:r>
          </w:p>
        </w:tc>
      </w:tr>
      <w:tr>
        <w:tc>
          <w:tcPr>
            <w:tcW w:type="dxa" w:w="1125"/>
            <w:vMerge/>
            <w:tcBorders>
              <w:top w:val="none" w:color="000000" w:sz="4"/>
              <w:left w:val="single" w:color="000000" w:sz="4"/>
              <w:bottom w:val="single" w:color="000000" w:sz="4"/>
              <w:right w:val="single" w:color="000000" w:sz="4"/>
            </w:tcBorders>
          </w:tcP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3、重点场所孳生地：每周检查处理并喷药灭杀。</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每周</w:t>
            </w:r>
            <w:r>
              <w:rPr>
                <w:sz w:val="21"/>
                <w:color w:val="000000"/>
              </w:rPr>
              <w:t>1次</w:t>
            </w:r>
          </w:p>
        </w:tc>
      </w:tr>
      <w:tr>
        <w:tc>
          <w:tcPr>
            <w:tcW w:type="dxa" w:w="1125"/>
            <w:vMerge/>
            <w:tcBorders>
              <w:top w:val="none" w:color="000000" w:sz="4"/>
              <w:left w:val="single" w:color="000000" w:sz="4"/>
              <w:bottom w:val="single" w:color="000000" w:sz="4"/>
              <w:right w:val="single" w:color="000000" w:sz="4"/>
            </w:tcBorders>
          </w:tcP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4、每季度按国家考核标准对成蝇密度进行监测。</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1次</w:t>
            </w:r>
          </w:p>
        </w:tc>
      </w:tr>
      <w:tr>
        <w:tc>
          <w:tcPr>
            <w:tcW w:type="dxa" w:w="112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灭蟑螂</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1、定期对服务范围每月检查蟑迹并清理。</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125"/>
            <w:vMerge/>
            <w:tcBorders>
              <w:top w:val="none" w:color="000000" w:sz="4"/>
              <w:left w:val="single" w:color="000000" w:sz="4"/>
              <w:bottom w:val="none" w:color="000000" w:sz="4"/>
              <w:right w:val="single" w:color="000000" w:sz="4"/>
            </w:tcBorders>
          </w:tcP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2、下水道灭蟑螂：每两月热烟雾处理1次。</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每两月</w:t>
            </w:r>
            <w:r>
              <w:rPr>
                <w:sz w:val="21"/>
                <w:color w:val="000000"/>
              </w:rPr>
              <w:t>1次</w:t>
            </w:r>
          </w:p>
        </w:tc>
      </w:tr>
      <w:tr>
        <w:tc>
          <w:tcPr>
            <w:tcW w:type="dxa" w:w="1125"/>
            <w:vMerge/>
            <w:tcBorders>
              <w:top w:val="none" w:color="000000" w:sz="4"/>
              <w:left w:val="single" w:color="000000" w:sz="4"/>
              <w:bottom w:val="none" w:color="000000" w:sz="4"/>
              <w:right w:val="single" w:color="000000" w:sz="4"/>
            </w:tcBorders>
          </w:tcP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3、每季度按国家考核标准进行结蟑螂密度监测。住户：每季度上门询问蟑情1次，并对有蟑户派发药物及追踪处理。</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1次</w:t>
            </w:r>
          </w:p>
        </w:tc>
      </w:tr>
      <w:tr>
        <w:tc>
          <w:tcPr>
            <w:tcW w:type="dxa" w:w="1125"/>
            <w:vMerge/>
            <w:tcBorders>
              <w:top w:val="none" w:color="000000" w:sz="4"/>
              <w:left w:val="single" w:color="000000" w:sz="4"/>
              <w:bottom w:val="none" w:color="000000" w:sz="4"/>
              <w:right w:val="single" w:color="000000" w:sz="4"/>
            </w:tcBorders>
          </w:tcP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4、乙方每月每村入户宣传“四害”知识100户(附入户调查表)。</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1次</w:t>
            </w:r>
          </w:p>
        </w:tc>
      </w:tr>
      <w:tr>
        <w:tc>
          <w:tcPr>
            <w:tcW w:type="dxa" w:w="1125"/>
            <w:vMerge/>
            <w:tcBorders>
              <w:top w:val="none" w:color="000000" w:sz="4"/>
              <w:left w:val="single" w:color="000000" w:sz="4"/>
              <w:bottom w:val="none" w:color="000000" w:sz="4"/>
              <w:right w:val="single" w:color="000000" w:sz="4"/>
            </w:tcBorders>
          </w:tcP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5、乙方每年在“爱卫月、登革热”等期间不少4次公益宣传。</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每年</w:t>
            </w:r>
            <w:r>
              <w:rPr>
                <w:sz w:val="21"/>
                <w:color w:val="000000"/>
              </w:rPr>
              <w:t>4次</w:t>
            </w:r>
          </w:p>
        </w:tc>
      </w:tr>
      <w:tr>
        <w:tc>
          <w:tcPr>
            <w:tcW w:type="dxa" w:w="1125"/>
            <w:vMerge/>
            <w:tcBorders>
              <w:top w:val="none" w:color="000000" w:sz="4"/>
              <w:left w:val="single" w:color="000000" w:sz="4"/>
              <w:bottom w:val="none" w:color="000000" w:sz="4"/>
              <w:right w:val="single" w:color="000000" w:sz="4"/>
            </w:tcBorders>
          </w:tcP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6、乙方每年进社区不少于4次公益讲座和8次的宣传。</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每年</w:t>
            </w:r>
            <w:r>
              <w:rPr>
                <w:sz w:val="21"/>
                <w:color w:val="000000"/>
              </w:rPr>
              <w:t>12次</w:t>
            </w:r>
          </w:p>
        </w:tc>
      </w:tr>
    </w:tbl>
    <w:p>
      <w:pPr>
        <w:pStyle w:val="null3"/>
        <w:ind w:firstLine="241"/>
        <w:jc w:val="both"/>
      </w:pPr>
      <w:r>
        <w:rPr>
          <w:sz w:val="24"/>
          <w:b/>
          <w:color w:val="000000"/>
        </w:rPr>
        <w:t>五</w:t>
      </w:r>
      <w:r>
        <w:rPr>
          <w:sz w:val="24"/>
          <w:b/>
          <w:color w:val="000000"/>
        </w:rPr>
        <w:t>、服务范围</w:t>
      </w:r>
    </w:p>
    <w:p>
      <w:pPr>
        <w:pStyle w:val="null3"/>
        <w:ind w:firstLine="420"/>
      </w:pPr>
      <w:r>
        <w:rPr>
          <w:sz w:val="21"/>
          <w:color w:val="000000"/>
        </w:rPr>
        <w:t>容桂街道各居村的公共外环境范围灭鼠、灭蚊、灭苍蝇、灭蟑螂工作，通称除</w:t>
      </w:r>
      <w:r>
        <w:rPr>
          <w:sz w:val="21"/>
          <w:color w:val="000000"/>
        </w:rPr>
        <w:t>“四害”。服务范围包括居居民住宅区（物业管理小区除外）（不含封闭式物管小区）、工业区（不含封闭式厂房）、街道属下公立教育机构、敬老院、公共场所、公园、广场、大街小巷、下水道、河涌、市政公用类公厕、垃圾收集站及转运点、垃圾屋，以及四害孳生地，并负责和承担本项目相关安全责任。</w:t>
      </w:r>
    </w:p>
    <w:p>
      <w:pPr>
        <w:pStyle w:val="null3"/>
        <w:ind w:firstLine="420"/>
      </w:pPr>
      <w:r>
        <w:rPr>
          <w:sz w:val="21"/>
          <w:color w:val="000000"/>
        </w:rPr>
        <w:t>乙方对封闭式物管小区范围内的除</w:t>
      </w:r>
      <w:r>
        <w:rPr>
          <w:sz w:val="21"/>
          <w:color w:val="000000"/>
        </w:rPr>
        <w:t>“四害”工作，必须做到实地巡查，做好密度监测，并有义务对存在的问题提出专业的指导意见及技术方案，提高其工作水平。</w:t>
      </w:r>
    </w:p>
    <w:p>
      <w:pPr>
        <w:pStyle w:val="null3"/>
        <w:ind w:firstLine="420"/>
        <w:jc w:val="both"/>
      </w:pPr>
      <w:r>
        <w:rPr>
          <w:sz w:val="21"/>
          <w:color w:val="000000"/>
        </w:rPr>
        <w:t>达标区范围：达标区包括居居民住宅区（物业管理小区除外）、学校及幼儿园（私人除外）、敬老院、公共场所、公园、广场、大街小巷、下水道、河涌、市政公用类公厕、垃圾收集站及转运点、垃圾屋等场所和区域。</w:t>
      </w:r>
    </w:p>
    <w:p>
      <w:pPr>
        <w:pStyle w:val="null3"/>
        <w:ind w:firstLine="422"/>
      </w:pPr>
      <w:r>
        <w:rPr>
          <w:sz w:val="24"/>
          <w:b/>
          <w:color w:val="000000"/>
        </w:rPr>
        <w:t>六</w:t>
      </w:r>
      <w:r>
        <w:rPr>
          <w:sz w:val="24"/>
          <w:b/>
          <w:color w:val="000000"/>
        </w:rPr>
        <w:t>、服务标准</w:t>
      </w:r>
    </w:p>
    <w:p>
      <w:pPr>
        <w:pStyle w:val="null3"/>
        <w:ind w:firstLine="420"/>
      </w:pPr>
      <w:r>
        <w:rPr>
          <w:sz w:val="21"/>
          <w:color w:val="000000"/>
        </w:rPr>
        <w:t>1</w:t>
      </w:r>
      <w:r>
        <w:rPr>
          <w:sz w:val="21"/>
          <w:color w:val="000000"/>
        </w:rPr>
        <w:t>、控制水平标准：</w:t>
      </w:r>
      <w:r>
        <w:rPr>
          <w:sz w:val="21"/>
          <w:color w:val="000000"/>
        </w:rPr>
        <w:t>GB/T 27773-2011</w:t>
      </w:r>
      <w:r>
        <w:rPr>
          <w:sz w:val="21"/>
          <w:color w:val="000000"/>
        </w:rPr>
        <w:t>《病媒生物密度控制水平 蜚蠊》、</w:t>
      </w:r>
      <w:r>
        <w:rPr>
          <w:sz w:val="21"/>
          <w:color w:val="000000"/>
        </w:rPr>
        <w:t>GB/T 27772-2011</w:t>
      </w:r>
      <w:r>
        <w:rPr>
          <w:sz w:val="21"/>
          <w:color w:val="000000"/>
        </w:rPr>
        <w:t>《病媒生物密度控制水平 蝇类》、</w:t>
      </w:r>
      <w:r>
        <w:rPr>
          <w:sz w:val="21"/>
          <w:color w:val="000000"/>
        </w:rPr>
        <w:t>GB/T 27771-2011</w:t>
      </w:r>
      <w:r>
        <w:rPr>
          <w:sz w:val="21"/>
          <w:color w:val="000000"/>
        </w:rPr>
        <w:t>《病媒生物密度控制水平 蚊虫》、</w:t>
      </w:r>
      <w:r>
        <w:rPr>
          <w:sz w:val="21"/>
          <w:color w:val="000000"/>
        </w:rPr>
        <w:t>GB/T 27770-2011</w:t>
      </w:r>
      <w:r>
        <w:rPr>
          <w:sz w:val="21"/>
          <w:color w:val="000000"/>
        </w:rPr>
        <w:t>《病媒生物密度控制水平 鼠类》。</w:t>
      </w:r>
    </w:p>
    <w:p>
      <w:pPr>
        <w:pStyle w:val="null3"/>
        <w:ind w:firstLine="420"/>
      </w:pPr>
      <w:r>
        <w:rPr>
          <w:sz w:val="21"/>
          <w:color w:val="000000"/>
        </w:rPr>
        <w:t>2</w:t>
      </w:r>
      <w:r>
        <w:rPr>
          <w:sz w:val="21"/>
          <w:color w:val="000000"/>
        </w:rPr>
        <w:t>、监测标准《</w:t>
      </w:r>
      <w:r>
        <w:rPr>
          <w:sz w:val="21"/>
          <w:color w:val="000000"/>
        </w:rPr>
        <w:t>&lt;</w:t>
      </w:r>
      <w:r>
        <w:rPr>
          <w:sz w:val="21"/>
          <w:color w:val="000000"/>
        </w:rPr>
        <w:t>中华人民共和国国家标准（</w:t>
      </w:r>
      <w:r>
        <w:rPr>
          <w:sz w:val="21"/>
          <w:color w:val="000000"/>
        </w:rPr>
        <w:t>GB/T 23796-2009</w:t>
      </w:r>
      <w:r>
        <w:rPr>
          <w:sz w:val="21"/>
          <w:color w:val="000000"/>
        </w:rPr>
        <w:t>）病媒生物密度监测方法蝇类》、《中华人民共和国国家标准（</w:t>
      </w:r>
      <w:r>
        <w:rPr>
          <w:sz w:val="21"/>
          <w:color w:val="000000"/>
        </w:rPr>
        <w:t>GB/T 23797-2009</w:t>
      </w:r>
      <w:r>
        <w:rPr>
          <w:sz w:val="21"/>
          <w:color w:val="000000"/>
        </w:rPr>
        <w:t>）病媒生物密度监测方法蚊虫》、《中华人民共和国国家标准（</w:t>
      </w:r>
      <w:r>
        <w:rPr>
          <w:sz w:val="21"/>
          <w:color w:val="000000"/>
        </w:rPr>
        <w:t>GB/T 23798-2009</w:t>
      </w:r>
      <w:r>
        <w:rPr>
          <w:sz w:val="21"/>
          <w:color w:val="000000"/>
        </w:rPr>
        <w:t>）病媒生物密度监测方法鼠类》、《中华人民共和国国家标准（</w:t>
      </w:r>
      <w:r>
        <w:rPr>
          <w:sz w:val="21"/>
          <w:color w:val="000000"/>
        </w:rPr>
        <w:t>GB/T 23795-2009</w:t>
      </w:r>
      <w:r>
        <w:rPr>
          <w:sz w:val="21"/>
          <w:color w:val="000000"/>
        </w:rPr>
        <w:t>）病媒生物密度监测方法蜚蠊》。</w:t>
      </w:r>
    </w:p>
    <w:tbl>
      <w:tblPr>
        <w:tblW w:w="0" w:type="auto"/>
        <w:tblBorders>
          <w:top w:val="none" w:color="000000" w:sz="4"/>
          <w:left w:val="none" w:color="000000" w:sz="4"/>
          <w:bottom w:val="none" w:color="000000" w:sz="4"/>
          <w:right w:val="none" w:color="000000" w:sz="4"/>
          <w:insideH w:val="none"/>
          <w:insideV w:val="none"/>
        </w:tblBorders>
      </w:tblPr>
      <w:tblGrid>
        <w:gridCol w:w="1176"/>
        <w:gridCol w:w="7130"/>
      </w:tblGrid>
      <w:tr>
        <w:tc>
          <w:tcPr>
            <w:tcW w:type="dxa" w:w="1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灭鼠标准</w:t>
            </w:r>
          </w:p>
        </w:tc>
        <w:tc>
          <w:tcPr>
            <w:tcW w:type="dxa" w:w="7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color w:val="000000"/>
              </w:rPr>
              <w:t>1、15平方米标准房间布放20×20厘米滑石粉块两块，一夜后阳性块不超过3%；有鼠洞、鼠粪、鼠咬痕等鼠迹的房间不超过2%；重点单位防鼠设施不合格处不超过5%。</w:t>
            </w:r>
          </w:p>
          <w:p>
            <w:pPr>
              <w:pStyle w:val="null3"/>
              <w:jc w:val="both"/>
            </w:pPr>
            <w:r>
              <w:rPr>
                <w:sz w:val="21"/>
                <w:color w:val="000000"/>
              </w:rPr>
              <w:t>2、不同类型的外环境累计2000米，鼠迹不超过5处。</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灭蚊标准</w:t>
            </w:r>
          </w:p>
        </w:tc>
        <w:tc>
          <w:tcPr>
            <w:tcW w:type="dxa" w:w="7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color w:val="000000"/>
              </w:rPr>
              <w:t>1、居民住宅、单位内外环境各种存水容器和积水中，蚊幼及蛹的阳性率不超过3%。</w:t>
            </w:r>
          </w:p>
          <w:p>
            <w:pPr>
              <w:pStyle w:val="null3"/>
              <w:ind w:left="195"/>
              <w:jc w:val="both"/>
            </w:pPr>
            <w:r>
              <w:rPr>
                <w:sz w:val="21"/>
                <w:color w:val="000000"/>
              </w:rPr>
              <w:t>2、用500ml收集勺采集城区内大中型水体中的蚊幼或蛹阳性率不超过3%，性勺内幼虫或蛹的平均数不超过5只。</w:t>
            </w:r>
          </w:p>
          <w:p>
            <w:pPr>
              <w:pStyle w:val="null3"/>
              <w:ind w:left="195"/>
              <w:jc w:val="both"/>
            </w:pPr>
            <w:r>
              <w:rPr>
                <w:sz w:val="21"/>
                <w:color w:val="000000"/>
              </w:rPr>
              <w:t>3、特殊场所白天人诱蚊30分钟，平均每人次诱获成蚊数不超过1只。</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灭蟑螂</w:t>
            </w:r>
          </w:p>
          <w:p>
            <w:pPr>
              <w:pStyle w:val="null3"/>
              <w:jc w:val="center"/>
            </w:pPr>
            <w:r>
              <w:rPr>
                <w:sz w:val="21"/>
                <w:color w:val="000000"/>
              </w:rPr>
              <w:t>标准</w:t>
            </w:r>
          </w:p>
        </w:tc>
        <w:tc>
          <w:tcPr>
            <w:tcW w:type="dxa" w:w="7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color w:val="000000"/>
              </w:rPr>
              <w:t>1、室内有蟑螂成虫或若虫阳性房间不超过3%，平均每间房大蠊不超过5只，小蠊不超过10只。</w:t>
            </w:r>
          </w:p>
          <w:p>
            <w:pPr>
              <w:pStyle w:val="null3"/>
              <w:ind w:left="300"/>
              <w:jc w:val="both"/>
            </w:pPr>
            <w:r>
              <w:rPr>
                <w:sz w:val="21"/>
                <w:color w:val="000000"/>
              </w:rPr>
              <w:t>2、有活蟑螂卵鞘房间不超过2%，平均每间房不超过4只。</w:t>
            </w:r>
          </w:p>
          <w:p>
            <w:pPr>
              <w:pStyle w:val="null3"/>
              <w:ind w:left="300"/>
              <w:jc w:val="both"/>
            </w:pPr>
            <w:r>
              <w:rPr>
                <w:sz w:val="21"/>
                <w:color w:val="000000"/>
              </w:rPr>
              <w:t>3、有蟑螂粪便、蜕皮等蟑迹的房间不过5%。</w:t>
            </w:r>
          </w:p>
        </w:tc>
      </w:tr>
      <w:tr>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灭蝇标准</w:t>
            </w:r>
          </w:p>
        </w:tc>
        <w:tc>
          <w:tcPr>
            <w:tcW w:type="dxa" w:w="7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color w:val="000000"/>
              </w:rPr>
              <w:t>1、重点单位有蝇房间不超过1％，其它单位不超过3％，平均每阳性房间不超过3只；重点单位防蝇设施不合格房间不超过5％；加工、销售直接入口食品的场所不得有蝇。</w:t>
            </w:r>
          </w:p>
          <w:p>
            <w:pPr>
              <w:pStyle w:val="null3"/>
              <w:ind w:left="300"/>
              <w:jc w:val="both"/>
            </w:pPr>
            <w:r>
              <w:rPr>
                <w:sz w:val="21"/>
                <w:color w:val="000000"/>
              </w:rPr>
              <w:t>2、蝇类孳生地得到有效治理，幼虫和蛹的检出率不超过3％。</w:t>
            </w:r>
          </w:p>
        </w:tc>
      </w:tr>
    </w:tbl>
    <w:p>
      <w:pPr>
        <w:pStyle w:val="null3"/>
        <w:ind w:firstLine="482"/>
      </w:pPr>
      <w:r>
        <w:rPr>
          <w:sz w:val="24"/>
          <w:b/>
          <w:color w:val="000000"/>
        </w:rPr>
        <w:t>七</w:t>
      </w:r>
      <w:r>
        <w:rPr>
          <w:sz w:val="24"/>
          <w:b/>
          <w:color w:val="000000"/>
        </w:rPr>
        <w:t>、监督考评办法</w:t>
      </w:r>
    </w:p>
    <w:p>
      <w:pPr>
        <w:pStyle w:val="null3"/>
        <w:ind w:firstLine="400"/>
        <w:jc w:val="both"/>
      </w:pPr>
      <w:r>
        <w:rPr>
          <w:sz w:val="21"/>
          <w:color w:val="000000"/>
        </w:rPr>
        <w:t>根据</w:t>
      </w:r>
      <w:r>
        <w:rPr>
          <w:sz w:val="21"/>
          <w:color w:val="000000"/>
        </w:rPr>
        <w:t>区卫生健康局</w:t>
      </w:r>
      <w:r>
        <w:rPr>
          <w:sz w:val="21"/>
          <w:color w:val="000000"/>
        </w:rPr>
        <w:t>【</w:t>
      </w:r>
      <w:r>
        <w:rPr>
          <w:sz w:val="21"/>
          <w:color w:val="000000"/>
        </w:rPr>
        <w:t>2006】4号文，《佛山市顺德区公共环境除四害承包质量考评标准》（试行）的通知精神，制定考评办法如下：</w:t>
      </w:r>
    </w:p>
    <w:p>
      <w:pPr>
        <w:pStyle w:val="null3"/>
        <w:ind w:firstLine="400"/>
        <w:jc w:val="both"/>
      </w:pPr>
      <w:r>
        <w:rPr>
          <w:sz w:val="21"/>
          <w:color w:val="000000"/>
        </w:rPr>
        <w:t>1、考评方式</w:t>
      </w:r>
    </w:p>
    <w:p>
      <w:pPr>
        <w:pStyle w:val="null3"/>
        <w:ind w:firstLine="400"/>
        <w:jc w:val="both"/>
      </w:pPr>
      <w:r>
        <w:rPr>
          <w:sz w:val="21"/>
          <w:color w:val="000000"/>
        </w:rPr>
        <w:t>采取街道</w:t>
      </w:r>
      <w:r>
        <w:rPr>
          <w:sz w:val="21"/>
          <w:color w:val="000000"/>
        </w:rPr>
        <w:t>卫生健康办公室</w:t>
      </w:r>
      <w:r>
        <w:rPr>
          <w:sz w:val="21"/>
          <w:color w:val="000000"/>
        </w:rPr>
        <w:t>、居村委会、容桂街综合行政执法队、社会监督等综合考核方法。</w:t>
      </w:r>
    </w:p>
    <w:p>
      <w:pPr>
        <w:pStyle w:val="null3"/>
        <w:ind w:firstLine="400"/>
        <w:jc w:val="both"/>
      </w:pPr>
      <w:r>
        <w:rPr>
          <w:sz w:val="21"/>
          <w:color w:val="000000"/>
        </w:rPr>
        <w:t>1.</w:t>
      </w:r>
      <w:r>
        <w:rPr>
          <w:sz w:val="21"/>
          <w:color w:val="000000"/>
        </w:rPr>
        <w:t>1</w:t>
      </w:r>
      <w:r>
        <w:rPr>
          <w:sz w:val="21"/>
          <w:color w:val="000000"/>
        </w:rPr>
        <w:t>居（村）委会考核：居（村）委会负责对除四害专业队日常工作进行监督，指导。对专业队放药、喷洒、治理孳生地等工作实行签名确认（甲方或容桂街道</w:t>
      </w:r>
      <w:r>
        <w:rPr>
          <w:sz w:val="21"/>
          <w:color w:val="000000"/>
        </w:rPr>
        <w:t>卫生健康办公室</w:t>
      </w:r>
      <w:r>
        <w:rPr>
          <w:sz w:val="21"/>
          <w:color w:val="000000"/>
        </w:rPr>
        <w:t>印发施工记录表），每月对服务本居</w:t>
      </w:r>
      <w:r>
        <w:rPr>
          <w:sz w:val="21"/>
          <w:color w:val="000000"/>
        </w:rPr>
        <w:t>(村)委会除四害工作进行一次系统检查。</w:t>
      </w:r>
    </w:p>
    <w:p>
      <w:pPr>
        <w:pStyle w:val="null3"/>
        <w:ind w:firstLine="400"/>
        <w:jc w:val="both"/>
      </w:pPr>
      <w:r>
        <w:rPr>
          <w:sz w:val="21"/>
          <w:color w:val="000000"/>
        </w:rPr>
        <w:t>1.</w:t>
      </w:r>
      <w:r>
        <w:rPr>
          <w:sz w:val="21"/>
          <w:color w:val="000000"/>
        </w:rPr>
        <w:t>2</w:t>
      </w:r>
      <w:r>
        <w:rPr>
          <w:sz w:val="21"/>
          <w:color w:val="000000"/>
        </w:rPr>
        <w:t>有关部门考核：容桂街道综合行政执法队结合环境卫生监管进行除四害项目监督，对乙方为垃圾中转站、垃圾屋、主干路下水道放药、喷洒等工作进行签名确认。发现问题及时向乙方提出改进意见，并报告街道</w:t>
      </w:r>
      <w:r>
        <w:rPr>
          <w:sz w:val="21"/>
          <w:color w:val="000000"/>
        </w:rPr>
        <w:t>卫生健康办公室</w:t>
      </w:r>
      <w:r>
        <w:rPr>
          <w:sz w:val="21"/>
          <w:color w:val="000000"/>
        </w:rPr>
        <w:t>备案。容桂街道综合行政执法队和</w:t>
      </w:r>
      <w:r>
        <w:rPr>
          <w:sz w:val="21"/>
          <w:color w:val="000000"/>
        </w:rPr>
        <w:t>卫生健康办公室</w:t>
      </w:r>
      <w:r>
        <w:rPr>
          <w:sz w:val="21"/>
          <w:color w:val="000000"/>
        </w:rPr>
        <w:t>结合平时卫生检查进行考核。</w:t>
      </w:r>
    </w:p>
    <w:p>
      <w:pPr>
        <w:pStyle w:val="null3"/>
        <w:ind w:firstLine="400"/>
        <w:jc w:val="both"/>
      </w:pPr>
      <w:r>
        <w:rPr>
          <w:sz w:val="21"/>
          <w:color w:val="000000"/>
        </w:rPr>
        <w:t>1.</w:t>
      </w:r>
      <w:r>
        <w:rPr>
          <w:sz w:val="21"/>
          <w:color w:val="000000"/>
        </w:rPr>
        <w:t>3</w:t>
      </w:r>
      <w:r>
        <w:rPr>
          <w:sz w:val="21"/>
          <w:color w:val="000000"/>
        </w:rPr>
        <w:t>社会监督：（</w:t>
      </w:r>
      <w:r>
        <w:rPr>
          <w:sz w:val="21"/>
          <w:color w:val="000000"/>
        </w:rPr>
        <w:t>1）群众评议：每季度由居（村）委会进行随机访问居民群众。（2）群众举报或投诉，每季度由街道</w:t>
      </w:r>
      <w:r>
        <w:rPr>
          <w:sz w:val="21"/>
          <w:color w:val="000000"/>
        </w:rPr>
        <w:t>卫生健康办公室</w:t>
      </w:r>
      <w:r>
        <w:rPr>
          <w:sz w:val="21"/>
          <w:color w:val="000000"/>
        </w:rPr>
        <w:t>收集和整理群众举报或投诉资料并计分。</w:t>
      </w:r>
    </w:p>
    <w:p>
      <w:pPr>
        <w:pStyle w:val="null3"/>
        <w:ind w:firstLine="400"/>
        <w:jc w:val="both"/>
      </w:pPr>
      <w:r>
        <w:rPr>
          <w:sz w:val="21"/>
          <w:color w:val="000000"/>
        </w:rPr>
        <w:t>2、评定办法</w:t>
      </w:r>
    </w:p>
    <w:p>
      <w:pPr>
        <w:pStyle w:val="null3"/>
        <w:ind w:firstLine="400"/>
        <w:jc w:val="both"/>
      </w:pPr>
      <w:r>
        <w:rPr>
          <w:sz w:val="21"/>
          <w:color w:val="000000"/>
        </w:rPr>
        <w:t>根据容桂街道综合行政执法队和</w:t>
      </w:r>
      <w:r>
        <w:rPr>
          <w:sz w:val="21"/>
          <w:color w:val="000000"/>
        </w:rPr>
        <w:t>卫生健康办公室</w:t>
      </w:r>
      <w:r>
        <w:rPr>
          <w:sz w:val="21"/>
          <w:color w:val="000000"/>
        </w:rPr>
        <w:t>评定、居（村）委会评定、群众评议四个方面的评议，把分别评出的四项分数作综合评定，得出除四害专业队的季度和年度评定分值。综合评定采用百分制。评定分值：容桂街道综合行政执法队评分占</w:t>
      </w:r>
      <w:r>
        <w:rPr>
          <w:sz w:val="21"/>
          <w:color w:val="000000"/>
        </w:rPr>
        <w:t>40分、</w:t>
      </w:r>
      <w:r>
        <w:rPr>
          <w:sz w:val="21"/>
          <w:color w:val="000000"/>
        </w:rPr>
        <w:t>卫生健康办公室</w:t>
      </w:r>
      <w:r>
        <w:rPr>
          <w:sz w:val="21"/>
          <w:color w:val="000000"/>
        </w:rPr>
        <w:t>评定占</w:t>
      </w:r>
      <w:r>
        <w:rPr>
          <w:sz w:val="21"/>
          <w:color w:val="000000"/>
        </w:rPr>
        <w:t>20分，居（村）委会评定占20分、社会监督（群众评议）占20分。群众举报或投诉属实，在总分直接扣除，每宗1分。</w:t>
      </w:r>
    </w:p>
    <w:p>
      <w:pPr>
        <w:pStyle w:val="null3"/>
        <w:ind w:firstLine="400"/>
        <w:jc w:val="both"/>
      </w:pPr>
      <w:r>
        <w:rPr>
          <w:sz w:val="21"/>
          <w:color w:val="000000"/>
        </w:rPr>
        <w:t>2.</w:t>
      </w:r>
      <w:r>
        <w:rPr>
          <w:sz w:val="21"/>
          <w:color w:val="000000"/>
        </w:rPr>
        <w:t>1</w:t>
      </w:r>
      <w:r>
        <w:rPr>
          <w:sz w:val="21"/>
          <w:color w:val="000000"/>
        </w:rPr>
        <w:t>居（村）委会评定：由居（村）委会根据日常管理和施工情况作综合评定。</w:t>
      </w:r>
    </w:p>
    <w:p>
      <w:pPr>
        <w:pStyle w:val="null3"/>
        <w:ind w:firstLine="400"/>
        <w:jc w:val="both"/>
      </w:pPr>
      <w:r>
        <w:rPr>
          <w:sz w:val="21"/>
          <w:color w:val="000000"/>
        </w:rPr>
        <w:t>2.</w:t>
      </w:r>
      <w:r>
        <w:rPr>
          <w:sz w:val="21"/>
          <w:color w:val="000000"/>
        </w:rPr>
        <w:t>2</w:t>
      </w:r>
      <w:r>
        <w:rPr>
          <w:sz w:val="21"/>
          <w:color w:val="000000"/>
        </w:rPr>
        <w:t>容桂街道综合行政执法队和</w:t>
      </w:r>
      <w:r>
        <w:rPr>
          <w:sz w:val="21"/>
          <w:color w:val="000000"/>
        </w:rPr>
        <w:t>卫生健康办公室</w:t>
      </w:r>
      <w:r>
        <w:rPr>
          <w:sz w:val="21"/>
          <w:color w:val="000000"/>
        </w:rPr>
        <w:t>评定：由有关部门根据日常监督作综合评定。</w:t>
      </w:r>
    </w:p>
    <w:p>
      <w:pPr>
        <w:pStyle w:val="null3"/>
        <w:ind w:firstLine="400"/>
        <w:jc w:val="both"/>
      </w:pPr>
      <w:r>
        <w:rPr>
          <w:sz w:val="21"/>
          <w:color w:val="000000"/>
        </w:rPr>
        <w:t>2.</w:t>
      </w:r>
      <w:r>
        <w:rPr>
          <w:sz w:val="21"/>
          <w:color w:val="000000"/>
        </w:rPr>
        <w:t>3</w:t>
      </w:r>
      <w:r>
        <w:rPr>
          <w:sz w:val="21"/>
          <w:color w:val="000000"/>
        </w:rPr>
        <w:t>群众评价：由居（村）委会季度考核时进行群众满意度测评，按</w:t>
      </w:r>
      <w:r>
        <w:rPr>
          <w:sz w:val="21"/>
          <w:color w:val="000000"/>
        </w:rPr>
        <w:t>10分评定。其中操作规程2分；防治效果7分；检测资料1分。</w:t>
      </w:r>
    </w:p>
    <w:p>
      <w:pPr>
        <w:pStyle w:val="null3"/>
        <w:ind w:firstLine="400"/>
        <w:jc w:val="both"/>
      </w:pPr>
      <w:r>
        <w:rPr>
          <w:sz w:val="21"/>
          <w:color w:val="000000"/>
        </w:rPr>
        <w:t>2.</w:t>
      </w:r>
      <w:r>
        <w:rPr>
          <w:sz w:val="21"/>
          <w:color w:val="000000"/>
        </w:rPr>
        <w:t>4</w:t>
      </w:r>
      <w:r>
        <w:rPr>
          <w:sz w:val="21"/>
          <w:color w:val="000000"/>
        </w:rPr>
        <w:t>社会监督（群众举报或投诉）：以各居村为单位，发生群众举报或投诉，经调查核实，乙方须立即进行跟踪处理，一宗投诉扣除</w:t>
      </w:r>
      <w:r>
        <w:rPr>
          <w:sz w:val="21"/>
          <w:color w:val="000000"/>
        </w:rPr>
        <w:t>1分。如果一个季度内同一地点发生两次群众举报或投诉，经调查情况属实的，扣除2分；当年同一地点群众举报或投诉，经调查情况属实的，超过两次后每增加一次，扣除2分。</w:t>
      </w:r>
    </w:p>
    <w:p>
      <w:pPr>
        <w:pStyle w:val="null3"/>
        <w:ind w:firstLine="400"/>
        <w:jc w:val="both"/>
      </w:pPr>
      <w:r>
        <w:rPr>
          <w:sz w:val="21"/>
          <w:color w:val="000000"/>
        </w:rPr>
        <w:t>3、年终评定</w:t>
      </w:r>
    </w:p>
    <w:p>
      <w:pPr>
        <w:pStyle w:val="null3"/>
        <w:ind w:firstLine="400"/>
        <w:jc w:val="both"/>
      </w:pPr>
      <w:r>
        <w:rPr>
          <w:sz w:val="21"/>
          <w:color w:val="000000"/>
        </w:rPr>
        <w:t>3.1</w:t>
      </w:r>
      <w:r>
        <w:rPr>
          <w:sz w:val="21"/>
          <w:color w:val="000000"/>
        </w:rPr>
        <w:t>根据四个季度考核结果，平均分达</w:t>
      </w:r>
      <w:r>
        <w:rPr>
          <w:sz w:val="21"/>
          <w:color w:val="000000"/>
        </w:rPr>
        <w:t>90分以上（含90分）为合格，甲方与乙方续签第二年的合同。</w:t>
      </w:r>
    </w:p>
    <w:p>
      <w:pPr>
        <w:pStyle w:val="null3"/>
        <w:ind w:firstLine="400"/>
        <w:jc w:val="both"/>
      </w:pPr>
      <w:r>
        <w:rPr>
          <w:sz w:val="21"/>
          <w:color w:val="000000"/>
        </w:rPr>
        <w:t>3.2</w:t>
      </w:r>
      <w:r>
        <w:rPr>
          <w:sz w:val="21"/>
          <w:color w:val="000000"/>
        </w:rPr>
        <w:t>根据四个季度考核结果，平均分</w:t>
      </w:r>
      <w:r>
        <w:rPr>
          <w:sz w:val="21"/>
          <w:color w:val="000000"/>
        </w:rPr>
        <w:t>＜</w:t>
      </w:r>
      <w:r>
        <w:rPr>
          <w:sz w:val="21"/>
          <w:color w:val="000000"/>
        </w:rPr>
        <w:t>90分</w:t>
      </w:r>
      <w:r>
        <w:rPr>
          <w:sz w:val="21"/>
          <w:color w:val="000000"/>
        </w:rPr>
        <w:t>的</w:t>
      </w:r>
      <w:r>
        <w:rPr>
          <w:sz w:val="21"/>
          <w:color w:val="000000"/>
        </w:rPr>
        <w:t>为不合格，合同终止，甲方不再与乙方续签第二年的合同。一切经济和法律责任由乙方承担。</w:t>
      </w:r>
    </w:p>
    <w:p>
      <w:pPr>
        <w:pStyle w:val="null3"/>
        <w:ind w:firstLine="400"/>
        <w:jc w:val="both"/>
      </w:pPr>
      <w:r>
        <w:rPr>
          <w:sz w:val="21"/>
          <w:color w:val="000000"/>
        </w:rPr>
        <w:t>4、质量制约</w:t>
      </w:r>
    </w:p>
    <w:p>
      <w:pPr>
        <w:pStyle w:val="null3"/>
        <w:ind w:firstLine="400"/>
        <w:jc w:val="both"/>
      </w:pPr>
      <w:r>
        <w:rPr>
          <w:sz w:val="21"/>
          <w:color w:val="000000"/>
        </w:rPr>
        <w:t>4.1季度和年度考核合格（发生扣罚和奖励情况除外）如数给付服务费用（以90分为合格基数）；考核不合格，每少1分扣罚季度服务费用2％。对服务质量差和操作规程不符合要求的，并出现其中2项超标的，每次扣罚服务费10000.00元；</w:t>
      </w:r>
      <w:r>
        <w:rPr>
          <w:sz w:val="21"/>
          <w:color w:val="000000"/>
        </w:rPr>
        <w:t>甲方</w:t>
      </w:r>
      <w:r>
        <w:rPr>
          <w:sz w:val="21"/>
          <w:color w:val="000000"/>
        </w:rPr>
        <w:t>提出整改意见，限期整改；逾期不整改，服务质量仍旧低劣，</w:t>
      </w:r>
      <w:r>
        <w:rPr>
          <w:sz w:val="21"/>
          <w:color w:val="000000"/>
        </w:rPr>
        <w:t>“三、服务标准”的四害中如有1项不符合标准的，没收其履约保证金，如有2项不符合标准或连续2次不合格的（不满90分），甲方有权无条件终止和解除服务合同、没收其履约保证金并取消该单位的服务资格。一切经济和法律责任由乙方承担。</w:t>
      </w:r>
    </w:p>
    <w:p>
      <w:pPr>
        <w:pStyle w:val="null3"/>
        <w:ind w:firstLine="400"/>
        <w:jc w:val="both"/>
      </w:pPr>
      <w:r>
        <w:rPr>
          <w:sz w:val="21"/>
          <w:color w:val="000000"/>
        </w:rPr>
        <w:t>4.2扣罚</w:t>
      </w:r>
    </w:p>
    <w:p>
      <w:pPr>
        <w:pStyle w:val="null3"/>
        <w:ind w:firstLine="400"/>
        <w:jc w:val="both"/>
      </w:pPr>
      <w:r>
        <w:rPr>
          <w:sz w:val="21"/>
          <w:color w:val="000000"/>
        </w:rPr>
        <w:t>（</w:t>
      </w:r>
      <w:r>
        <w:rPr>
          <w:sz w:val="21"/>
          <w:color w:val="000000"/>
        </w:rPr>
        <w:t>1）违反操作规程，严重影响工作质量，受到上级部门批评的，扣罚该季度服务费总额的5％；</w:t>
      </w:r>
    </w:p>
    <w:p>
      <w:pPr>
        <w:pStyle w:val="null3"/>
        <w:ind w:firstLine="400"/>
        <w:jc w:val="both"/>
      </w:pPr>
      <w:r>
        <w:rPr>
          <w:sz w:val="21"/>
          <w:color w:val="000000"/>
        </w:rPr>
        <w:t>（</w:t>
      </w:r>
      <w:r>
        <w:rPr>
          <w:sz w:val="21"/>
          <w:color w:val="000000"/>
        </w:rPr>
        <w:t>2）不按规定用药，或施药弄虚作假，施药不足者，扣罚该季度服务费总额的7％；</w:t>
      </w:r>
    </w:p>
    <w:p>
      <w:pPr>
        <w:pStyle w:val="null3"/>
        <w:ind w:firstLine="400"/>
        <w:jc w:val="both"/>
      </w:pPr>
      <w:r>
        <w:rPr>
          <w:sz w:val="21"/>
          <w:color w:val="000000"/>
        </w:rPr>
        <w:t>（</w:t>
      </w:r>
      <w:r>
        <w:rPr>
          <w:sz w:val="21"/>
          <w:color w:val="000000"/>
        </w:rPr>
        <w:t>3）乙方有责任配合甲方接受上级领导部门的监督、检查，并提供必须的材料。遇有上级检查及大型活动等需要突击加班的，必须无条件服从安排，在接到通知后2小时内人员必须按要求带全装备到场开展工作，否则每次扣罚当季服务费的2%，突击任务所产生的费用由乙方负责（含卫生防疫）；突发任务未能按时按质完成，对甲方形象造成负面影响的，每次扣罚当季服务费的5%。</w:t>
      </w:r>
    </w:p>
    <w:p>
      <w:pPr>
        <w:pStyle w:val="null3"/>
        <w:ind w:firstLine="400"/>
        <w:jc w:val="both"/>
      </w:pPr>
      <w:r>
        <w:rPr>
          <w:sz w:val="21"/>
          <w:color w:val="000000"/>
        </w:rPr>
        <w:t>（</w:t>
      </w:r>
      <w:r>
        <w:rPr>
          <w:sz w:val="21"/>
          <w:color w:val="000000"/>
        </w:rPr>
        <w:t>4）在合同履行服务过程中，甲方不定期对乙方的服务人数、资格证、药品登记证及机械设备数量抽查，发现缺人、缺证、缺设备的，每次罚款3000元/人/证/机。累计2次抽查不合格一次罚款20000元，甲方有权无条件终止和解除服务合同，没收履约保证金并取消该单位的服务资格，一切经济和法律责任由乙方承担。</w:t>
      </w:r>
    </w:p>
    <w:p>
      <w:pPr>
        <w:pStyle w:val="null3"/>
        <w:ind w:firstLine="400"/>
        <w:jc w:val="both"/>
      </w:pPr>
      <w:r>
        <w:rPr>
          <w:sz w:val="21"/>
          <w:color w:val="000000"/>
        </w:rPr>
        <w:t>（</w:t>
      </w:r>
      <w:r>
        <w:rPr>
          <w:sz w:val="21"/>
          <w:color w:val="000000"/>
        </w:rPr>
        <w:t>5）乙方需每季度向甲方提供药品采购发票等材料，若检查中发现每季度的采购药品数量不够或型号不一致的，在季度服务费中扣减采购不足的金额。</w:t>
      </w:r>
    </w:p>
    <w:p>
      <w:pPr>
        <w:pStyle w:val="null3"/>
        <w:ind w:firstLine="400"/>
        <w:jc w:val="both"/>
      </w:pPr>
      <w:r>
        <w:rPr>
          <w:sz w:val="21"/>
          <w:color w:val="000000"/>
        </w:rPr>
        <w:t>5、其他要求及注意事项</w:t>
      </w:r>
    </w:p>
    <w:p>
      <w:pPr>
        <w:pStyle w:val="null3"/>
        <w:ind w:firstLine="400"/>
        <w:jc w:val="both"/>
      </w:pPr>
      <w:r>
        <w:rPr>
          <w:sz w:val="21"/>
          <w:color w:val="000000"/>
        </w:rPr>
        <w:t>5.1乙方针对项目实施必须配置与投标要求相应的工员和设备，乙方在最低配置要求的基础上，应加强、加大人力和设备的投入，有效确保除四害工作达到良好效果。</w:t>
      </w:r>
    </w:p>
    <w:p>
      <w:pPr>
        <w:pStyle w:val="null3"/>
        <w:ind w:firstLine="400"/>
        <w:jc w:val="both"/>
      </w:pPr>
      <w:r>
        <w:rPr>
          <w:sz w:val="21"/>
          <w:color w:val="000000"/>
        </w:rPr>
        <w:t>5.2若标段辖区有发现死鼠或居民打死老鼠，乙方必须上门义务处理死鼠。</w:t>
      </w:r>
    </w:p>
    <w:p>
      <w:pPr>
        <w:pStyle w:val="null3"/>
        <w:ind w:firstLine="400"/>
        <w:jc w:val="both"/>
      </w:pPr>
      <w:r>
        <w:rPr>
          <w:sz w:val="21"/>
          <w:color w:val="000000"/>
        </w:rPr>
        <w:t>5.3标段辖区每居委必须布放诱蚊产卵器60个，每月监测一次，记录在案上报数据。</w:t>
      </w:r>
    </w:p>
    <w:p>
      <w:pPr>
        <w:pStyle w:val="null3"/>
        <w:ind w:firstLine="400"/>
        <w:jc w:val="both"/>
      </w:pPr>
      <w:r>
        <w:rPr>
          <w:sz w:val="21"/>
          <w:color w:val="000000"/>
        </w:rPr>
        <w:t>5.4防治药品及相关器械的使用按国家有关部门指定的最新标准执行。</w:t>
      </w:r>
    </w:p>
    <w:p>
      <w:pPr>
        <w:pStyle w:val="null3"/>
        <w:ind w:firstLine="400"/>
        <w:jc w:val="both"/>
      </w:pPr>
      <w:r>
        <w:rPr>
          <w:sz w:val="21"/>
          <w:color w:val="000000"/>
        </w:rPr>
        <w:t>5.5乙方对聘用员工必须严格管理，对他们的行为负全责，如在服务期内发生劳资纠纷、意外（生病、伤亡事故）或违反合同规定、触犯国家法律等，由乙方承担全部责任及因事故产生的一切费用。</w:t>
      </w:r>
    </w:p>
    <w:p>
      <w:pPr>
        <w:pStyle w:val="null3"/>
        <w:ind w:firstLine="400"/>
        <w:jc w:val="both"/>
      </w:pPr>
      <w:r>
        <w:rPr>
          <w:sz w:val="21"/>
          <w:color w:val="000000"/>
        </w:rPr>
        <w:t>5.6为了保障员工人身安全及意外的福利保险，乙方必须依法用工与作业人员签订劳动合同，按顺德区社会劳动保险的有关规定为员工购买社会保险，按时发放工资补贴。人员工资不得低于顺德区最低工资标准。（在每季度5号前将上季度各员工的银行工资转账及社保部门的原始单据交甲方审核）。</w:t>
      </w:r>
    </w:p>
    <w:p>
      <w:pPr>
        <w:pStyle w:val="null3"/>
        <w:ind w:firstLine="400"/>
        <w:jc w:val="both"/>
      </w:pPr>
      <w:r>
        <w:rPr>
          <w:sz w:val="21"/>
          <w:color w:val="000000"/>
        </w:rPr>
        <w:t>5.7乙方为服务人员配备相应的防护用品。</w:t>
      </w:r>
    </w:p>
    <w:p>
      <w:pPr>
        <w:pStyle w:val="null3"/>
        <w:ind w:firstLine="400"/>
        <w:jc w:val="both"/>
      </w:pPr>
      <w:r>
        <w:rPr>
          <w:sz w:val="21"/>
          <w:color w:val="000000"/>
        </w:rPr>
        <w:t>5.8乙方应做好服务人员档案管理资料；做好工作记录，建立施药服务卡，做好资料收集，整理归档。如甲方有需要必须随时提供。</w:t>
      </w:r>
    </w:p>
    <w:p>
      <w:pPr>
        <w:pStyle w:val="null3"/>
        <w:ind w:firstLine="400"/>
        <w:jc w:val="both"/>
      </w:pPr>
      <w:r>
        <w:rPr>
          <w:sz w:val="21"/>
          <w:color w:val="000000"/>
        </w:rPr>
        <w:t>5.9按甲方要求做好各种规范的除“四害”监测纪录，制定科学的年度、季度除“四害”工作计划，包括技术方案、工作方法、用药计划等。每季度15号前将上季度的实施质量和工作情况向甲方作书面报告。</w:t>
      </w:r>
    </w:p>
    <w:p>
      <w:pPr>
        <w:pStyle w:val="null3"/>
        <w:ind w:firstLine="400"/>
        <w:jc w:val="both"/>
      </w:pPr>
      <w:r>
        <w:rPr>
          <w:sz w:val="21"/>
          <w:color w:val="000000"/>
        </w:rPr>
        <w:t>5.10科学用药，不得使用国家禁用或伪劣的灭鼠、杀虫剂，并需安全操作，不污染环境，确保人、畜安全，若因管理操作引起的一切责任由乙方负责。</w:t>
      </w:r>
    </w:p>
    <w:p>
      <w:pPr>
        <w:pStyle w:val="null3"/>
        <w:ind w:firstLine="400"/>
        <w:jc w:val="both"/>
      </w:pPr>
      <w:r>
        <w:rPr>
          <w:sz w:val="21"/>
          <w:color w:val="000000"/>
        </w:rPr>
        <w:t>5.11在服务期内，甲方没有增加服务内容、项目，而乙方自行增加工作人员的，所增加的费用由乙方负责。</w:t>
      </w:r>
    </w:p>
    <w:p>
      <w:pPr>
        <w:pStyle w:val="null3"/>
        <w:ind w:firstLine="400"/>
        <w:jc w:val="both"/>
      </w:pPr>
      <w:r>
        <w:rPr>
          <w:sz w:val="21"/>
          <w:color w:val="000000"/>
        </w:rPr>
        <w:t>5.12每年4-11月在除四害高发季节，乙方须无条件配合政府有关部门做好宣传和指导，并对有需要的市民提供优质服务。</w:t>
      </w:r>
    </w:p>
    <w:p>
      <w:pPr>
        <w:pStyle w:val="null3"/>
        <w:ind w:firstLine="400"/>
        <w:jc w:val="both"/>
      </w:pPr>
      <w:r>
        <w:rPr>
          <w:sz w:val="21"/>
          <w:color w:val="000000"/>
        </w:rPr>
        <w:t>5.13乙方除设立足够的作业人员外，还要指派1名能代表乙方履行管理及在检查考评中能承担责任的人员配合甲方、居（村）及监督员的检查考评，以方便日常检查及监督。乙方指派代表应确保手机通信畅通。</w:t>
      </w:r>
    </w:p>
    <w:p>
      <w:pPr>
        <w:pStyle w:val="null3"/>
        <w:ind w:firstLine="400"/>
        <w:jc w:val="both"/>
      </w:pPr>
      <w:r>
        <w:rPr>
          <w:sz w:val="21"/>
          <w:color w:val="000000"/>
        </w:rPr>
        <w:t>5.14乙方无条件配合政府及有关部门举办的一切活动，协助政府及有相部门处理因“四害”引发的应急事件。</w:t>
      </w:r>
    </w:p>
    <w:p>
      <w:pPr>
        <w:pStyle w:val="null3"/>
        <w:ind w:firstLine="400"/>
        <w:jc w:val="both"/>
      </w:pPr>
      <w:r>
        <w:rPr>
          <w:sz w:val="21"/>
          <w:color w:val="000000"/>
        </w:rPr>
        <w:t>5.15及时向甲方及相关部门反映异常情况。</w:t>
      </w:r>
    </w:p>
    <w:p>
      <w:pPr>
        <w:pStyle w:val="null3"/>
        <w:ind w:firstLine="420"/>
        <w:jc w:val="both"/>
      </w:pPr>
      <w:r>
        <w:rPr>
          <w:sz w:val="21"/>
          <w:color w:val="000000"/>
        </w:rPr>
        <w:t>5.16乙方应在合同签订后购买公共责任险。</w:t>
      </w:r>
    </w:p>
    <w:p>
      <w:pPr>
        <w:pStyle w:val="null3"/>
        <w:ind w:firstLine="482"/>
      </w:pPr>
      <w:r>
        <w:rPr>
          <w:sz w:val="24"/>
          <w:b/>
          <w:color w:val="000000"/>
        </w:rPr>
        <w:t>八</w:t>
      </w:r>
      <w:r>
        <w:rPr>
          <w:sz w:val="24"/>
          <w:b/>
          <w:color w:val="000000"/>
        </w:rPr>
        <w:t>、其他要求</w:t>
      </w:r>
    </w:p>
    <w:p>
      <w:pPr>
        <w:pStyle w:val="null3"/>
        <w:ind w:firstLine="420"/>
      </w:pPr>
      <w:r>
        <w:rPr>
          <w:sz w:val="21"/>
          <w:color w:val="000000"/>
        </w:rPr>
        <w:t>1</w:t>
      </w:r>
      <w:r>
        <w:rPr>
          <w:sz w:val="21"/>
          <w:color w:val="000000"/>
        </w:rPr>
        <w:t>、根据省、市、区抗药性监测数据，使用推荐产品。</w:t>
      </w:r>
    </w:p>
    <w:p>
      <w:pPr>
        <w:pStyle w:val="null3"/>
        <w:ind w:firstLine="420"/>
      </w:pPr>
      <w:r>
        <w:rPr>
          <w:sz w:val="21"/>
          <w:color w:val="000000"/>
        </w:rPr>
        <w:t>2</w:t>
      </w:r>
      <w:r>
        <w:rPr>
          <w:sz w:val="21"/>
          <w:color w:val="000000"/>
        </w:rPr>
        <w:t>、药物必须提供具备“三证”（农药登记证、农药生产许可证、企业标准证）并可追索来源，“四害”中每项必须不少于</w:t>
      </w:r>
      <w:r>
        <w:rPr>
          <w:sz w:val="21"/>
          <w:color w:val="000000"/>
        </w:rPr>
        <w:t>4</w:t>
      </w:r>
      <w:r>
        <w:rPr>
          <w:sz w:val="21"/>
          <w:color w:val="000000"/>
        </w:rPr>
        <w:t>种不同厂家的药品轮换使用，降低耐药性。</w:t>
      </w:r>
    </w:p>
    <w:p>
      <w:pPr>
        <w:pStyle w:val="null3"/>
        <w:ind w:firstLine="420"/>
      </w:pPr>
      <w:r>
        <w:rPr>
          <w:sz w:val="21"/>
          <w:color w:val="000000"/>
        </w:rPr>
        <w:t>3</w:t>
      </w:r>
      <w:r>
        <w:rPr>
          <w:sz w:val="21"/>
          <w:color w:val="000000"/>
        </w:rPr>
        <w:t>、安全操作，灭鼠药物须妥善保管，不得遗失，灭鼠毒饵靠边和隐蔽处投放；不污染环境，确保人、畜安全，若因管理或操作不当而引起的一切责任由乙方承担。</w:t>
      </w:r>
    </w:p>
    <w:p>
      <w:pPr>
        <w:pStyle w:val="null3"/>
        <w:ind w:firstLine="420"/>
        <w:jc w:val="both"/>
      </w:pPr>
      <w:r>
        <w:rPr>
          <w:sz w:val="21"/>
          <w:color w:val="000000"/>
        </w:rPr>
        <w:t>4</w:t>
      </w:r>
      <w:r>
        <w:rPr>
          <w:sz w:val="21"/>
          <w:color w:val="000000"/>
        </w:rPr>
        <w:t>、现场要求：乙方须在现场设有仓库，用于存放药物及服务用品，并配备仓库管理员进行仓库管理及做好安全管理措施。</w:t>
      </w:r>
    </w:p>
    <w:p>
      <w:pPr>
        <w:pStyle w:val="null3"/>
        <w:ind w:firstLine="482"/>
      </w:pPr>
      <w:r>
        <w:rPr>
          <w:sz w:val="24"/>
          <w:b/>
          <w:color w:val="000000"/>
        </w:rPr>
        <w:t>九</w:t>
      </w:r>
      <w:r>
        <w:rPr>
          <w:sz w:val="24"/>
          <w:b/>
          <w:color w:val="000000"/>
        </w:rPr>
        <w:t>、服务对照执行标准</w:t>
      </w:r>
    </w:p>
    <w:p>
      <w:pPr>
        <w:pStyle w:val="null3"/>
        <w:ind w:firstLine="420"/>
        <w:jc w:val="both"/>
      </w:pPr>
      <w:r>
        <w:rPr>
          <w:sz w:val="21"/>
          <w:color w:val="000000"/>
        </w:rPr>
        <w:t>1.</w:t>
      </w:r>
      <w:r>
        <w:rPr>
          <w:sz w:val="21"/>
          <w:color w:val="000000"/>
        </w:rPr>
        <w:t>符合中华人民共和国国家和履约地相关安全质量标准、行业技术规范标准；</w:t>
      </w:r>
    </w:p>
    <w:p>
      <w:pPr>
        <w:pStyle w:val="null3"/>
        <w:ind w:firstLine="420"/>
        <w:jc w:val="both"/>
      </w:pPr>
      <w:r>
        <w:rPr>
          <w:sz w:val="21"/>
          <w:color w:val="000000"/>
        </w:rPr>
        <w:t>2.</w:t>
      </w:r>
      <w:r>
        <w:rPr>
          <w:sz w:val="21"/>
          <w:color w:val="000000"/>
        </w:rPr>
        <w:t>符合采购文件和响应承诺中各方共同认可的合理要求；</w:t>
      </w:r>
    </w:p>
    <w:p>
      <w:pPr>
        <w:pStyle w:val="null3"/>
        <w:ind w:firstLine="420"/>
        <w:jc w:val="both"/>
      </w:pPr>
      <w:r>
        <w:rPr>
          <w:sz w:val="21"/>
          <w:color w:val="000000"/>
        </w:rPr>
        <w:t>上述各类标准与法规必须是有关官方机构最新发布的现行标准版本。</w:t>
      </w:r>
    </w:p>
    <w:p>
      <w:pPr>
        <w:pStyle w:val="null3"/>
        <w:ind w:firstLine="482"/>
      </w:pPr>
      <w:r>
        <w:rPr>
          <w:sz w:val="24"/>
          <w:b/>
          <w:color w:val="000000"/>
        </w:rPr>
        <w:t>十</w:t>
      </w:r>
      <w:r>
        <w:rPr>
          <w:sz w:val="24"/>
          <w:b/>
          <w:color w:val="000000"/>
        </w:rPr>
        <w:t>、知识产权和</w:t>
      </w:r>
      <w:r>
        <w:rPr>
          <w:sz w:val="24"/>
          <w:b/>
          <w:color w:val="000000"/>
        </w:rPr>
        <w:t>守密</w:t>
      </w:r>
      <w:r>
        <w:rPr>
          <w:sz w:val="24"/>
          <w:b/>
          <w:color w:val="000000"/>
        </w:rPr>
        <w:t>要求</w:t>
      </w:r>
    </w:p>
    <w:p>
      <w:pPr>
        <w:pStyle w:val="null3"/>
        <w:ind w:firstLine="420"/>
        <w:jc w:val="both"/>
      </w:pPr>
      <w:r>
        <w:rPr>
          <w:sz w:val="21"/>
          <w:color w:val="000000"/>
        </w:rPr>
        <w:t>1.</w:t>
      </w:r>
      <w:r>
        <w:rPr>
          <w:sz w:val="21"/>
          <w:color w:val="000000"/>
        </w:rPr>
        <w:t>知识产权产权归属</w:t>
      </w:r>
    </w:p>
    <w:p>
      <w:pPr>
        <w:pStyle w:val="null3"/>
        <w:ind w:firstLine="420"/>
        <w:jc w:val="both"/>
      </w:pPr>
      <w:r>
        <w:rPr>
          <w:sz w:val="21"/>
          <w:color w:val="000000"/>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20"/>
        <w:jc w:val="both"/>
      </w:pPr>
      <w:r>
        <w:rPr>
          <w:sz w:val="21"/>
          <w:color w:val="000000"/>
        </w:rPr>
        <w:t>2.</w:t>
      </w:r>
      <w:r>
        <w:rPr>
          <w:sz w:val="21"/>
          <w:color w:val="000000"/>
        </w:rPr>
        <w:t>守密</w:t>
      </w:r>
    </w:p>
    <w:p>
      <w:pPr>
        <w:pStyle w:val="null3"/>
        <w:ind w:firstLine="420"/>
        <w:jc w:val="both"/>
      </w:pPr>
      <w:r>
        <w:rPr>
          <w:sz w:val="21"/>
          <w:color w:val="000000"/>
        </w:rPr>
        <w:t>项目实施过程中至乙方正式向甲方交付技术文档资料时止，乙方必须采取措施对本项目实施过程中的数据、技术文档等资料</w:t>
      </w:r>
      <w:r>
        <w:rPr>
          <w:sz w:val="21"/>
          <w:color w:val="000000"/>
        </w:rPr>
        <w:t>守密</w:t>
      </w:r>
      <w:r>
        <w:rPr>
          <w:sz w:val="21"/>
          <w:color w:val="000000"/>
        </w:rPr>
        <w:t>，否则，由于乙方过错导致的上述资料泄密的，乙方必须承担一切责任。项目完成后，甲、乙双方均有责任对本项目的技术</w:t>
      </w:r>
      <w:r>
        <w:rPr>
          <w:sz w:val="21"/>
          <w:color w:val="000000"/>
        </w:rPr>
        <w:t>守密</w:t>
      </w:r>
      <w:r>
        <w:rPr>
          <w:sz w:val="21"/>
          <w:color w:val="000000"/>
        </w:rPr>
        <w:t>承担责任。</w:t>
      </w:r>
    </w:p>
    <w:p>
      <w:pPr>
        <w:pStyle w:val="null3"/>
        <w:ind w:firstLine="482"/>
      </w:pPr>
      <w:r>
        <w:rPr>
          <w:sz w:val="24"/>
          <w:b/>
          <w:color w:val="000000"/>
        </w:rPr>
        <w:t>十一</w:t>
      </w:r>
      <w:r>
        <w:rPr>
          <w:sz w:val="24"/>
          <w:b/>
          <w:color w:val="000000"/>
        </w:rPr>
        <w:t>、违约责任</w:t>
      </w:r>
    </w:p>
    <w:p>
      <w:pPr>
        <w:pStyle w:val="null3"/>
        <w:ind w:firstLine="420"/>
        <w:jc w:val="both"/>
      </w:pPr>
      <w:r>
        <w:rPr>
          <w:sz w:val="21"/>
          <w:color w:val="000000"/>
        </w:rPr>
        <w:t>1.</w:t>
      </w:r>
      <w:r>
        <w:rPr>
          <w:sz w:val="21"/>
          <w:color w:val="000000"/>
        </w:rPr>
        <w:t>乙方未按要求履行合同义务时，须从违约之日起每日按合同总额的</w:t>
      </w:r>
      <w:r>
        <w:rPr>
          <w:sz w:val="21"/>
          <w:color w:val="000000"/>
        </w:rPr>
        <w:t>3</w:t>
      </w:r>
      <w:r>
        <w:rPr>
          <w:sz w:val="21"/>
          <w:color w:val="000000"/>
        </w:rPr>
        <w:t>‰比例向甲方支付违约金；逾期</w:t>
      </w:r>
      <w:r>
        <w:rPr>
          <w:sz w:val="21"/>
          <w:color w:val="000000"/>
        </w:rPr>
        <w:t>15</w:t>
      </w:r>
      <w:r>
        <w:rPr>
          <w:sz w:val="21"/>
          <w:color w:val="000000"/>
        </w:rPr>
        <w:t>日以上时，甲方有权解除合同，没收履约保证金并要求乙方承担合同总额</w:t>
      </w:r>
      <w:r>
        <w:rPr>
          <w:sz w:val="21"/>
          <w:color w:val="000000"/>
        </w:rPr>
        <w:t>30%</w:t>
      </w:r>
      <w:r>
        <w:rPr>
          <w:sz w:val="21"/>
          <w:color w:val="000000"/>
        </w:rPr>
        <w:t>的违约金，由此造成甲方的经济损失由乙方承担。违约金不足以弥补损失的，乙方应按全额赔偿。</w:t>
      </w:r>
    </w:p>
    <w:p>
      <w:pPr>
        <w:pStyle w:val="null3"/>
        <w:ind w:firstLine="420"/>
        <w:jc w:val="both"/>
      </w:pPr>
      <w:r>
        <w:rPr>
          <w:sz w:val="21"/>
          <w:color w:val="000000"/>
        </w:rPr>
        <w:t>2.</w:t>
      </w:r>
      <w:r>
        <w:rPr>
          <w:sz w:val="21"/>
          <w:color w:val="000000"/>
        </w:rPr>
        <w:t>若乙方将本项目全部或部分转委托给任何第三方的，甲方有权解除合同，没收履约保证金并要求乙方承担合同总额</w:t>
      </w:r>
      <w:r>
        <w:rPr>
          <w:sz w:val="21"/>
          <w:color w:val="000000"/>
        </w:rPr>
        <w:t>30%</w:t>
      </w:r>
      <w:r>
        <w:rPr>
          <w:sz w:val="21"/>
          <w:color w:val="000000"/>
        </w:rPr>
        <w:t>的违约金，由此造成甲方的经济损失由乙方承担。违约金不足以弥补损失的，乙方应按全额赔偿。</w:t>
      </w:r>
    </w:p>
    <w:p>
      <w:pPr>
        <w:pStyle w:val="null3"/>
        <w:ind w:firstLine="420"/>
        <w:jc w:val="both"/>
      </w:pPr>
      <w:r>
        <w:rPr>
          <w:sz w:val="21"/>
          <w:color w:val="000000"/>
        </w:rPr>
        <w:t>3.</w:t>
      </w:r>
      <w:r>
        <w:rPr>
          <w:sz w:val="21"/>
          <w:color w:val="000000"/>
        </w:rPr>
        <w:t>在乙方无不履行或不适当履行其义务的情况下，甲方逾期支付合同款项，并经乙方书面催告后无正当理由后仍不在合理期限内支付的，每拖延一天应按应付未付款项的万分之一标准向乙方支付违约金。</w:t>
      </w:r>
    </w:p>
    <w:p>
      <w:pPr>
        <w:pStyle w:val="null3"/>
        <w:ind w:firstLine="420"/>
        <w:jc w:val="both"/>
      </w:pPr>
      <w:r>
        <w:rPr>
          <w:sz w:val="21"/>
          <w:color w:val="000000"/>
        </w:rPr>
        <w:t>4.</w:t>
      </w:r>
      <w:r>
        <w:rPr>
          <w:sz w:val="21"/>
          <w:color w:val="000000"/>
        </w:rPr>
        <w:t>若因乙方违约导致甲方因此主张权利所支出的费用（包括但不限于诉讼费、财产保全费、财产保全担保费、评估鉴定费、律师费等）均由乙方承担。</w:t>
      </w:r>
    </w:p>
    <w:p>
      <w:pPr>
        <w:pStyle w:val="null3"/>
        <w:ind w:firstLine="482"/>
      </w:pPr>
      <w:r>
        <w:rPr>
          <w:sz w:val="24"/>
          <w:b/>
          <w:color w:val="000000"/>
        </w:rPr>
        <w:t>十二、退出机制</w:t>
      </w:r>
    </w:p>
    <w:p>
      <w:pPr>
        <w:pStyle w:val="null3"/>
        <w:ind w:firstLine="420"/>
        <w:jc w:val="both"/>
      </w:pPr>
      <w:r>
        <w:rPr>
          <w:sz w:val="21"/>
          <w:color w:val="000000"/>
        </w:rPr>
        <w:t>乙方出现有下列任何一种情况的，甲方有权解除合同，已收取的投标人的</w:t>
      </w:r>
      <w:r>
        <w:rPr>
          <w:sz w:val="21"/>
          <w:color w:val="000000"/>
        </w:rPr>
        <w:t>“履约保证金”不予返还，并要求乙方承担合同总额</w:t>
      </w:r>
      <w:r>
        <w:rPr>
          <w:sz w:val="21"/>
          <w:color w:val="000000"/>
        </w:rPr>
        <w:t>30%</w:t>
      </w:r>
      <w:r>
        <w:rPr>
          <w:sz w:val="21"/>
          <w:color w:val="000000"/>
        </w:rPr>
        <w:t>的违约金，同时列入失信企业名单：</w:t>
      </w:r>
    </w:p>
    <w:p>
      <w:pPr>
        <w:pStyle w:val="null3"/>
        <w:ind w:firstLine="420"/>
        <w:jc w:val="both"/>
      </w:pPr>
      <w:r>
        <w:rPr>
          <w:sz w:val="21"/>
          <w:color w:val="000000"/>
        </w:rPr>
        <w:t>（</w:t>
      </w:r>
      <w:r>
        <w:rPr>
          <w:sz w:val="21"/>
          <w:color w:val="000000"/>
        </w:rPr>
        <w:t>1</w:t>
      </w:r>
      <w:r>
        <w:rPr>
          <w:sz w:val="21"/>
          <w:color w:val="000000"/>
        </w:rPr>
        <w:t>）乙方主动放弃本项目服务资格；</w:t>
      </w:r>
    </w:p>
    <w:p>
      <w:pPr>
        <w:pStyle w:val="null3"/>
        <w:ind w:firstLine="420"/>
        <w:jc w:val="both"/>
      </w:pPr>
      <w:r>
        <w:rPr>
          <w:sz w:val="21"/>
          <w:color w:val="000000"/>
        </w:rPr>
        <w:t>（</w:t>
      </w:r>
      <w:r>
        <w:rPr>
          <w:sz w:val="21"/>
          <w:color w:val="000000"/>
        </w:rPr>
        <w:t>2</w:t>
      </w:r>
      <w:r>
        <w:rPr>
          <w:sz w:val="21"/>
          <w:color w:val="000000"/>
        </w:rPr>
        <w:t>）合同正式履行后一个月内人员、设备未满足合同要求的；</w:t>
      </w:r>
    </w:p>
    <w:p>
      <w:pPr>
        <w:pStyle w:val="null3"/>
        <w:ind w:firstLine="420"/>
        <w:jc w:val="both"/>
      </w:pPr>
      <w:r>
        <w:rPr>
          <w:sz w:val="21"/>
          <w:color w:val="000000"/>
        </w:rPr>
        <w:t>（</w:t>
      </w:r>
      <w:r>
        <w:rPr>
          <w:sz w:val="21"/>
          <w:color w:val="000000"/>
        </w:rPr>
        <w:t>3</w:t>
      </w:r>
      <w:r>
        <w:rPr>
          <w:sz w:val="21"/>
          <w:color w:val="000000"/>
        </w:rPr>
        <w:t>）乙方有纵容、煽动工人怠工、罢工、上访等过激行为超</w:t>
      </w:r>
      <w:r>
        <w:rPr>
          <w:sz w:val="21"/>
          <w:color w:val="000000"/>
        </w:rPr>
        <w:t>8</w:t>
      </w:r>
      <w:r>
        <w:rPr>
          <w:sz w:val="21"/>
          <w:color w:val="000000"/>
        </w:rPr>
        <w:t>人以上的，或因乙方无视工人权益引发或导致工人有怠工、罢工、上访等过激行为超</w:t>
      </w:r>
      <w:r>
        <w:rPr>
          <w:sz w:val="21"/>
          <w:color w:val="000000"/>
        </w:rPr>
        <w:t>8</w:t>
      </w:r>
      <w:r>
        <w:rPr>
          <w:sz w:val="21"/>
          <w:color w:val="000000"/>
        </w:rPr>
        <w:t>人以上的；</w:t>
      </w:r>
    </w:p>
    <w:p>
      <w:pPr>
        <w:pStyle w:val="null3"/>
        <w:ind w:firstLine="420"/>
        <w:jc w:val="both"/>
      </w:pPr>
      <w:r>
        <w:rPr>
          <w:sz w:val="21"/>
          <w:color w:val="000000"/>
        </w:rPr>
        <w:t>（</w:t>
      </w:r>
      <w:r>
        <w:rPr>
          <w:sz w:val="21"/>
          <w:color w:val="000000"/>
        </w:rPr>
        <w:t>4</w:t>
      </w:r>
      <w:r>
        <w:rPr>
          <w:sz w:val="21"/>
          <w:color w:val="000000"/>
        </w:rPr>
        <w:t>）甲方对乙方一年内发出三次或以上书面严重警告的。</w:t>
      </w:r>
    </w:p>
    <w:p>
      <w:pPr>
        <w:pStyle w:val="null3"/>
        <w:ind w:firstLine="420"/>
        <w:jc w:val="both"/>
      </w:pPr>
      <w:r>
        <w:rPr>
          <w:sz w:val="21"/>
          <w:color w:val="000000"/>
        </w:rPr>
        <w:t>（</w:t>
      </w:r>
      <w:r>
        <w:rPr>
          <w:sz w:val="21"/>
          <w:color w:val="000000"/>
        </w:rPr>
        <w:t>5</w:t>
      </w:r>
      <w:r>
        <w:rPr>
          <w:sz w:val="21"/>
          <w:color w:val="000000"/>
        </w:rPr>
        <w:t>）一年内累计发现</w:t>
      </w:r>
      <w:r>
        <w:rPr>
          <w:sz w:val="21"/>
          <w:color w:val="000000"/>
        </w:rPr>
        <w:t>3</w:t>
      </w:r>
      <w:r>
        <w:rPr>
          <w:sz w:val="21"/>
          <w:color w:val="000000"/>
        </w:rPr>
        <w:t>次以上发现配置的服务人员少于要求数量</w:t>
      </w:r>
      <w:r>
        <w:rPr>
          <w:sz w:val="21"/>
          <w:color w:val="000000"/>
        </w:rPr>
        <w:t>3%</w:t>
      </w:r>
      <w:r>
        <w:rPr>
          <w:sz w:val="21"/>
          <w:color w:val="000000"/>
        </w:rPr>
        <w:t>。</w:t>
      </w:r>
    </w:p>
    <w:p>
      <w:pPr>
        <w:pStyle w:val="null3"/>
        <w:ind w:firstLine="420"/>
        <w:jc w:val="both"/>
      </w:pPr>
      <w:r>
        <w:rPr>
          <w:sz w:val="21"/>
          <w:color w:val="000000"/>
        </w:rPr>
        <w:t>（</w:t>
      </w:r>
      <w:r>
        <w:rPr>
          <w:sz w:val="21"/>
          <w:color w:val="000000"/>
        </w:rPr>
        <w:t>6</w:t>
      </w:r>
      <w:r>
        <w:rPr>
          <w:sz w:val="21"/>
          <w:color w:val="000000"/>
        </w:rPr>
        <w:t>）合同履行期间，违反劳动管理方面的法律、法规、规章及其他一般规范性文件的规定引起</w:t>
      </w:r>
      <w:r>
        <w:rPr>
          <w:sz w:val="21"/>
          <w:color w:val="000000"/>
        </w:rPr>
        <w:t>8</w:t>
      </w:r>
      <w:r>
        <w:rPr>
          <w:sz w:val="21"/>
          <w:color w:val="000000"/>
        </w:rPr>
        <w:t>人以上（含</w:t>
      </w:r>
      <w:r>
        <w:rPr>
          <w:sz w:val="21"/>
          <w:color w:val="000000"/>
        </w:rPr>
        <w:t>8</w:t>
      </w:r>
      <w:r>
        <w:rPr>
          <w:sz w:val="21"/>
          <w:color w:val="000000"/>
        </w:rPr>
        <w:t>人）群体上访事件或</w:t>
      </w:r>
      <w:r>
        <w:rPr>
          <w:sz w:val="21"/>
          <w:color w:val="000000"/>
        </w:rPr>
        <w:t>8</w:t>
      </w:r>
      <w:r>
        <w:rPr>
          <w:sz w:val="21"/>
          <w:color w:val="000000"/>
        </w:rPr>
        <w:t>人以上（含</w:t>
      </w:r>
      <w:r>
        <w:rPr>
          <w:sz w:val="21"/>
          <w:color w:val="000000"/>
        </w:rPr>
        <w:t>8</w:t>
      </w:r>
      <w:r>
        <w:rPr>
          <w:sz w:val="21"/>
          <w:color w:val="000000"/>
        </w:rPr>
        <w:t>人）（一宗案件内）劳资纠纷案件败诉或</w:t>
      </w:r>
      <w:r>
        <w:rPr>
          <w:sz w:val="21"/>
          <w:color w:val="000000"/>
        </w:rPr>
        <w:t>8</w:t>
      </w:r>
      <w:r>
        <w:rPr>
          <w:sz w:val="21"/>
          <w:color w:val="000000"/>
        </w:rPr>
        <w:t>人以上（含</w:t>
      </w:r>
      <w:r>
        <w:rPr>
          <w:sz w:val="21"/>
          <w:color w:val="000000"/>
        </w:rPr>
        <w:t>8</w:t>
      </w:r>
      <w:r>
        <w:rPr>
          <w:sz w:val="21"/>
          <w:color w:val="000000"/>
        </w:rPr>
        <w:t>人）歇工事件的。</w:t>
      </w:r>
    </w:p>
    <w:p>
      <w:pPr>
        <w:pStyle w:val="null3"/>
        <w:ind w:firstLine="420"/>
        <w:jc w:val="both"/>
      </w:pPr>
      <w:r>
        <w:rPr>
          <w:sz w:val="21"/>
          <w:color w:val="000000"/>
        </w:rPr>
        <w:t>（</w:t>
      </w:r>
      <w:r>
        <w:rPr>
          <w:sz w:val="21"/>
          <w:color w:val="000000"/>
        </w:rPr>
        <w:t>7</w:t>
      </w:r>
      <w:r>
        <w:rPr>
          <w:sz w:val="21"/>
          <w:color w:val="000000"/>
        </w:rPr>
        <w:t>）未按时足额发放服务人员工资（含加班工资）的人数达</w:t>
      </w:r>
      <w:r>
        <w:rPr>
          <w:sz w:val="21"/>
          <w:color w:val="000000"/>
        </w:rPr>
        <w:t>8</w:t>
      </w:r>
      <w:r>
        <w:rPr>
          <w:sz w:val="21"/>
          <w:color w:val="000000"/>
        </w:rPr>
        <w:t>人以上（含</w:t>
      </w:r>
      <w:r>
        <w:rPr>
          <w:sz w:val="21"/>
          <w:color w:val="000000"/>
        </w:rPr>
        <w:t>8</w:t>
      </w:r>
      <w:r>
        <w:rPr>
          <w:sz w:val="21"/>
          <w:color w:val="000000"/>
        </w:rPr>
        <w:t>人）的；</w:t>
      </w:r>
    </w:p>
    <w:p>
      <w:pPr>
        <w:pStyle w:val="null3"/>
        <w:ind w:firstLine="420"/>
        <w:jc w:val="both"/>
      </w:pPr>
      <w:r>
        <w:rPr>
          <w:sz w:val="21"/>
          <w:color w:val="000000"/>
        </w:rPr>
        <w:t>（</w:t>
      </w:r>
      <w:r>
        <w:rPr>
          <w:sz w:val="21"/>
          <w:color w:val="000000"/>
        </w:rPr>
        <w:t>8</w:t>
      </w:r>
      <w:r>
        <w:rPr>
          <w:sz w:val="21"/>
          <w:color w:val="000000"/>
        </w:rPr>
        <w:t>）佛山市最低工资标准发生变化时，乙方拒绝根据有关规定予以相应调整的；</w:t>
      </w:r>
    </w:p>
    <w:p>
      <w:pPr>
        <w:pStyle w:val="null3"/>
        <w:ind w:firstLine="420"/>
        <w:jc w:val="both"/>
      </w:pPr>
      <w:r>
        <w:rPr>
          <w:sz w:val="21"/>
          <w:color w:val="000000"/>
        </w:rPr>
        <w:t>（</w:t>
      </w:r>
      <w:r>
        <w:rPr>
          <w:sz w:val="21"/>
          <w:color w:val="000000"/>
        </w:rPr>
        <w:t>9</w:t>
      </w:r>
      <w:r>
        <w:rPr>
          <w:sz w:val="21"/>
          <w:color w:val="000000"/>
        </w:rPr>
        <w:t>）弄虚作假（包括但不限于投标时提供虚假材料）及其他不正当行为；</w:t>
      </w:r>
    </w:p>
    <w:p>
      <w:pPr>
        <w:pStyle w:val="null3"/>
        <w:ind w:firstLine="420"/>
        <w:jc w:val="both"/>
      </w:pPr>
      <w:r>
        <w:rPr>
          <w:sz w:val="21"/>
          <w:color w:val="000000"/>
        </w:rPr>
        <w:t>（</w:t>
      </w:r>
      <w:r>
        <w:rPr>
          <w:sz w:val="21"/>
          <w:color w:val="000000"/>
        </w:rPr>
        <w:t>10</w:t>
      </w:r>
      <w:r>
        <w:rPr>
          <w:sz w:val="21"/>
          <w:color w:val="000000"/>
        </w:rPr>
        <w:t>）违反法律、法规、规章或其他相关规范性文件的规定，影响本项目履行的。</w:t>
      </w:r>
    </w:p>
    <w:p>
      <w:pPr>
        <w:pStyle w:val="null3"/>
        <w:ind w:firstLine="420"/>
        <w:jc w:val="both"/>
      </w:pPr>
      <w:r>
        <w:rPr>
          <w:sz w:val="21"/>
          <w:color w:val="000000"/>
        </w:rPr>
        <w:t>（</w:t>
      </w:r>
      <w:r>
        <w:rPr>
          <w:sz w:val="21"/>
          <w:color w:val="000000"/>
        </w:rPr>
        <w:t>11</w:t>
      </w:r>
      <w:r>
        <w:rPr>
          <w:sz w:val="21"/>
          <w:color w:val="000000"/>
        </w:rPr>
        <w:t>）招标文件及本合同书规定的其他终止合同的事由；</w:t>
      </w:r>
    </w:p>
    <w:p>
      <w:pPr>
        <w:pStyle w:val="null3"/>
        <w:ind w:firstLine="420"/>
        <w:jc w:val="both"/>
      </w:pPr>
      <w:r>
        <w:rPr>
          <w:sz w:val="21"/>
          <w:color w:val="000000"/>
        </w:rPr>
        <w:t>（</w:t>
      </w:r>
      <w:r>
        <w:rPr>
          <w:sz w:val="21"/>
          <w:color w:val="000000"/>
        </w:rPr>
        <w:t>12</w:t>
      </w:r>
      <w:r>
        <w:rPr>
          <w:sz w:val="21"/>
          <w:color w:val="000000"/>
        </w:rPr>
        <w:t>）法律、法规、规章和其他规范性文件规定的终止合同的事由；</w:t>
      </w:r>
    </w:p>
    <w:p>
      <w:pPr>
        <w:pStyle w:val="null3"/>
        <w:ind w:firstLine="420"/>
        <w:jc w:val="both"/>
      </w:pPr>
      <w:r>
        <w:rPr>
          <w:sz w:val="21"/>
          <w:color w:val="000000"/>
        </w:rPr>
        <w:t>（</w:t>
      </w:r>
      <w:r>
        <w:rPr>
          <w:sz w:val="21"/>
          <w:color w:val="000000"/>
        </w:rPr>
        <w:t>13</w:t>
      </w:r>
      <w:r>
        <w:rPr>
          <w:sz w:val="21"/>
          <w:color w:val="000000"/>
        </w:rPr>
        <w:t>）在实施过程中因处理不当造成重大损失，引发社会恶劣影响的； （</w:t>
      </w:r>
      <w:r>
        <w:rPr>
          <w:sz w:val="21"/>
          <w:color w:val="000000"/>
        </w:rPr>
        <w:t>14</w:t>
      </w:r>
      <w:r>
        <w:rPr>
          <w:sz w:val="21"/>
          <w:color w:val="000000"/>
        </w:rPr>
        <w:t>）将本项目转包或违法分包或交由个人承包的；</w:t>
      </w:r>
    </w:p>
    <w:p>
      <w:pPr>
        <w:pStyle w:val="null3"/>
        <w:ind w:firstLine="420"/>
        <w:jc w:val="both"/>
      </w:pPr>
      <w:r>
        <w:rPr>
          <w:sz w:val="21"/>
          <w:color w:val="000000"/>
        </w:rPr>
        <w:t>（</w:t>
      </w:r>
      <w:r>
        <w:rPr>
          <w:sz w:val="21"/>
          <w:color w:val="000000"/>
        </w:rPr>
        <w:t>15</w:t>
      </w:r>
      <w:r>
        <w:rPr>
          <w:sz w:val="21"/>
          <w:color w:val="000000"/>
        </w:rPr>
        <w:t>）不服从管理，拒绝或不配合甲方安排的工作任务及协助处理应急事件；</w:t>
      </w:r>
    </w:p>
    <w:p>
      <w:pPr>
        <w:pStyle w:val="null3"/>
        <w:ind w:firstLine="420"/>
        <w:jc w:val="both"/>
      </w:pPr>
      <w:r>
        <w:rPr>
          <w:sz w:val="21"/>
          <w:color w:val="000000"/>
        </w:rPr>
        <w:t>（</w:t>
      </w:r>
      <w:r>
        <w:rPr>
          <w:sz w:val="21"/>
          <w:color w:val="000000"/>
        </w:rPr>
        <w:t>16</w:t>
      </w:r>
      <w:r>
        <w:rPr>
          <w:sz w:val="21"/>
          <w:color w:val="000000"/>
        </w:rPr>
        <w:t>）招标文件</w:t>
      </w:r>
      <w:r>
        <w:rPr>
          <w:sz w:val="21"/>
          <w:color w:val="000000"/>
        </w:rPr>
        <w:t>/</w:t>
      </w:r>
      <w:r>
        <w:rPr>
          <w:sz w:val="21"/>
          <w:color w:val="000000"/>
        </w:rPr>
        <w:t>合同</w:t>
      </w:r>
      <w:r>
        <w:rPr>
          <w:sz w:val="21"/>
          <w:color w:val="000000"/>
        </w:rPr>
        <w:t>中要求其他触发退出机制或解除合同情形。</w:t>
      </w:r>
    </w:p>
    <w:p>
      <w:pPr>
        <w:pStyle w:val="null3"/>
        <w:ind w:firstLine="482"/>
      </w:pPr>
      <w:r>
        <w:rPr>
          <w:sz w:val="24"/>
          <w:b/>
          <w:color w:val="000000"/>
        </w:rPr>
        <w:t>十三</w:t>
      </w:r>
      <w:r>
        <w:rPr>
          <w:sz w:val="24"/>
          <w:b/>
          <w:color w:val="000000"/>
        </w:rPr>
        <w:t>、提出异议的时间和方法</w:t>
      </w:r>
    </w:p>
    <w:p>
      <w:pPr>
        <w:pStyle w:val="null3"/>
        <w:ind w:firstLine="420"/>
        <w:jc w:val="both"/>
      </w:pPr>
      <w:r>
        <w:rPr>
          <w:sz w:val="21"/>
          <w:color w:val="000000"/>
        </w:rPr>
        <w:t>1.</w:t>
      </w:r>
      <w:r>
        <w:rPr>
          <w:sz w:val="21"/>
          <w:color w:val="000000"/>
        </w:rPr>
        <w:t>甲方有异议时，应</w:t>
      </w:r>
      <w:r>
        <w:rPr>
          <w:sz w:val="21"/>
          <w:color w:val="000000"/>
        </w:rPr>
        <w:t>3</w:t>
      </w:r>
      <w:r>
        <w:rPr>
          <w:sz w:val="21"/>
          <w:color w:val="000000"/>
        </w:rPr>
        <w:t>天内向乙方提出书面异议。</w:t>
      </w:r>
    </w:p>
    <w:p>
      <w:pPr>
        <w:pStyle w:val="null3"/>
        <w:ind w:firstLine="420"/>
        <w:jc w:val="both"/>
      </w:pPr>
      <w:r>
        <w:rPr>
          <w:sz w:val="21"/>
          <w:color w:val="000000"/>
        </w:rPr>
        <w:t>2.</w:t>
      </w:r>
      <w:r>
        <w:rPr>
          <w:sz w:val="21"/>
          <w:color w:val="000000"/>
        </w:rPr>
        <w:t>乙方在接到甲方书面异议后，应在</w:t>
      </w:r>
      <w:r>
        <w:rPr>
          <w:sz w:val="21"/>
          <w:color w:val="000000"/>
        </w:rPr>
        <w:t>3</w:t>
      </w:r>
      <w:r>
        <w:rPr>
          <w:sz w:val="21"/>
          <w:color w:val="000000"/>
        </w:rPr>
        <w:t>天内负责处理并函复甲方处理情况，否则，即视为默认甲方提出的异议和处理意见。</w:t>
      </w:r>
    </w:p>
    <w:p>
      <w:pPr>
        <w:pStyle w:val="null3"/>
        <w:ind w:firstLine="420"/>
        <w:jc w:val="both"/>
      </w:pPr>
      <w:r>
        <w:rPr>
          <w:sz w:val="21"/>
          <w:color w:val="000000"/>
        </w:rPr>
        <w:t>3.</w:t>
      </w:r>
      <w:r>
        <w:rPr>
          <w:sz w:val="21"/>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firstLine="482"/>
      </w:pPr>
      <w:r>
        <w:rPr>
          <w:sz w:val="24"/>
          <w:b/>
          <w:color w:val="000000"/>
        </w:rPr>
        <w:t>十</w:t>
      </w:r>
      <w:r>
        <w:rPr>
          <w:sz w:val="24"/>
          <w:b/>
          <w:color w:val="000000"/>
        </w:rPr>
        <w:t>四</w:t>
      </w:r>
      <w:r>
        <w:rPr>
          <w:sz w:val="24"/>
          <w:b/>
          <w:color w:val="000000"/>
        </w:rPr>
        <w:t>、争议的解决</w:t>
      </w:r>
    </w:p>
    <w:p>
      <w:pPr>
        <w:pStyle w:val="null3"/>
        <w:ind w:firstLine="420"/>
        <w:jc w:val="both"/>
      </w:pPr>
      <w:r>
        <w:rPr>
          <w:sz w:val="21"/>
          <w:color w:val="000000"/>
        </w:rPr>
        <w:t>1.</w:t>
      </w:r>
      <w:r>
        <w:rPr>
          <w:sz w:val="21"/>
          <w:color w:val="000000"/>
        </w:rPr>
        <w:t>合同履行过程中发生的任何争议，如双方未能通过友好协商解决，应向佛山市顺德区人民法院提起诉讼。</w:t>
      </w:r>
    </w:p>
    <w:p>
      <w:pPr>
        <w:pStyle w:val="null3"/>
        <w:ind w:firstLine="420"/>
        <w:jc w:val="both"/>
      </w:pPr>
      <w:r>
        <w:rPr>
          <w:sz w:val="21"/>
          <w:color w:val="000000"/>
        </w:rPr>
        <w:t>2.</w:t>
      </w:r>
      <w:r>
        <w:rPr>
          <w:sz w:val="21"/>
          <w:color w:val="000000"/>
        </w:rPr>
        <w:t>法院审理期间，除提交法院审理的事项外，其它无争议的事项和条款仍应继续履行。</w:t>
      </w:r>
    </w:p>
    <w:p>
      <w:pPr>
        <w:pStyle w:val="null3"/>
        <w:ind w:firstLine="482"/>
      </w:pPr>
      <w:r>
        <w:rPr>
          <w:sz w:val="24"/>
          <w:b/>
          <w:color w:val="000000"/>
        </w:rPr>
        <w:t>十</w:t>
      </w:r>
      <w:r>
        <w:rPr>
          <w:sz w:val="24"/>
          <w:b/>
          <w:color w:val="000000"/>
        </w:rPr>
        <w:t>五</w:t>
      </w:r>
      <w:r>
        <w:rPr>
          <w:sz w:val="24"/>
          <w:b/>
          <w:color w:val="000000"/>
        </w:rPr>
        <w:t>、不可抗力</w:t>
      </w:r>
    </w:p>
    <w:p>
      <w:pPr>
        <w:pStyle w:val="null3"/>
        <w:ind w:firstLine="420"/>
        <w:jc w:val="both"/>
      </w:pPr>
      <w:r>
        <w:rPr>
          <w:sz w:val="21"/>
          <w:color w:val="000000"/>
        </w:rPr>
        <w:t>任何一方由于不可抗力原因不能履行合同时，应在不可抗力事件结束后</w:t>
      </w:r>
      <w:r>
        <w:rPr>
          <w:sz w:val="21"/>
          <w:color w:val="000000"/>
        </w:rPr>
        <w:t>48</w:t>
      </w:r>
      <w:r>
        <w:rPr>
          <w:sz w:val="21"/>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ind w:firstLine="482"/>
      </w:pPr>
      <w:r>
        <w:rPr>
          <w:sz w:val="24"/>
          <w:b/>
          <w:color w:val="000000"/>
        </w:rPr>
        <w:t>十</w:t>
      </w:r>
      <w:r>
        <w:rPr>
          <w:sz w:val="24"/>
          <w:b/>
          <w:color w:val="000000"/>
        </w:rPr>
        <w:t>七</w:t>
      </w:r>
      <w:r>
        <w:rPr>
          <w:sz w:val="24"/>
          <w:b/>
          <w:color w:val="000000"/>
        </w:rPr>
        <w:t>、税费</w:t>
      </w:r>
    </w:p>
    <w:p>
      <w:pPr>
        <w:pStyle w:val="null3"/>
        <w:ind w:firstLine="420"/>
        <w:jc w:val="both"/>
      </w:pPr>
      <w:r>
        <w:rPr>
          <w:sz w:val="21"/>
          <w:color w:val="000000"/>
        </w:rPr>
        <w:t>1.</w:t>
      </w:r>
      <w:r>
        <w:rPr>
          <w:sz w:val="21"/>
          <w:color w:val="000000"/>
        </w:rPr>
        <w:t>本合同实施过程中所发生的一切税费及不可预见费均由乙方承担。</w:t>
      </w:r>
    </w:p>
    <w:p>
      <w:pPr>
        <w:pStyle w:val="null3"/>
        <w:ind w:firstLine="420"/>
        <w:jc w:val="both"/>
      </w:pPr>
      <w:r>
        <w:rPr>
          <w:sz w:val="21"/>
          <w:color w:val="000000"/>
        </w:rPr>
        <w:t>2.</w:t>
      </w:r>
      <w:r>
        <w:rPr>
          <w:sz w:val="21"/>
          <w:color w:val="000000"/>
        </w:rPr>
        <w:t>乙方依照税务规章优先在合同履约地开具发票及纳税，咨询：</w:t>
      </w:r>
      <w:r>
        <w:rPr>
          <w:sz w:val="21"/>
          <w:color w:val="000000"/>
        </w:rPr>
        <w:t>0757-12366</w:t>
      </w:r>
      <w:r>
        <w:rPr>
          <w:sz w:val="21"/>
          <w:color w:val="000000"/>
        </w:rPr>
        <w:t>。</w:t>
      </w:r>
    </w:p>
    <w:p>
      <w:pPr>
        <w:pStyle w:val="null3"/>
        <w:ind w:firstLine="482"/>
      </w:pPr>
      <w:r>
        <w:rPr>
          <w:sz w:val="24"/>
          <w:b/>
          <w:color w:val="000000"/>
        </w:rPr>
        <w:t>十</w:t>
      </w:r>
      <w:r>
        <w:rPr>
          <w:sz w:val="24"/>
          <w:b/>
          <w:color w:val="000000"/>
        </w:rPr>
        <w:t>八</w:t>
      </w:r>
      <w:r>
        <w:rPr>
          <w:sz w:val="24"/>
          <w:b/>
          <w:color w:val="000000"/>
        </w:rPr>
        <w:t>、合同生效与合同备案</w:t>
      </w:r>
    </w:p>
    <w:p>
      <w:pPr>
        <w:pStyle w:val="null3"/>
        <w:ind w:firstLine="420"/>
        <w:jc w:val="both"/>
      </w:pPr>
      <w:r>
        <w:rPr>
          <w:sz w:val="21"/>
          <w:color w:val="000000"/>
        </w:rPr>
        <w:t>1.</w:t>
      </w:r>
      <w:r>
        <w:rPr>
          <w:sz w:val="21"/>
          <w:color w:val="000000"/>
        </w:rPr>
        <w:t>本合同在甲乙双方法人代表或其授权代表签字盖章后生效。</w:t>
      </w:r>
    </w:p>
    <w:p>
      <w:pPr>
        <w:pStyle w:val="null3"/>
        <w:ind w:firstLine="420"/>
        <w:jc w:val="both"/>
      </w:pPr>
      <w:r>
        <w:rPr>
          <w:sz w:val="21"/>
          <w:color w:val="000000"/>
        </w:rPr>
        <w:t>2.</w:t>
      </w:r>
      <w:r>
        <w:rPr>
          <w:sz w:val="21"/>
          <w:color w:val="000000"/>
        </w:rPr>
        <w:t>自采购合同签订之日起</w:t>
      </w:r>
      <w:r>
        <w:rPr>
          <w:sz w:val="21"/>
          <w:color w:val="000000"/>
        </w:rPr>
        <w:t>7</w:t>
      </w:r>
      <w:r>
        <w:rPr>
          <w:sz w:val="21"/>
          <w:color w:val="000000"/>
        </w:rPr>
        <w:t>个工作日内，由甲方按照有关规定将采购合同副本报同级人民政府财政部门（政府采购管理部门）备案。</w:t>
      </w:r>
    </w:p>
    <w:p>
      <w:pPr>
        <w:pStyle w:val="null3"/>
        <w:ind w:firstLine="422"/>
        <w:jc w:val="both"/>
      </w:pPr>
      <w:r>
        <w:rPr>
          <w:sz w:val="24"/>
          <w:b/>
          <w:color w:val="000000"/>
        </w:rPr>
        <w:t>十</w:t>
      </w:r>
      <w:r>
        <w:rPr>
          <w:sz w:val="24"/>
          <w:b/>
          <w:color w:val="000000"/>
        </w:rPr>
        <w:t>九</w:t>
      </w:r>
      <w:r>
        <w:rPr>
          <w:sz w:val="24"/>
          <w:b/>
          <w:color w:val="000000"/>
        </w:rPr>
        <w:t>、关于政府采购合同融资</w:t>
      </w:r>
    </w:p>
    <w:p>
      <w:pPr>
        <w:pStyle w:val="null3"/>
        <w:ind w:firstLine="420"/>
        <w:jc w:val="both"/>
      </w:pPr>
      <w:r>
        <w:rPr>
          <w:sz w:val="21"/>
          <w:color w:val="000000"/>
        </w:rPr>
        <w:t>1.</w:t>
      </w:r>
      <w:r>
        <w:rPr>
          <w:sz w:val="21"/>
          <w:color w:val="000000"/>
        </w:rPr>
        <w:t>乙方是否已申请政府采购合同融资：</w:t>
      </w:r>
      <w:r>
        <w:rPr>
          <w:sz w:val="21"/>
          <w:color w:val="000000"/>
          <w:u w:val="single"/>
        </w:rPr>
        <w:t xml:space="preserve">  </w:t>
      </w:r>
      <w:r>
        <w:rPr>
          <w:sz w:val="21"/>
          <w:color w:val="000000"/>
          <w:u w:val="single"/>
        </w:rPr>
        <w:t>是</w:t>
      </w:r>
      <w:r>
        <w:rPr>
          <w:sz w:val="21"/>
          <w:color w:val="000000"/>
          <w:u w:val="single"/>
        </w:rPr>
        <w:t xml:space="preserve">  </w:t>
      </w:r>
      <w:r>
        <w:rPr>
          <w:sz w:val="21"/>
          <w:color w:val="000000"/>
          <w:u w:val="single"/>
        </w:rPr>
        <w:t xml:space="preserve">/ </w:t>
      </w:r>
      <w:r>
        <w:rPr>
          <w:sz w:val="21"/>
          <w:color w:val="000000"/>
          <w:u w:val="single"/>
        </w:rPr>
        <w:t xml:space="preserve">否  </w:t>
      </w:r>
      <w:r>
        <w:rPr>
          <w:sz w:val="21"/>
          <w:color w:val="000000"/>
        </w:rPr>
        <w:t>；</w:t>
      </w:r>
    </w:p>
    <w:p>
      <w:pPr>
        <w:pStyle w:val="null3"/>
        <w:ind w:firstLine="420"/>
        <w:jc w:val="both"/>
      </w:pPr>
      <w:r>
        <w:rPr>
          <w:sz w:val="21"/>
          <w:color w:val="000000"/>
        </w:rPr>
        <w:t>2.</w:t>
      </w:r>
      <w:r>
        <w:rPr>
          <w:sz w:val="21"/>
          <w:color w:val="000000"/>
        </w:rPr>
        <w:t>融资银行及联系方式：</w:t>
      </w:r>
      <w:r>
        <w:rPr>
          <w:u w:val="single"/>
        </w:rPr>
        <w:t xml:space="preserve">                                         </w:t>
      </w:r>
      <w:r>
        <w:rPr>
          <w:sz w:val="21"/>
          <w:color w:val="000000"/>
        </w:rPr>
        <w:t>。</w:t>
      </w:r>
    </w:p>
    <w:p>
      <w:pPr>
        <w:pStyle w:val="null3"/>
        <w:ind w:firstLine="420"/>
        <w:jc w:val="both"/>
      </w:pPr>
      <w:r>
        <w:rPr>
          <w:sz w:val="21"/>
          <w:color w:val="000000"/>
        </w:rPr>
        <w:t>3.</w:t>
      </w:r>
      <w:r>
        <w:rPr>
          <w:sz w:val="21"/>
          <w:color w:val="000000"/>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p>
    <w:p>
      <w:pPr>
        <w:pStyle w:val="null3"/>
        <w:ind w:firstLine="422"/>
        <w:jc w:val="both"/>
      </w:pPr>
      <w:r>
        <w:rPr>
          <w:sz w:val="24"/>
          <w:b/>
          <w:color w:val="000000"/>
        </w:rPr>
        <w:t>二十、其它：</w:t>
      </w:r>
    </w:p>
    <w:p>
      <w:pPr>
        <w:pStyle w:val="null3"/>
        <w:ind w:firstLine="420"/>
        <w:jc w:val="both"/>
      </w:pPr>
      <w:r>
        <w:rPr>
          <w:sz w:val="21"/>
          <w:color w:val="000000"/>
        </w:rPr>
        <w:t>1.</w:t>
      </w:r>
      <w:r>
        <w:rPr>
          <w:sz w:val="21"/>
          <w:color w:val="00000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20"/>
        <w:jc w:val="both"/>
      </w:pPr>
      <w:r>
        <w:rPr>
          <w:sz w:val="21"/>
          <w:color w:val="000000"/>
        </w:rPr>
        <w:t>2.</w:t>
      </w:r>
      <w:r>
        <w:rPr>
          <w:sz w:val="21"/>
          <w:color w:val="000000"/>
        </w:rPr>
        <w:t>如一方（包括联系人）地址、电话、传真号码有变更，应在变更后</w:t>
      </w:r>
      <w:r>
        <w:rPr>
          <w:sz w:val="21"/>
          <w:color w:val="000000"/>
        </w:rPr>
        <w:t>3</w:t>
      </w:r>
      <w:r>
        <w:rPr>
          <w:sz w:val="21"/>
          <w:color w:val="000000"/>
        </w:rPr>
        <w:t>个工作日内书面通知对方联系人或负责人，否则，因此造成的损失由未履行通知义务方承担相应责任。</w:t>
      </w:r>
    </w:p>
    <w:p>
      <w:pPr>
        <w:pStyle w:val="null3"/>
        <w:ind w:firstLine="420"/>
        <w:jc w:val="both"/>
      </w:pPr>
      <w:r>
        <w:rPr>
          <w:sz w:val="21"/>
          <w:color w:val="000000"/>
        </w:rPr>
        <w:t>3.</w:t>
      </w:r>
      <w:r>
        <w:rPr>
          <w:sz w:val="21"/>
          <w:color w:val="000000"/>
        </w:rPr>
        <w:t>未经甲方书面同意，乙方不得擅自向第三方转让其主体性和关键性合同义务。</w:t>
      </w:r>
    </w:p>
    <w:p>
      <w:pPr>
        <w:pStyle w:val="null3"/>
        <w:ind w:firstLine="420"/>
        <w:jc w:val="both"/>
      </w:pPr>
      <w:r>
        <w:rPr>
          <w:sz w:val="21"/>
          <w:color w:val="000000"/>
        </w:rPr>
        <w:t>4.</w:t>
      </w:r>
      <w:r>
        <w:rPr>
          <w:sz w:val="21"/>
          <w:color w:val="000000"/>
        </w:rPr>
        <w:t>本合同一式</w:t>
      </w:r>
      <w:r>
        <w:rPr>
          <w:u w:val="single"/>
        </w:rPr>
        <w:t xml:space="preserve">    </w:t>
      </w:r>
      <w:r>
        <w:rPr>
          <w:sz w:val="21"/>
          <w:color w:val="000000"/>
        </w:rPr>
        <w:t>份，甲方执</w:t>
      </w:r>
      <w:r>
        <w:rPr>
          <w:u w:val="single"/>
        </w:rPr>
        <w:t xml:space="preserve">    </w:t>
      </w:r>
      <w:r>
        <w:rPr>
          <w:sz w:val="21"/>
          <w:color w:val="000000"/>
        </w:rPr>
        <w:t>份，乙方执</w:t>
      </w:r>
      <w:r>
        <w:rPr>
          <w:u w:val="single"/>
        </w:rPr>
        <w:t xml:space="preserve">    </w:t>
      </w:r>
      <w:r>
        <w:rPr>
          <w:sz w:val="21"/>
          <w:color w:val="000000"/>
        </w:rPr>
        <w:t>份。</w:t>
      </w:r>
    </w:p>
    <w:p>
      <w:pPr>
        <w:pStyle w:val="null3"/>
        <w:ind w:firstLine="420"/>
        <w:jc w:val="both"/>
      </w:pPr>
      <w:r>
        <w:rPr>
          <w:sz w:val="21"/>
          <w:color w:val="000000"/>
        </w:rPr>
        <w:t>5.</w:t>
      </w:r>
      <w:r>
        <w:rPr>
          <w:sz w:val="21"/>
          <w:color w:val="000000"/>
        </w:rPr>
        <w:t>本合同（含附件）共计</w:t>
      </w:r>
      <w:r>
        <w:rPr>
          <w:u w:val="single"/>
        </w:rPr>
        <w:t xml:space="preserve">    </w:t>
      </w:r>
      <w:r>
        <w:rPr>
          <w:sz w:val="21"/>
          <w:color w:val="000000"/>
        </w:rPr>
        <w:t>页，缺页之合同为无效合同。</w:t>
      </w:r>
    </w:p>
    <w:p>
      <w:pPr>
        <w:pStyle w:val="null3"/>
        <w:ind w:firstLine="420"/>
        <w:jc w:val="both"/>
      </w:pPr>
      <w:r>
        <w:rPr>
          <w:sz w:val="21"/>
          <w:color w:val="000000"/>
        </w:rPr>
        <w:t>6.</w:t>
      </w:r>
      <w:r>
        <w:rPr>
          <w:sz w:val="21"/>
          <w:color w:val="000000"/>
        </w:rPr>
        <w:t>本合同签约履约地点：广东省佛山市。</w:t>
      </w:r>
    </w:p>
    <w:p>
      <w:pPr>
        <w:pStyle w:val="null3"/>
        <w:ind w:firstLine="420"/>
        <w:jc w:val="both"/>
      </w:pPr>
      <w:r>
        <w:rPr>
          <w:sz w:val="21"/>
          <w:color w:val="000000"/>
        </w:rPr>
        <w:t>7.</w:t>
      </w:r>
      <w:r>
        <w:rPr>
          <w:sz w:val="21"/>
          <w:color w:val="000000"/>
        </w:rPr>
        <w:t>本合同所指“书面通知”包括但不限于短信、电子邮件等数据电文的通知形式，到达时间以民事诉讼法的规定为准，但进行书面通知前后，通知方均有义务电话确认通知事项。</w:t>
      </w:r>
    </w:p>
    <w:p>
      <w:pPr>
        <w:pStyle w:val="null3"/>
        <w:ind w:firstLine="420"/>
        <w:jc w:val="both"/>
      </w:pPr>
      <w:r>
        <w:rPr>
          <w:sz w:val="21"/>
          <w:color w:val="000000"/>
        </w:rPr>
        <w:t>8.</w:t>
      </w:r>
      <w:r>
        <w:rPr>
          <w:sz w:val="21"/>
          <w:color w:val="00000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183"/>
        <w:gridCol w:w="3910"/>
        <w:gridCol w:w="212"/>
      </w:tblGrid>
      <w:tr>
        <w:tc>
          <w:tcPr>
            <w:tcW w:type="dxa" w:w="4183"/>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rPr>
              <w:t>甲方（盖章）：</w:t>
            </w:r>
          </w:p>
          <w:p>
            <w:pPr>
              <w:pStyle w:val="null3"/>
            </w:pPr>
            <w:r>
              <w:rPr>
                <w:sz w:val="21"/>
                <w:color w:val="000000"/>
              </w:rPr>
              <w:t>代表：</w:t>
            </w:r>
            <w:r>
              <w:rPr>
                <w:sz w:val="19"/>
                <w:u w:val="single"/>
              </w:rPr>
              <w:t xml:space="preserve">                              </w:t>
            </w:r>
            <w:r>
              <w:rPr>
                <w:sz w:val="19"/>
              </w:rPr>
              <w:t xml:space="preserve"> </w:t>
            </w:r>
          </w:p>
          <w:p>
            <w:pPr>
              <w:pStyle w:val="null3"/>
            </w:pPr>
            <w:r>
              <w:rPr>
                <w:sz w:val="21"/>
                <w:color w:val="000000"/>
              </w:rPr>
              <w:t>地址：</w:t>
            </w:r>
          </w:p>
          <w:p>
            <w:pPr>
              <w:pStyle w:val="null3"/>
            </w:pPr>
            <w:r>
              <w:rPr>
                <w:sz w:val="21"/>
                <w:color w:val="000000"/>
              </w:rPr>
              <w:t>电话：</w:t>
            </w:r>
          </w:p>
          <w:p>
            <w:pPr>
              <w:pStyle w:val="null3"/>
            </w:pPr>
            <w:r>
              <w:rPr>
                <w:sz w:val="21"/>
                <w:color w:val="000000"/>
              </w:rPr>
              <w:t>传真：</w:t>
            </w:r>
          </w:p>
          <w:p>
            <w:pPr>
              <w:pStyle w:val="null3"/>
            </w:pPr>
            <w:r>
              <w:rPr>
                <w:sz w:val="21"/>
                <w:color w:val="000000"/>
              </w:rPr>
              <w:t>日期：</w:t>
            </w:r>
            <w:r>
              <w:rPr>
                <w:sz w:val="19"/>
              </w:rPr>
              <w:t xml:space="preserve">           </w:t>
            </w:r>
            <w:r>
              <w:rPr>
                <w:sz w:val="21"/>
                <w:color w:val="000000"/>
              </w:rPr>
              <w:t>年</w:t>
            </w:r>
            <w:r>
              <w:rPr>
                <w:sz w:val="19"/>
              </w:rPr>
              <w:t xml:space="preserve">     </w:t>
            </w:r>
            <w:r>
              <w:rPr>
                <w:sz w:val="21"/>
                <w:color w:val="000000"/>
              </w:rPr>
              <w:t>月</w:t>
            </w:r>
            <w:r>
              <w:rPr>
                <w:sz w:val="19"/>
              </w:rPr>
              <w:t xml:space="preserve">    </w:t>
            </w:r>
            <w:r>
              <w:rPr>
                <w:sz w:val="21"/>
                <w:color w:val="000000"/>
              </w:rPr>
              <w:t>日</w:t>
            </w:r>
          </w:p>
        </w:tc>
        <w:tc>
          <w:tcPr>
            <w:tcW w:type="dxa" w:w="39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乙方（盖章）：</w:t>
            </w:r>
          </w:p>
          <w:p>
            <w:pPr>
              <w:pStyle w:val="null3"/>
            </w:pPr>
            <w:r>
              <w:rPr>
                <w:sz w:val="21"/>
                <w:color w:val="000000"/>
              </w:rPr>
              <w:t>代表：</w:t>
            </w:r>
            <w:r>
              <w:rPr>
                <w:sz w:val="19"/>
                <w:u w:val="single"/>
              </w:rPr>
              <w:t xml:space="preserve">                           </w:t>
            </w:r>
          </w:p>
          <w:p>
            <w:pPr>
              <w:pStyle w:val="null3"/>
            </w:pPr>
            <w:r>
              <w:rPr>
                <w:sz w:val="21"/>
                <w:color w:val="000000"/>
              </w:rPr>
              <w:t>地址：</w:t>
            </w:r>
          </w:p>
          <w:p>
            <w:pPr>
              <w:pStyle w:val="null3"/>
            </w:pPr>
            <w:r>
              <w:rPr>
                <w:sz w:val="21"/>
                <w:color w:val="000000"/>
              </w:rPr>
              <w:t>电话：</w:t>
            </w:r>
          </w:p>
          <w:p>
            <w:pPr>
              <w:pStyle w:val="null3"/>
            </w:pPr>
            <w:r>
              <w:rPr>
                <w:sz w:val="21"/>
                <w:color w:val="000000"/>
              </w:rPr>
              <w:t>传真：</w:t>
            </w:r>
          </w:p>
          <w:p>
            <w:pPr>
              <w:pStyle w:val="null3"/>
            </w:pPr>
            <w:r>
              <w:rPr>
                <w:sz w:val="21"/>
                <w:color w:val="000000"/>
              </w:rPr>
              <w:t>日期：</w:t>
            </w:r>
            <w:r>
              <w:rPr>
                <w:sz w:val="19"/>
              </w:rPr>
              <w:t xml:space="preserve">        </w:t>
            </w:r>
            <w:r>
              <w:rPr>
                <w:sz w:val="21"/>
                <w:color w:val="000000"/>
              </w:rPr>
              <w:t>年</w:t>
            </w:r>
            <w:r>
              <w:rPr>
                <w:sz w:val="19"/>
              </w:rPr>
              <w:t xml:space="preserve">     </w:t>
            </w:r>
            <w:r>
              <w:rPr>
                <w:sz w:val="21"/>
                <w:color w:val="000000"/>
              </w:rPr>
              <w:t>月</w:t>
            </w:r>
            <w:r>
              <w:rPr>
                <w:sz w:val="19"/>
              </w:rPr>
              <w:t xml:space="preserve">     </w:t>
            </w:r>
            <w:r>
              <w:rPr>
                <w:sz w:val="21"/>
                <w:color w:val="000000"/>
              </w:rPr>
              <w:t>日</w:t>
            </w:r>
          </w:p>
        </w:tc>
        <w:tc>
          <w:tcPr>
            <w:tcW w:type="dxa" w:w="2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4183"/>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122"/>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rPr>
              <w:t>收款方、开票方须与乙方一致，专户为：</w:t>
            </w:r>
          </w:p>
          <w:p>
            <w:pPr>
              <w:pStyle w:val="null3"/>
            </w:pPr>
            <w:r>
              <w:rPr>
                <w:sz w:val="21"/>
                <w:color w:val="000000"/>
              </w:rPr>
              <w:t>开户名称：</w:t>
            </w:r>
          </w:p>
          <w:p>
            <w:pPr>
              <w:pStyle w:val="null3"/>
            </w:pPr>
            <w:r>
              <w:rPr>
                <w:sz w:val="21"/>
                <w:color w:val="000000"/>
              </w:rPr>
              <w:t>银行账号：</w:t>
            </w:r>
          </w:p>
          <w:p>
            <w:pPr>
              <w:pStyle w:val="null3"/>
            </w:pPr>
            <w:r>
              <w:rPr>
                <w:sz w:val="21"/>
                <w:color w:val="000000"/>
              </w:rPr>
              <w:t>开</w:t>
            </w:r>
            <w:r>
              <w:rPr>
                <w:sz w:val="19"/>
              </w:rPr>
              <w:t xml:space="preserve"> </w:t>
            </w:r>
            <w:r>
              <w:rPr>
                <w:sz w:val="21"/>
                <w:color w:val="000000"/>
              </w:rPr>
              <w:t>户</w:t>
            </w:r>
            <w:r>
              <w:rPr>
                <w:sz w:val="19"/>
              </w:rPr>
              <w:t xml:space="preserve"> </w:t>
            </w:r>
            <w:r>
              <w:rPr>
                <w:sz w:val="21"/>
                <w:color w:val="000000"/>
              </w:rPr>
              <w:t>行：</w:t>
            </w:r>
          </w:p>
        </w:tc>
      </w:tr>
    </w:tbl>
    <w:p>
      <w:pPr>
        <w:pStyle w:val="null3"/>
        <w:jc w:val="both"/>
      </w:pPr>
      <w:r>
        <w:rPr>
          <w:sz w:val="21"/>
          <w:b/>
          <w:color w:val="000000"/>
        </w:rPr>
        <w:t>合同附件清单：（若有）</w:t>
      </w:r>
    </w:p>
    <w:p>
      <w:pPr>
        <w:pStyle w:val="null3"/>
        <w:jc w:val="both"/>
      </w:pPr>
      <w:r>
        <w:rPr>
          <w:sz w:val="21"/>
          <w:b/>
          <w:color w:val="000000"/>
        </w:rPr>
        <w:t>附件</w:t>
      </w:r>
      <w:r>
        <w:rPr>
          <w:sz w:val="21"/>
          <w:b/>
          <w:color w:val="000000"/>
        </w:rPr>
        <w:t>1</w:t>
      </w:r>
      <w:r>
        <w:rPr>
          <w:sz w:val="21"/>
          <w:b/>
          <w:color w:val="000000"/>
        </w:rPr>
        <w:t>：《投入设备清单》</w:t>
      </w:r>
    </w:p>
    <w:p>
      <w:pPr>
        <w:pStyle w:val="null3"/>
        <w:jc w:val="both"/>
      </w:pPr>
      <w:r>
        <w:rPr>
          <w:sz w:val="21"/>
          <w:b/>
          <w:color w:val="000000"/>
        </w:rPr>
        <w:t>附件</w:t>
      </w:r>
      <w:r>
        <w:rPr>
          <w:sz w:val="21"/>
          <w:b/>
          <w:color w:val="000000"/>
        </w:rPr>
        <w:t>2</w:t>
      </w:r>
      <w:r>
        <w:rPr>
          <w:sz w:val="21"/>
          <w:b/>
          <w:color w:val="000000"/>
        </w:rPr>
        <w:t>：《投入人员清单》</w:t>
      </w:r>
    </w:p>
    <w:p>
      <w:pPr>
        <w:pStyle w:val="null3"/>
        <w:jc w:val="both"/>
      </w:pPr>
      <w:r>
        <w:rPr>
          <w:sz w:val="21"/>
          <w:b/>
          <w:color w:val="000000"/>
        </w:rPr>
        <w:t>附件</w:t>
      </w:r>
      <w:r>
        <w:rPr>
          <w:sz w:val="21"/>
          <w:b/>
          <w:color w:val="000000"/>
        </w:rPr>
        <w:t>3</w:t>
      </w:r>
      <w:r>
        <w:rPr>
          <w:sz w:val="21"/>
          <w:b/>
          <w:color w:val="000000"/>
        </w:rPr>
        <w:t>：《承诺函》</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440606-2026-01025</w:t>
      </w:r>
    </w:p>
    <w:p>
      <w:pPr>
        <w:pStyle w:val="null3"/>
        <w:jc w:val="center"/>
        <w:outlineLvl w:val="3"/>
      </w:pPr>
      <w:r>
        <w:rPr>
          <w:sz w:val="24"/>
          <w:b/>
        </w:rPr>
        <w:t>采购项目编号：</w:t>
      </w:r>
      <w:r>
        <w:rPr>
          <w:sz w:val="24"/>
          <w:b/>
        </w:rPr>
        <w:t>440606-2026-01025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广东华伦招标有限公司</w:t>
      </w:r>
    </w:p>
    <w:p>
      <w:pPr>
        <w:pStyle w:val="null3"/>
        <w:ind w:firstLine="480"/>
      </w:pPr>
      <w:r>
        <w:rPr/>
        <w:t xml:space="preserve"> 你方组织的</w:t>
      </w:r>
      <w:r>
        <w:rPr>
          <w:u w:val="single"/>
        </w:rPr>
        <w:t>“</w:t>
      </w:r>
      <w:r>
        <w:rPr>
          <w:u w:val="single"/>
        </w:rPr>
        <w:t>容桂街道2026-2027年度除四害采购服务项目</w:t>
      </w:r>
      <w:r>
        <w:rPr>
          <w:u w:val="single"/>
        </w:rPr>
        <w:t>”</w:t>
      </w:r>
      <w:r>
        <w:rPr/>
        <w:t>项目的招标[采购项目编号为：</w:t>
      </w:r>
      <w:r>
        <w:rPr>
          <w:u w:val="single"/>
        </w:rPr>
        <w:t>440606-2026-01025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容桂街道2026-2027年度除四害采购服务项目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广东华伦招标有限公司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容桂街道2026-2027年度除四害采购服务项目</w:t>
      </w:r>
      <w:r>
        <w:rPr/>
        <w:t>”项目采购[采购项目编号为</w:t>
      </w:r>
      <w:r>
        <w:rPr/>
        <w:t>440606-2026-01025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佛山市顺德区容桂街道综合行政执法队</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广东华伦招标有限公司</w:t>
      </w:r>
    </w:p>
    <w:p>
      <w:pPr>
        <w:pStyle w:val="null3"/>
        <w:ind w:firstLine="480"/>
      </w:pPr>
      <w:r>
        <w:rPr/>
        <w:t xml:space="preserve"> 如果我方在贵采购代理机构组织的</w:t>
      </w:r>
      <w:r>
        <w:rPr/>
        <w:t>容桂街道2026-2027年度除四害采购服务项目</w:t>
      </w:r>
      <w:r>
        <w:rPr/>
        <w:t>招标中获中标（采购项目编号：</w:t>
      </w:r>
      <w:r>
        <w:rPr/>
        <w:t>440606-2026-01025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广东华伦招标有限公司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广东华伦招标有限公司</w:t>
      </w:r>
    </w:p>
    <w:p>
      <w:pPr>
        <w:pStyle w:val="null3"/>
        <w:ind w:firstLine="480"/>
      </w:pPr>
      <w:r>
        <w:rPr/>
        <w:t>我单位已登记并准备参与“</w:t>
      </w:r>
      <w:r>
        <w:rPr/>
        <w:t>容桂街道2026-2027年度除四害采购服务项目</w:t>
      </w:r>
      <w:r>
        <w:rPr/>
        <w:t>”项目（采购项目编号：</w:t>
      </w:r>
      <w:r>
        <w:rPr/>
        <w:t>440606-2026-01025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