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440001-2023-54282</w:t>
      </w:r>
    </w:p>
    <w:p>
      <w:pPr>
        <w:jc w:val="center"/>
      </w:pPr>
      <w:r>
        <w:rPr>
          <w:b/>
          <w:sz w:val="24"/>
        </w:rPr>
        <w:t>采购项目编号：</w:t>
      </w:r>
      <w:r>
        <w:rPr>
          <w:b/>
          <w:sz w:val="24"/>
        </w:rPr>
        <w:t>0809-2341GDG12204</w:t>
      </w:r>
    </w:p>
    <w:p>
      <w:pPr>
        <w:jc w:val="center"/>
      </w:pPr>
      <w:r>
        <w:rPr>
          <w:b/>
          <w:sz w:val="24"/>
        </w:rPr>
        <w:t>项目名称：</w:t>
      </w:r>
      <w:r>
        <w:rPr>
          <w:b/>
          <w:sz w:val="24"/>
        </w:rPr>
        <w:t>华南师范大学汕尾校区场馆楼宇通行门禁采购项目</w:t>
      </w:r>
    </w:p>
    <w:p>
      <w:pPr>
        <w:jc w:val="center"/>
      </w:pPr>
      <w:r>
        <w:rPr>
          <w:b/>
          <w:sz w:val="24"/>
        </w:rPr>
        <w:t>采购人：</w:t>
      </w:r>
      <w:r>
        <w:rPr>
          <w:b/>
          <w:sz w:val="24"/>
        </w:rPr>
        <w:t>华南师范大学</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华南师范大学</w:t>
      </w:r>
      <w:r>
        <w:rPr/>
        <w:t>的委托，采用</w:t>
      </w:r>
      <w:r>
        <w:rPr/>
        <w:t>公开招标</w:t>
      </w:r>
      <w:r>
        <w:rPr/>
        <w:t>方式组织采购</w:t>
      </w:r>
      <w:r>
        <w:rPr/>
        <w:t>华南师范大学汕尾校区场馆楼宇通行门禁采购项目</w:t>
      </w:r>
      <w:r>
        <w:rPr/>
        <w:t>。欢迎符合资格条件的国内供应商参加投标。</w:t>
      </w:r>
    </w:p>
    <w:p>
      <w:r>
        <w:rPr>
          <w:b/>
          <w:sz w:val="28"/>
        </w:rPr>
        <w:t>一.项目概述</w:t>
      </w:r>
    </w:p>
    <w:p>
      <w:r>
        <w:rPr>
          <w:b/>
          <w:sz w:val="24"/>
        </w:rPr>
        <w:t>1.名称与编号</w:t>
      </w:r>
    </w:p>
    <w:p>
      <w:pPr>
        <w:ind w:firstLine="480"/>
      </w:pPr>
      <w:r>
        <w:rPr/>
        <w:t>项目名称：</w:t>
      </w:r>
      <w:r>
        <w:rPr/>
        <w:t>华南师范大学汕尾校区场馆楼宇通行门禁采购项目</w:t>
      </w:r>
    </w:p>
    <w:p>
      <w:pPr>
        <w:ind w:firstLine="480"/>
      </w:pPr>
      <w:r>
        <w:rPr/>
        <w:t>采购计划编号：</w:t>
      </w:r>
      <w:r>
        <w:rPr/>
        <w:t>440001-2023-54282</w:t>
      </w:r>
    </w:p>
    <w:p>
      <w:pPr>
        <w:ind w:firstLine="480"/>
      </w:pPr>
      <w:r>
        <w:rPr/>
        <w:t>采购项目编号：</w:t>
      </w:r>
      <w:r>
        <w:rPr/>
        <w:t>0809-2341GDG12204</w:t>
      </w:r>
    </w:p>
    <w:p>
      <w:pPr>
        <w:ind w:firstLine="480"/>
      </w:pPr>
      <w:r>
        <w:rPr/>
        <w:t>采购方式：</w:t>
      </w:r>
      <w:r>
        <w:rPr/>
        <w:t>公开招标</w:t>
      </w:r>
    </w:p>
    <w:p>
      <w:pPr>
        <w:ind w:firstLine="480"/>
      </w:pPr>
      <w:r>
        <w:rPr/>
        <w:t>预算金额：</w:t>
      </w:r>
      <w:r>
        <w:rPr/>
        <w:t>1,475,100.00</w:t>
      </w:r>
      <w:r>
        <w:rPr/>
        <w:t>元</w:t>
      </w:r>
    </w:p>
    <w:p>
      <w:r>
        <w:rPr>
          <w:b/>
          <w:sz w:val="24"/>
        </w:rPr>
        <w:t>2.项目内容及需求情况（采购项目技术规格、参数及要求）</w:t>
      </w:r>
    </w:p>
    <w:p>
      <w:pPr>
        <w:ind w:firstLine="480"/>
      </w:pPr>
    </w:p>
    <w:p/>
    <w:p>
      <w:r>
        <w:rPr/>
        <w:t>采购包1(华南师范大学汕尾校区场馆楼宇通行门禁采购项目):</w:t>
      </w:r>
    </w:p>
    <w:p>
      <w:r>
        <w:rPr/>
        <w:t>采购包预算金额：1,475,100.00元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其他资源使用权</w:t>
            </w:r>
          </w:p>
        </w:tc>
        <w:tc>
          <w:tcPr>
            <w:tcW w:type="dxa" w:w="2052"/>
          </w:tcPr>
          <w:p>
            <w:r>
              <w:rPr/>
              <w:t>安装调试服务</w:t>
            </w:r>
          </w:p>
        </w:tc>
        <w:tc>
          <w:tcPr>
            <w:tcW w:type="dxa" w:w="977"/>
          </w:tcPr>
          <w:p>
            <w:r>
              <w:rPr/>
              <w:t>1.00(项)</w:t>
            </w:r>
          </w:p>
        </w:tc>
        <w:tc>
          <w:tcPr>
            <w:tcW w:type="dxa" w:w="977"/>
          </w:tcPr>
          <w:p>
            <w:r>
              <w:rPr/>
              <w:t>详见第二章</w:t>
            </w:r>
          </w:p>
        </w:tc>
        <w:tc>
          <w:tcPr>
            <w:tcW w:type="dxa" w:w="977"/>
          </w:tcPr>
          <w:p>
            <w:r>
              <w:rPr/>
              <w:t>200,000.00</w:t>
            </w:r>
          </w:p>
        </w:tc>
        <w:tc>
          <w:tcPr>
            <w:tcW w:type="dxa" w:w="977"/>
          </w:tcPr>
          <w:p>
            <w:r>
              <w:rPr/>
              <w:t>否</w:t>
            </w:r>
          </w:p>
        </w:tc>
      </w:tr>
      <w:tr>
        <w:tc>
          <w:tcPr>
            <w:tcW w:type="dxa" w:w="977"/>
          </w:tcPr>
          <w:p>
            <w:r>
              <w:rPr/>
              <w:t>1-2</w:t>
            </w:r>
          </w:p>
        </w:tc>
        <w:tc>
          <w:tcPr>
            <w:tcW w:type="dxa" w:w="1368"/>
          </w:tcPr>
          <w:p>
            <w:r>
              <w:rPr/>
              <w:t>其他终端设备</w:t>
            </w:r>
          </w:p>
        </w:tc>
        <w:tc>
          <w:tcPr>
            <w:tcW w:type="dxa" w:w="2052"/>
          </w:tcPr>
          <w:p>
            <w:r>
              <w:rPr/>
              <w:t>人脸门禁终端</w:t>
            </w:r>
          </w:p>
        </w:tc>
        <w:tc>
          <w:tcPr>
            <w:tcW w:type="dxa" w:w="977"/>
          </w:tcPr>
          <w:p>
            <w:r>
              <w:rPr/>
              <w:t>30.00(台)</w:t>
            </w:r>
          </w:p>
        </w:tc>
        <w:tc>
          <w:tcPr>
            <w:tcW w:type="dxa" w:w="977"/>
          </w:tcPr>
          <w:p>
            <w:r>
              <w:rPr/>
              <w:t>详见第二章</w:t>
            </w:r>
          </w:p>
        </w:tc>
        <w:tc>
          <w:tcPr>
            <w:tcW w:type="dxa" w:w="977"/>
          </w:tcPr>
          <w:p>
            <w:r>
              <w:rPr/>
              <w:t>94,500.00</w:t>
            </w:r>
          </w:p>
        </w:tc>
        <w:tc>
          <w:tcPr>
            <w:tcW w:type="dxa" w:w="977"/>
          </w:tcPr>
          <w:p>
            <w:r>
              <w:rPr/>
              <w:t>否</w:t>
            </w:r>
          </w:p>
        </w:tc>
      </w:tr>
      <w:tr>
        <w:tc>
          <w:tcPr>
            <w:tcW w:type="dxa" w:w="977"/>
          </w:tcPr>
          <w:p>
            <w:r>
              <w:rPr/>
              <w:t>1-3</w:t>
            </w:r>
          </w:p>
        </w:tc>
        <w:tc>
          <w:tcPr>
            <w:tcW w:type="dxa" w:w="1368"/>
          </w:tcPr>
          <w:p>
            <w:r>
              <w:rPr/>
              <w:t>应用软件</w:t>
            </w:r>
          </w:p>
        </w:tc>
        <w:tc>
          <w:tcPr>
            <w:tcW w:type="dxa" w:w="2052"/>
          </w:tcPr>
          <w:p>
            <w:r>
              <w:rPr/>
              <w:t>门禁系统改造</w:t>
            </w:r>
          </w:p>
        </w:tc>
        <w:tc>
          <w:tcPr>
            <w:tcW w:type="dxa" w:w="977"/>
          </w:tcPr>
          <w:p>
            <w:r>
              <w:rPr/>
              <w:t>1.00(套)</w:t>
            </w:r>
          </w:p>
        </w:tc>
        <w:tc>
          <w:tcPr>
            <w:tcW w:type="dxa" w:w="977"/>
          </w:tcPr>
          <w:p>
            <w:r>
              <w:rPr/>
              <w:t>详见第二章</w:t>
            </w:r>
          </w:p>
        </w:tc>
        <w:tc>
          <w:tcPr>
            <w:tcW w:type="dxa" w:w="977"/>
          </w:tcPr>
          <w:p>
            <w:r>
              <w:rPr/>
              <w:t>200,000.00</w:t>
            </w:r>
          </w:p>
        </w:tc>
        <w:tc>
          <w:tcPr>
            <w:tcW w:type="dxa" w:w="977"/>
          </w:tcPr>
          <w:p>
            <w:r>
              <w:rPr/>
              <w:t>否</w:t>
            </w:r>
          </w:p>
        </w:tc>
      </w:tr>
      <w:tr>
        <w:tc>
          <w:tcPr>
            <w:tcW w:type="dxa" w:w="977"/>
          </w:tcPr>
          <w:p>
            <w:r>
              <w:rPr/>
              <w:t>1-4</w:t>
            </w:r>
          </w:p>
        </w:tc>
        <w:tc>
          <w:tcPr>
            <w:tcW w:type="dxa" w:w="1368"/>
          </w:tcPr>
          <w:p>
            <w:r>
              <w:rPr/>
              <w:t>其他终端设备</w:t>
            </w:r>
          </w:p>
        </w:tc>
        <w:tc>
          <w:tcPr>
            <w:tcW w:type="dxa" w:w="2052"/>
          </w:tcPr>
          <w:p>
            <w:r>
              <w:rPr/>
              <w:t>人脸储物柜</w:t>
            </w:r>
          </w:p>
        </w:tc>
        <w:tc>
          <w:tcPr>
            <w:tcW w:type="dxa" w:w="977"/>
          </w:tcPr>
          <w:p>
            <w:r>
              <w:rPr/>
              <w:t>10.00(台)</w:t>
            </w:r>
          </w:p>
        </w:tc>
        <w:tc>
          <w:tcPr>
            <w:tcW w:type="dxa" w:w="977"/>
          </w:tcPr>
          <w:p>
            <w:r>
              <w:rPr/>
              <w:t>详见第二章</w:t>
            </w:r>
          </w:p>
        </w:tc>
        <w:tc>
          <w:tcPr>
            <w:tcW w:type="dxa" w:w="977"/>
          </w:tcPr>
          <w:p>
            <w:r>
              <w:rPr/>
              <w:t>150,000.00</w:t>
            </w:r>
          </w:p>
        </w:tc>
        <w:tc>
          <w:tcPr>
            <w:tcW w:type="dxa" w:w="977"/>
          </w:tcPr>
          <w:p>
            <w:r>
              <w:rPr/>
              <w:t>否</w:t>
            </w:r>
          </w:p>
        </w:tc>
      </w:tr>
      <w:tr>
        <w:tc>
          <w:tcPr>
            <w:tcW w:type="dxa" w:w="977"/>
          </w:tcPr>
          <w:p>
            <w:r>
              <w:rPr/>
              <w:t>1-5</w:t>
            </w:r>
          </w:p>
        </w:tc>
        <w:tc>
          <w:tcPr>
            <w:tcW w:type="dxa" w:w="1368"/>
          </w:tcPr>
          <w:p>
            <w:r>
              <w:rPr/>
              <w:t>交换设备</w:t>
            </w:r>
          </w:p>
        </w:tc>
        <w:tc>
          <w:tcPr>
            <w:tcW w:type="dxa" w:w="2052"/>
          </w:tcPr>
          <w:p>
            <w:r>
              <w:rPr/>
              <w:t>非网管交换机</w:t>
            </w:r>
          </w:p>
        </w:tc>
        <w:tc>
          <w:tcPr>
            <w:tcW w:type="dxa" w:w="977"/>
          </w:tcPr>
          <w:p>
            <w:r>
              <w:rPr/>
              <w:t>4.00(台)</w:t>
            </w:r>
          </w:p>
        </w:tc>
        <w:tc>
          <w:tcPr>
            <w:tcW w:type="dxa" w:w="977"/>
          </w:tcPr>
          <w:p>
            <w:r>
              <w:rPr/>
              <w:t>详见第二章</w:t>
            </w:r>
          </w:p>
        </w:tc>
        <w:tc>
          <w:tcPr>
            <w:tcW w:type="dxa" w:w="977"/>
          </w:tcPr>
          <w:p>
            <w:r>
              <w:rPr/>
              <w:t>2,000.00</w:t>
            </w:r>
          </w:p>
        </w:tc>
        <w:tc>
          <w:tcPr>
            <w:tcW w:type="dxa" w:w="977"/>
          </w:tcPr>
          <w:p>
            <w:r>
              <w:rPr/>
              <w:t>否</w:t>
            </w:r>
          </w:p>
        </w:tc>
      </w:tr>
      <w:tr>
        <w:tc>
          <w:tcPr>
            <w:tcW w:type="dxa" w:w="977"/>
          </w:tcPr>
          <w:p>
            <w:r>
              <w:rPr/>
              <w:t>1-6</w:t>
            </w:r>
          </w:p>
        </w:tc>
        <w:tc>
          <w:tcPr>
            <w:tcW w:type="dxa" w:w="1368"/>
          </w:tcPr>
          <w:p>
            <w:r>
              <w:rPr/>
              <w:t>其他网络设备</w:t>
            </w:r>
          </w:p>
        </w:tc>
        <w:tc>
          <w:tcPr>
            <w:tcW w:type="dxa" w:w="2052"/>
          </w:tcPr>
          <w:p>
            <w:r>
              <w:rPr/>
              <w:t>网络摄像机</w:t>
            </w:r>
          </w:p>
        </w:tc>
        <w:tc>
          <w:tcPr>
            <w:tcW w:type="dxa" w:w="977"/>
          </w:tcPr>
          <w:p>
            <w:r>
              <w:rPr/>
              <w:t>36.00(台)</w:t>
            </w:r>
          </w:p>
        </w:tc>
        <w:tc>
          <w:tcPr>
            <w:tcW w:type="dxa" w:w="977"/>
          </w:tcPr>
          <w:p>
            <w:r>
              <w:rPr/>
              <w:t>详见第二章</w:t>
            </w:r>
          </w:p>
        </w:tc>
        <w:tc>
          <w:tcPr>
            <w:tcW w:type="dxa" w:w="977"/>
          </w:tcPr>
          <w:p>
            <w:r>
              <w:rPr/>
              <w:t>36,000.00</w:t>
            </w:r>
          </w:p>
        </w:tc>
        <w:tc>
          <w:tcPr>
            <w:tcW w:type="dxa" w:w="977"/>
          </w:tcPr>
          <w:p>
            <w:r>
              <w:rPr/>
              <w:t>否</w:t>
            </w:r>
          </w:p>
        </w:tc>
      </w:tr>
      <w:tr>
        <w:tc>
          <w:tcPr>
            <w:tcW w:type="dxa" w:w="977"/>
          </w:tcPr>
          <w:p>
            <w:r>
              <w:rPr/>
              <w:t>1-7</w:t>
            </w:r>
          </w:p>
        </w:tc>
        <w:tc>
          <w:tcPr>
            <w:tcW w:type="dxa" w:w="1368"/>
          </w:tcPr>
          <w:p>
            <w:r>
              <w:rPr/>
              <w:t>其他终端设备</w:t>
            </w:r>
          </w:p>
        </w:tc>
        <w:tc>
          <w:tcPr>
            <w:tcW w:type="dxa" w:w="2052"/>
          </w:tcPr>
          <w:p>
            <w:r>
              <w:rPr/>
              <w:t>单机芯翼闸</w:t>
            </w:r>
          </w:p>
        </w:tc>
        <w:tc>
          <w:tcPr>
            <w:tcW w:type="dxa" w:w="977"/>
          </w:tcPr>
          <w:p>
            <w:r>
              <w:rPr/>
              <w:t>8.00(台)</w:t>
            </w:r>
          </w:p>
        </w:tc>
        <w:tc>
          <w:tcPr>
            <w:tcW w:type="dxa" w:w="977"/>
          </w:tcPr>
          <w:p>
            <w:r>
              <w:rPr/>
              <w:t>详见第二章</w:t>
            </w:r>
          </w:p>
        </w:tc>
        <w:tc>
          <w:tcPr>
            <w:tcW w:type="dxa" w:w="977"/>
          </w:tcPr>
          <w:p>
            <w:r>
              <w:rPr/>
              <w:t>124,000.00</w:t>
            </w:r>
          </w:p>
        </w:tc>
        <w:tc>
          <w:tcPr>
            <w:tcW w:type="dxa" w:w="977"/>
          </w:tcPr>
          <w:p>
            <w:r>
              <w:rPr/>
              <w:t>否</w:t>
            </w:r>
          </w:p>
        </w:tc>
      </w:tr>
      <w:tr>
        <w:tc>
          <w:tcPr>
            <w:tcW w:type="dxa" w:w="977"/>
          </w:tcPr>
          <w:p>
            <w:r>
              <w:rPr/>
              <w:t>1-8</w:t>
            </w:r>
          </w:p>
        </w:tc>
        <w:tc>
          <w:tcPr>
            <w:tcW w:type="dxa" w:w="1368"/>
          </w:tcPr>
          <w:p>
            <w:r>
              <w:rPr/>
              <w:t>交换设备</w:t>
            </w:r>
          </w:p>
        </w:tc>
        <w:tc>
          <w:tcPr>
            <w:tcW w:type="dxa" w:w="2052"/>
          </w:tcPr>
          <w:p>
            <w:r>
              <w:rPr/>
              <w:t>接入交换机</w:t>
            </w:r>
          </w:p>
        </w:tc>
        <w:tc>
          <w:tcPr>
            <w:tcW w:type="dxa" w:w="977"/>
          </w:tcPr>
          <w:p>
            <w:r>
              <w:rPr/>
              <w:t>9.00(台)</w:t>
            </w:r>
          </w:p>
        </w:tc>
        <w:tc>
          <w:tcPr>
            <w:tcW w:type="dxa" w:w="977"/>
          </w:tcPr>
          <w:p>
            <w:r>
              <w:rPr/>
              <w:t>详见第二章</w:t>
            </w:r>
          </w:p>
        </w:tc>
        <w:tc>
          <w:tcPr>
            <w:tcW w:type="dxa" w:w="977"/>
          </w:tcPr>
          <w:p>
            <w:r>
              <w:rPr/>
              <w:t>34,200.00</w:t>
            </w:r>
          </w:p>
        </w:tc>
        <w:tc>
          <w:tcPr>
            <w:tcW w:type="dxa" w:w="977"/>
          </w:tcPr>
          <w:p>
            <w:r>
              <w:rPr/>
              <w:t>否</w:t>
            </w:r>
          </w:p>
        </w:tc>
      </w:tr>
      <w:tr>
        <w:tc>
          <w:tcPr>
            <w:tcW w:type="dxa" w:w="977"/>
          </w:tcPr>
          <w:p>
            <w:r>
              <w:rPr/>
              <w:t>1-9</w:t>
            </w:r>
          </w:p>
        </w:tc>
        <w:tc>
          <w:tcPr>
            <w:tcW w:type="dxa" w:w="1368"/>
          </w:tcPr>
          <w:p>
            <w:r>
              <w:rPr/>
              <w:t>其他终端设备</w:t>
            </w:r>
          </w:p>
        </w:tc>
        <w:tc>
          <w:tcPr>
            <w:tcW w:type="dxa" w:w="2052"/>
          </w:tcPr>
          <w:p>
            <w:r>
              <w:rPr/>
              <w:t>闸机人脸终端</w:t>
            </w:r>
          </w:p>
        </w:tc>
        <w:tc>
          <w:tcPr>
            <w:tcW w:type="dxa" w:w="977"/>
          </w:tcPr>
          <w:p>
            <w:r>
              <w:rPr/>
              <w:t>24.00(台)</w:t>
            </w:r>
          </w:p>
        </w:tc>
        <w:tc>
          <w:tcPr>
            <w:tcW w:type="dxa" w:w="977"/>
          </w:tcPr>
          <w:p>
            <w:r>
              <w:rPr/>
              <w:t>详见第二章</w:t>
            </w:r>
          </w:p>
        </w:tc>
        <w:tc>
          <w:tcPr>
            <w:tcW w:type="dxa" w:w="977"/>
          </w:tcPr>
          <w:p>
            <w:r>
              <w:rPr/>
              <w:t>134,400.00</w:t>
            </w:r>
          </w:p>
        </w:tc>
        <w:tc>
          <w:tcPr>
            <w:tcW w:type="dxa" w:w="977"/>
          </w:tcPr>
          <w:p>
            <w:r>
              <w:rPr/>
              <w:t>否</w:t>
            </w:r>
          </w:p>
        </w:tc>
      </w:tr>
      <w:tr>
        <w:tc>
          <w:tcPr>
            <w:tcW w:type="dxa" w:w="977"/>
          </w:tcPr>
          <w:p>
            <w:r>
              <w:rPr/>
              <w:t>1-10</w:t>
            </w:r>
          </w:p>
        </w:tc>
        <w:tc>
          <w:tcPr>
            <w:tcW w:type="dxa" w:w="1368"/>
          </w:tcPr>
          <w:p>
            <w:r>
              <w:rPr/>
              <w:t>其他终端设备</w:t>
            </w:r>
          </w:p>
        </w:tc>
        <w:tc>
          <w:tcPr>
            <w:tcW w:type="dxa" w:w="2052"/>
          </w:tcPr>
          <w:p>
            <w:r>
              <w:rPr/>
              <w:t>视频存储终端</w:t>
            </w:r>
          </w:p>
        </w:tc>
        <w:tc>
          <w:tcPr>
            <w:tcW w:type="dxa" w:w="977"/>
          </w:tcPr>
          <w:p>
            <w:r>
              <w:rPr/>
              <w:t>1.00(台)</w:t>
            </w:r>
          </w:p>
        </w:tc>
        <w:tc>
          <w:tcPr>
            <w:tcW w:type="dxa" w:w="977"/>
          </w:tcPr>
          <w:p>
            <w:r>
              <w:rPr/>
              <w:t>详见第二章</w:t>
            </w:r>
          </w:p>
        </w:tc>
        <w:tc>
          <w:tcPr>
            <w:tcW w:type="dxa" w:w="977"/>
          </w:tcPr>
          <w:p>
            <w:r>
              <w:rPr/>
              <w:t>260,000.00</w:t>
            </w:r>
          </w:p>
        </w:tc>
        <w:tc>
          <w:tcPr>
            <w:tcW w:type="dxa" w:w="977"/>
          </w:tcPr>
          <w:p>
            <w:r>
              <w:rPr/>
              <w:t>否</w:t>
            </w:r>
          </w:p>
        </w:tc>
      </w:tr>
      <w:tr>
        <w:tc>
          <w:tcPr>
            <w:tcW w:type="dxa" w:w="977"/>
          </w:tcPr>
          <w:p>
            <w:r>
              <w:rPr/>
              <w:t>1-11</w:t>
            </w:r>
          </w:p>
        </w:tc>
        <w:tc>
          <w:tcPr>
            <w:tcW w:type="dxa" w:w="1368"/>
          </w:tcPr>
          <w:p>
            <w:r>
              <w:rPr/>
              <w:t>其他终端设备</w:t>
            </w:r>
          </w:p>
        </w:tc>
        <w:tc>
          <w:tcPr>
            <w:tcW w:type="dxa" w:w="2052"/>
          </w:tcPr>
          <w:p>
            <w:r>
              <w:rPr/>
              <w:t>读卡器模块</w:t>
            </w:r>
          </w:p>
        </w:tc>
        <w:tc>
          <w:tcPr>
            <w:tcW w:type="dxa" w:w="977"/>
          </w:tcPr>
          <w:p>
            <w:r>
              <w:rPr/>
              <w:t>24.00(台)</w:t>
            </w:r>
          </w:p>
        </w:tc>
        <w:tc>
          <w:tcPr>
            <w:tcW w:type="dxa" w:w="977"/>
          </w:tcPr>
          <w:p>
            <w:r>
              <w:rPr/>
              <w:t>详见第二章</w:t>
            </w:r>
          </w:p>
        </w:tc>
        <w:tc>
          <w:tcPr>
            <w:tcW w:type="dxa" w:w="977"/>
          </w:tcPr>
          <w:p>
            <w:r>
              <w:rPr/>
              <w:t>24,000.00</w:t>
            </w:r>
          </w:p>
        </w:tc>
        <w:tc>
          <w:tcPr>
            <w:tcW w:type="dxa" w:w="977"/>
          </w:tcPr>
          <w:p>
            <w:r>
              <w:rPr/>
              <w:t>否</w:t>
            </w:r>
          </w:p>
        </w:tc>
      </w:tr>
      <w:tr>
        <w:tc>
          <w:tcPr>
            <w:tcW w:type="dxa" w:w="977"/>
          </w:tcPr>
          <w:p>
            <w:r>
              <w:rPr/>
              <w:t>1-12</w:t>
            </w:r>
          </w:p>
        </w:tc>
        <w:tc>
          <w:tcPr>
            <w:tcW w:type="dxa" w:w="1368"/>
          </w:tcPr>
          <w:p>
            <w:r>
              <w:rPr/>
              <w:t>终端机</w:t>
            </w:r>
          </w:p>
        </w:tc>
        <w:tc>
          <w:tcPr>
            <w:tcW w:type="dxa" w:w="2052"/>
          </w:tcPr>
          <w:p>
            <w:r>
              <w:rPr/>
              <w:t>显示大屏</w:t>
            </w:r>
          </w:p>
        </w:tc>
        <w:tc>
          <w:tcPr>
            <w:tcW w:type="dxa" w:w="977"/>
          </w:tcPr>
          <w:p>
            <w:r>
              <w:rPr/>
              <w:t>1.00(台)</w:t>
            </w:r>
          </w:p>
        </w:tc>
        <w:tc>
          <w:tcPr>
            <w:tcW w:type="dxa" w:w="977"/>
          </w:tcPr>
          <w:p>
            <w:r>
              <w:rPr/>
              <w:t>详见第二章</w:t>
            </w:r>
          </w:p>
        </w:tc>
        <w:tc>
          <w:tcPr>
            <w:tcW w:type="dxa" w:w="977"/>
          </w:tcPr>
          <w:p>
            <w:r>
              <w:rPr/>
              <w:t>4,000.00</w:t>
            </w:r>
          </w:p>
        </w:tc>
        <w:tc>
          <w:tcPr>
            <w:tcW w:type="dxa" w:w="977"/>
          </w:tcPr>
          <w:p>
            <w:r>
              <w:rPr/>
              <w:t>否</w:t>
            </w:r>
          </w:p>
        </w:tc>
      </w:tr>
      <w:tr>
        <w:tc>
          <w:tcPr>
            <w:tcW w:type="dxa" w:w="977"/>
          </w:tcPr>
          <w:p>
            <w:r>
              <w:rPr/>
              <w:t>1-13</w:t>
            </w:r>
          </w:p>
        </w:tc>
        <w:tc>
          <w:tcPr>
            <w:tcW w:type="dxa" w:w="1368"/>
          </w:tcPr>
          <w:p>
            <w:r>
              <w:rPr/>
              <w:t>其他终端设备</w:t>
            </w:r>
          </w:p>
        </w:tc>
        <w:tc>
          <w:tcPr>
            <w:tcW w:type="dxa" w:w="2052"/>
          </w:tcPr>
          <w:p>
            <w:r>
              <w:rPr/>
              <w:t>双机芯翼闸</w:t>
            </w:r>
          </w:p>
        </w:tc>
        <w:tc>
          <w:tcPr>
            <w:tcW w:type="dxa" w:w="977"/>
          </w:tcPr>
          <w:p>
            <w:r>
              <w:rPr/>
              <w:t>8.00(台)</w:t>
            </w:r>
          </w:p>
        </w:tc>
        <w:tc>
          <w:tcPr>
            <w:tcW w:type="dxa" w:w="977"/>
          </w:tcPr>
          <w:p>
            <w:r>
              <w:rPr/>
              <w:t>详见第二章</w:t>
            </w:r>
          </w:p>
        </w:tc>
        <w:tc>
          <w:tcPr>
            <w:tcW w:type="dxa" w:w="977"/>
          </w:tcPr>
          <w:p>
            <w:r>
              <w:rPr/>
              <w:t>212,000.00</w:t>
            </w:r>
          </w:p>
        </w:tc>
        <w:tc>
          <w:tcPr>
            <w:tcW w:type="dxa" w:w="977"/>
          </w:tcPr>
          <w:p>
            <w:r>
              <w:rPr/>
              <w:t>否</w:t>
            </w:r>
          </w:p>
        </w:tc>
      </w:tr>
    </w:tbl>
    <w:p/>
    <w:p>
      <w:r>
        <w:rPr/>
        <w:t>本采购包不接受联合体投标</w:t>
      </w:r>
    </w:p>
    <w:p/>
    <w:p>
      <w:r>
        <w:rPr/>
        <w:t>合同履行期限：合同签订后30天内完成供货、安装、调试及交付使用。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2）有依法缴纳税收和社会保障资金的良好记录：提供投标截止日前12个月内任意1个月依法缴纳税收和社会保障资金的相关材料。如依法免税或不需要缴纳社会保障资金的，提供相应证明材料。</w:t>
      </w:r>
    </w:p>
    <w:p/>
    <w:p>
      <w:r>
        <w:rPr/>
        <w:t>3）具有良好的商业信誉和健全的财务会计制度：提供2022年度财务状况报告或基本开户行（或基本存款账户行）出具的资信证明，或最近一期财务报表（适用在上一年度或本财务年度成立的法人或其他组织），或人民银行出具的个人信用报告（适用于自然人）。</w:t>
      </w:r>
    </w:p>
    <w:p/>
    <w:p>
      <w:r>
        <w:rPr/>
        <w:t>4）履行合同所必需的设备和专业技术能力：提供承诺函（格式自拟）。</w:t>
      </w:r>
    </w:p>
    <w:p/>
    <w:p>
      <w:r>
        <w:rPr/>
        <w:t>5）参加采购活动前3年内，在经营活动中没有重大违法记录：重大违法记录，是指供应商因违法经营受到刑事处罚或者责令停产停业、吊销许可证或者执照、较大数额罚款等行政处罚（较大数额罚款按照《财政部关于＜中华人民共和国政府采购法实施条例＞第十九条第一款“较大数额罚款”具体适用问题的意见》（财库〔2022〕3号）执行）。按投标（响应）文件格式和相关承诺要求内容提供《投标函》。</w:t>
      </w:r>
    </w:p>
    <w:p/>
    <w:p>
      <w:r>
        <w:rPr>
          <w:b/>
          <w:sz w:val="24"/>
        </w:rPr>
        <w:t>2.落实政府采购政策需满足的资格要求：</w:t>
      </w:r>
    </w:p>
    <w:p>
      <w:pPr>
        <w:ind w:firstLine="480"/>
      </w:pPr>
    </w:p>
    <w:p>
      <w:pPr>
        <w:jc w:val="left"/>
      </w:pPr>
    </w:p>
    <w:p>
      <w:r>
        <w:rPr/>
        <w:t>采购包1（华南师范大学汕尾校区场馆楼宇通行门禁采购项目）：</w:t>
      </w:r>
      <w:r>
        <w:rPr/>
        <w:t>本项目预留采购份额无法确保充分供应、充分竞争，或者存在可能影响政府采购目标实现的情形，不属于专门面向中小企业采购的项目。</w:t>
      </w:r>
    </w:p>
    <w:p/>
    <w:p>
      <w:r>
        <w:rPr>
          <w:b/>
          <w:sz w:val="24"/>
        </w:rPr>
        <w:t>3.本项目特定的资格要求：</w:t>
      </w:r>
    </w:p>
    <w:p>
      <w:pPr>
        <w:ind w:firstLine="480"/>
      </w:pPr>
    </w:p>
    <w:p/>
    <w:p>
      <w:r>
        <w:rPr/>
        <w:t>采购包1（华南师范大学汕尾校区场馆楼宇通行门禁采购项目）：</w:t>
      </w:r>
    </w:p>
    <w:p/>
    <w:p>
      <w:r>
        <w:rPr/>
        <w:t>1)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投标（响应）文件格式和相关承诺要求内容提供《投标函》。</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广东华伦招标有限公司（https://www.gdhualun.com.cn/）</w:t>
      </w:r>
    </w:p>
    <w:p>
      <w:r>
        <w:rPr>
          <w:b/>
          <w:sz w:val="28"/>
        </w:rPr>
        <w:t>六.本项目联系方式：</w:t>
      </w:r>
    </w:p>
    <w:p>
      <w:r>
        <w:rPr>
          <w:b/>
          <w:sz w:val="24"/>
        </w:rPr>
        <w:t>1.采购人信息</w:t>
      </w:r>
    </w:p>
    <w:p>
      <w:pPr>
        <w:ind w:firstLine="480"/>
      </w:pPr>
      <w:r>
        <w:rPr/>
        <w:t>名称：</w:t>
      </w:r>
      <w:r>
        <w:rPr/>
        <w:t>华南师范大学</w:t>
      </w:r>
    </w:p>
    <w:p>
      <w:pPr>
        <w:ind w:firstLine="480"/>
      </w:pPr>
      <w:r>
        <w:rPr/>
        <w:t>地址：</w:t>
      </w:r>
      <w:r>
        <w:rPr/>
        <w:t>广州市天河区中山大道西55号</w:t>
      </w:r>
    </w:p>
    <w:p>
      <w:pPr>
        <w:ind w:firstLine="480"/>
      </w:pPr>
      <w:r>
        <w:rPr/>
        <w:t>联系方式：</w:t>
      </w:r>
      <w:r>
        <w:rPr/>
        <w:t>020-85210853</w:t>
      </w:r>
    </w:p>
    <w:p>
      <w:r>
        <w:rPr>
          <w:b/>
          <w:sz w:val="24"/>
        </w:rPr>
        <w:t>2.采购代理机构信息</w:t>
      </w:r>
    </w:p>
    <w:p>
      <w:pPr>
        <w:ind w:firstLine="480"/>
      </w:pPr>
      <w:r>
        <w:rPr/>
        <w:t>名称：</w:t>
      </w:r>
      <w:r>
        <w:rPr/>
        <w:t>广东华伦招标有限公司</w:t>
      </w:r>
    </w:p>
    <w:p>
      <w:pPr>
        <w:ind w:firstLine="480"/>
      </w:pPr>
      <w:r>
        <w:rPr/>
        <w:t>地址：</w:t>
      </w:r>
      <w:r>
        <w:rPr/>
        <w:t>广州市越秀区广仁路一号广仁大厦七楼</w:t>
      </w:r>
    </w:p>
    <w:p>
      <w:pPr>
        <w:ind w:firstLine="480"/>
      </w:pPr>
      <w:r>
        <w:rPr/>
        <w:t>联系方式：</w:t>
      </w:r>
      <w:r>
        <w:rPr/>
        <w:t>020-83172166-828</w:t>
      </w:r>
    </w:p>
    <w:p>
      <w:r>
        <w:rPr>
          <w:b/>
          <w:sz w:val="24"/>
        </w:rPr>
        <w:t>3.项目联系方式</w:t>
      </w:r>
    </w:p>
    <w:p>
      <w:pPr>
        <w:ind w:firstLine="480"/>
      </w:pPr>
      <w:r>
        <w:rPr/>
        <w:t>项目联系人：</w:t>
      </w:r>
      <w:r>
        <w:rPr/>
        <w:t>陈小姐</w:t>
      </w:r>
    </w:p>
    <w:p>
      <w:pPr>
        <w:ind w:firstLine="480"/>
      </w:pPr>
      <w:r>
        <w:rPr/>
        <w:t>电话：</w:t>
      </w:r>
      <w:r>
        <w:rPr/>
        <w:t>020-83172166-828</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381"/>
        <w:jc w:val="both"/>
      </w:pPr>
      <w:r>
        <w:rPr>
          <w:b/>
          <w:sz w:val="19"/>
        </w:rPr>
        <w:t>（一）项目背景</w:t>
      </w:r>
    </w:p>
    <w:p>
      <w:pPr>
        <w:ind w:firstLine="380"/>
        <w:jc w:val="both"/>
      </w:pPr>
      <w:r>
        <w:rPr>
          <w:sz w:val="19"/>
        </w:rPr>
        <w:t>“校园安全”一直受到国家及全社会的高度重视，加强学校安全防范工作是全面贯彻党的教育方针，保障学生健康成长、全面发展的前提和基础，关系广大师生的人身安全，事关千万家庭幸福和社会和谐稳定。2021年召开的全国校园安全专项整顿会议中强调，增强“四个意识”、坚定“四个自信”、做到“两个维护”，全面排查校园安全隐患，如期完成专项整顿任务，切实维护师生健康、校园安全、社会稳定。要针对校园进行专项整顿，对各级各类学校和幼儿园全覆盖，健全校园安防体系，切实维护师生人身财产安全和校园安全稳定。</w:t>
      </w:r>
    </w:p>
    <w:p>
      <w:pPr>
        <w:ind w:firstLine="380"/>
        <w:jc w:val="both"/>
      </w:pPr>
      <w:r>
        <w:rPr>
          <w:sz w:val="19"/>
        </w:rPr>
        <w:t>对此，省公安厅、省教育厅主导，广东省公共安全技术防范协会组织修订发布了广东省地方标准《普通高等学校安全技术防范要求》</w:t>
      </w:r>
      <w:r>
        <w:rPr>
          <w:sz w:val="19"/>
        </w:rPr>
        <w:t>DB44/T 702-2022已于2022年4月11日开始实施。该要求中，明确了如图书馆和办公、教学、科研场所为高校安全技术防范的重点重点公共区域，需加以安装防范设施，通过人防+技防的手段，从而保障学校师生以及学校资产安全。</w:t>
      </w:r>
    </w:p>
    <w:p>
      <w:pPr>
        <w:ind w:firstLine="381"/>
        <w:jc w:val="both"/>
      </w:pPr>
      <w:r>
        <w:rPr>
          <w:b/>
          <w:sz w:val="19"/>
        </w:rPr>
        <w:t>（二）总体要求</w:t>
      </w:r>
      <w:r>
        <w:rPr>
          <w:b/>
          <w:sz w:val="19"/>
        </w:rPr>
        <w:t>说明</w:t>
      </w:r>
    </w:p>
    <w:p>
      <w:pPr>
        <w:ind w:firstLine="380"/>
      </w:pPr>
      <w:r>
        <w:rPr>
          <w:sz w:val="19"/>
        </w:rPr>
        <w:t>1</w:t>
      </w:r>
      <w:r>
        <w:rPr>
          <w:sz w:val="19"/>
        </w:rPr>
        <w:t>、项目名称：</w:t>
      </w:r>
      <w:r>
        <w:rPr>
          <w:sz w:val="19"/>
        </w:rPr>
        <w:t>华南师范大学汕尾校区场馆楼宇通行门禁采购项目</w:t>
      </w:r>
      <w:r>
        <w:rPr>
          <w:sz w:val="19"/>
        </w:rPr>
        <w:t>。</w:t>
      </w:r>
    </w:p>
    <w:p>
      <w:pPr>
        <w:ind w:firstLine="380"/>
        <w:jc w:val="both"/>
      </w:pPr>
      <w:r>
        <w:rPr>
          <w:sz w:val="19"/>
        </w:rPr>
        <w:t>2、</w:t>
      </w:r>
      <w:r>
        <w:rPr>
          <w:sz w:val="19"/>
        </w:rPr>
        <w:t>项目属性：本项目为货物类政府采购项目</w:t>
      </w:r>
      <w:r>
        <w:rPr>
          <w:sz w:val="19"/>
        </w:rPr>
        <w:t>，只允许采购本国产品。</w:t>
      </w:r>
    </w:p>
    <w:p>
      <w:pPr>
        <w:ind w:firstLine="380"/>
        <w:jc w:val="both"/>
      </w:pPr>
      <w:r>
        <w:rPr>
          <w:sz w:val="19"/>
        </w:rPr>
        <w:t>3、</w:t>
      </w:r>
      <w:r>
        <w:rPr>
          <w:sz w:val="19"/>
        </w:rPr>
        <w:t>根据《关于印发中小企业划型标准规定的通知》（工信部联企业〔</w:t>
      </w:r>
      <w:r>
        <w:rPr>
          <w:sz w:val="19"/>
        </w:rPr>
        <w:t>2011〕300号）规定，本项目采购标的对应的中小企业划分标准所属行业为：工业。</w:t>
      </w:r>
    </w:p>
    <w:p>
      <w:pPr>
        <w:ind w:firstLine="380"/>
        <w:jc w:val="both"/>
      </w:pPr>
      <w:r>
        <w:rPr>
          <w:sz w:val="19"/>
        </w:rPr>
        <w:t>4、</w:t>
      </w:r>
      <w:r>
        <w:rPr>
          <w:sz w:val="19"/>
        </w:rPr>
        <w:t>本项目不专门面向中小企业采购的原因：预留采购份额无法确保充分供应、充分竞争，或者存在可能影响政府采购目标实现的情形。</w:t>
      </w:r>
    </w:p>
    <w:p>
      <w:pPr>
        <w:ind w:firstLine="380"/>
        <w:jc w:val="both"/>
      </w:pPr>
      <w:r>
        <w:rPr>
          <w:sz w:val="19"/>
        </w:rPr>
        <w:t>5、</w:t>
      </w:r>
      <w:r>
        <w:rPr>
          <w:sz w:val="19"/>
        </w:rPr>
        <w:t>投标人必须对</w:t>
      </w:r>
      <w:r>
        <w:rPr>
          <w:sz w:val="19"/>
        </w:rPr>
        <w:t>本项目的</w:t>
      </w:r>
      <w:r>
        <w:rPr>
          <w:sz w:val="19"/>
        </w:rPr>
        <w:t>所有采购内容或服务进行整体响应，任何只对</w:t>
      </w:r>
      <w:r>
        <w:rPr>
          <w:sz w:val="19"/>
        </w:rPr>
        <w:t>其中</w:t>
      </w:r>
      <w:r>
        <w:rPr>
          <w:sz w:val="19"/>
        </w:rPr>
        <w:t>部分内容进行响应都被视为无效</w:t>
      </w:r>
      <w:r>
        <w:rPr>
          <w:sz w:val="19"/>
        </w:rPr>
        <w:t>投标</w:t>
      </w:r>
      <w:r>
        <w:rPr>
          <w:sz w:val="19"/>
        </w:rPr>
        <w:t>。</w:t>
      </w:r>
    </w:p>
    <w:p>
      <w:pPr>
        <w:ind w:firstLine="380"/>
        <w:jc w:val="both"/>
      </w:pPr>
      <w:r>
        <w:rPr>
          <w:sz w:val="19"/>
        </w:rPr>
        <w:t>6、</w:t>
      </w:r>
      <w:r>
        <w:rPr>
          <w:sz w:val="19"/>
        </w:rPr>
        <w:t>需求书中加注</w:t>
      </w:r>
      <w:r>
        <w:rPr>
          <w:sz w:val="19"/>
        </w:rPr>
        <w:t>“</w:t>
      </w:r>
      <w:r>
        <w:rPr>
          <w:sz w:val="19"/>
        </w:rPr>
        <w:t>★</w:t>
      </w:r>
      <w:r>
        <w:rPr>
          <w:sz w:val="19"/>
        </w:rPr>
        <w:t>”</w:t>
      </w:r>
      <w:r>
        <w:rPr>
          <w:sz w:val="19"/>
        </w:rPr>
        <w:t>的条款均被视为不可偏离条款，投标人要特别加以注意，必须对此响应并完全满足或优于这些条款，否则若有一项加注</w:t>
      </w:r>
      <w:r>
        <w:rPr>
          <w:sz w:val="19"/>
        </w:rPr>
        <w:t>“</w:t>
      </w:r>
      <w:r>
        <w:rPr>
          <w:sz w:val="19"/>
        </w:rPr>
        <w:t>★</w:t>
      </w:r>
      <w:r>
        <w:rPr>
          <w:sz w:val="19"/>
        </w:rPr>
        <w:t>”</w:t>
      </w:r>
      <w:r>
        <w:rPr>
          <w:sz w:val="19"/>
        </w:rPr>
        <w:t>的条款未响应或不满足，</w:t>
      </w:r>
      <w:r>
        <w:rPr>
          <w:sz w:val="19"/>
        </w:rPr>
        <w:t>投标</w:t>
      </w:r>
      <w:r>
        <w:rPr>
          <w:sz w:val="19"/>
        </w:rPr>
        <w:t>都将被视为无效</w:t>
      </w:r>
      <w:r>
        <w:rPr>
          <w:sz w:val="19"/>
        </w:rPr>
        <w:t>投标</w:t>
      </w:r>
      <w:r>
        <w:rPr>
          <w:sz w:val="19"/>
        </w:rPr>
        <w:t>。打</w:t>
      </w:r>
      <w:r>
        <w:rPr>
          <w:sz w:val="19"/>
        </w:rPr>
        <w:t>“</w:t>
      </w:r>
      <w:r>
        <w:rPr>
          <w:sz w:val="19"/>
        </w:rPr>
        <w:t>▲</w:t>
      </w:r>
      <w:r>
        <w:rPr>
          <w:sz w:val="19"/>
        </w:rPr>
        <w:t>”</w:t>
      </w:r>
      <w:r>
        <w:rPr>
          <w:sz w:val="19"/>
        </w:rPr>
        <w:t>号条款为重要</w:t>
      </w:r>
      <w:r>
        <w:rPr>
          <w:sz w:val="19"/>
        </w:rPr>
        <w:t>条款</w:t>
      </w:r>
      <w:r>
        <w:rPr>
          <w:sz w:val="19"/>
        </w:rPr>
        <w:t>（如有），若有部分</w:t>
      </w:r>
      <w:r>
        <w:rPr>
          <w:sz w:val="19"/>
        </w:rPr>
        <w:t>“</w:t>
      </w:r>
      <w:r>
        <w:rPr>
          <w:sz w:val="19"/>
        </w:rPr>
        <w:t>▲</w:t>
      </w:r>
      <w:r>
        <w:rPr>
          <w:sz w:val="19"/>
        </w:rPr>
        <w:t>”</w:t>
      </w:r>
      <w:r>
        <w:rPr>
          <w:sz w:val="19"/>
        </w:rPr>
        <w:t>条款未响应或不满足，将根据评审要求影响其得分，但不作为无效投标条款。</w:t>
      </w:r>
    </w:p>
    <w:p>
      <w:pPr>
        <w:ind w:firstLine="380"/>
        <w:jc w:val="both"/>
      </w:pPr>
      <w:r>
        <w:rPr>
          <w:sz w:val="19"/>
        </w:rPr>
        <w:t>7、</w:t>
      </w:r>
      <w:r>
        <w:rPr>
          <w:sz w:val="19"/>
        </w:rPr>
        <w:t>需要落实的政府采购政策：《政府采购促进中小企业发展管理办法》的通知（财库〔</w:t>
      </w:r>
      <w:r>
        <w:rPr>
          <w:sz w:val="19"/>
        </w:rPr>
        <w:t>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ind w:firstLine="381"/>
        <w:jc w:val="both"/>
      </w:pPr>
      <w:r>
        <w:rPr>
          <w:b/>
          <w:sz w:val="19"/>
        </w:rPr>
        <w:t>8、</w:t>
      </w:r>
      <w:r>
        <w:rPr>
          <w:b/>
          <w:sz w:val="19"/>
        </w:rPr>
        <w:t>凡列入《中华人民共和国实施强制性产品认证的产品目录》的产品在验收时须出具该产品有效期内的</w:t>
      </w:r>
      <w:r>
        <w:rPr>
          <w:b/>
          <w:sz w:val="19"/>
        </w:rPr>
        <w:t>“中国强制性产品认证”（CCC认证）证书复印件，并以在产品外部加施认证标志作为验收依据之一。</w:t>
      </w:r>
    </w:p>
    <w:p>
      <w:pPr>
        <w:ind w:firstLine="380"/>
        <w:jc w:val="both"/>
      </w:pPr>
      <w:r>
        <w:rPr>
          <w:sz w:val="19"/>
        </w:rPr>
        <w:t>9、</w:t>
      </w:r>
      <w:r>
        <w:rPr>
          <w:sz w:val="19"/>
        </w:rPr>
        <w:t>节能</w:t>
      </w:r>
      <w:r>
        <w:rPr>
          <w:sz w:val="19"/>
        </w:rPr>
        <w:t>产品</w:t>
      </w:r>
      <w:r>
        <w:rPr>
          <w:sz w:val="19"/>
        </w:rPr>
        <w:t>的优先采购和强制采购以财政部、发展改革委、生态环境部等部门公布的最新《节能</w:t>
      </w:r>
      <w:r>
        <w:rPr>
          <w:sz w:val="19"/>
        </w:rPr>
        <w:t>产品</w:t>
      </w:r>
      <w:r>
        <w:rPr>
          <w:sz w:val="19"/>
        </w:rPr>
        <w:t>政府采购品目清单》中所列产品及相关规定为准。</w:t>
      </w:r>
      <w:r>
        <w:rPr>
          <w:sz w:val="19"/>
        </w:rPr>
        <w:t>属于《节能产品政府采购品目清单》范围产品类别的，投标人应填写《政策适用性说明》（见投标（响应）文件格式）明确列明具体产品的名称并提交相关证明材料。证明材料包括：</w:t>
      </w:r>
      <w:r>
        <w:rPr>
          <w:sz w:val="19"/>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投标人可查询中国政府采购网（网址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ind w:firstLine="380"/>
        <w:jc w:val="both"/>
      </w:pPr>
      <w:r>
        <w:rPr>
          <w:sz w:val="19"/>
        </w:rPr>
        <w:t>10、环境标志产品采购以财政部、发展改革委、生态环境部等部门公布的最新《环境标志产品政府采购品目清单》中所列产品及相关规定为准，属于《环境标志产品政府采购品目清单》范围产品类别的，投标人应填写《政策适用性说明》（见投标（响应）文件格式）明确列明具体产品的名称并提交相关证明材料。证明材料包括：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投标人可查询中国政府采购网（网址http://www.ccgp.gov.cn）了解《环境标志产品政府采购品目清单》。</w:t>
      </w:r>
    </w:p>
    <w:p>
      <w:pPr>
        <w:ind w:firstLine="381"/>
        <w:jc w:val="both"/>
      </w:pPr>
      <w:r>
        <w:rPr>
          <w:b/>
          <w:sz w:val="19"/>
        </w:rPr>
        <w:t>（三）采购清单</w:t>
      </w:r>
    </w:p>
    <w:tbl>
      <w:tblPr>
        <w:tblW w:w="0" w:type="auto"/>
        <w:tblInd w:type="dxa" w:w="300"/>
        <w:tblBorders>
          <w:top w:val="none" w:color="000000" w:sz="4"/>
          <w:left w:val="none" w:color="000000" w:sz="4"/>
          <w:bottom w:val="none" w:color="000000" w:sz="4"/>
          <w:right w:val="none" w:color="000000" w:sz="4"/>
          <w:insideH w:val="none"/>
          <w:insideV w:val="none"/>
        </w:tblBorders>
      </w:tblPr>
      <w:tblGrid>
        <w:gridCol w:w="547"/>
        <w:gridCol w:w="2291"/>
        <w:gridCol w:w="1363"/>
        <w:gridCol w:w="1632"/>
        <w:gridCol w:w="1319"/>
        <w:gridCol w:w="1140"/>
      </w:tblGrid>
      <w:tr>
        <w:tc>
          <w:tcPr>
            <w:tcW w:type="dxa" w:w="547"/>
            <w:tcBorders>
              <w:top w:val="single" w:color="000000" w:sz="4"/>
              <w:left w:val="single" w:color="000000" w:sz="4"/>
              <w:bottom w:val="single" w:color="000000" w:sz="4"/>
              <w:right w:val="single" w:color="000000" w:sz="4"/>
            </w:tcBorders>
            <w:shd w:fill="F4F4F4"/>
            <w:vAlign w:val="top"/>
          </w:tcPr>
          <w:p>
            <w:pPr>
              <w:jc w:val="center"/>
            </w:pPr>
            <w:r>
              <w:rPr>
                <w:b/>
                <w:sz w:val="19"/>
              </w:rPr>
              <w:t>序</w:t>
            </w:r>
            <w:r>
              <w:rPr>
                <w:b/>
                <w:sz w:val="19"/>
              </w:rPr>
              <w:t>号</w:t>
            </w:r>
          </w:p>
        </w:tc>
        <w:tc>
          <w:tcPr>
            <w:tcW w:type="dxa" w:w="2291"/>
            <w:tcBorders>
              <w:top w:val="single" w:color="000000" w:sz="4"/>
              <w:left w:val="single" w:color="000000" w:sz="4"/>
              <w:bottom w:val="single" w:color="000000" w:sz="4"/>
              <w:right w:val="single" w:color="000000" w:sz="4"/>
            </w:tcBorders>
            <w:shd w:fill="F4F4F4"/>
            <w:vAlign w:val="top"/>
          </w:tcPr>
          <w:p>
            <w:pPr>
              <w:jc w:val="center"/>
            </w:pPr>
            <w:r>
              <w:rPr>
                <w:b/>
                <w:sz w:val="19"/>
              </w:rPr>
              <w:t>采购标的</w:t>
            </w:r>
          </w:p>
        </w:tc>
        <w:tc>
          <w:tcPr>
            <w:tcW w:type="dxa" w:w="1363"/>
            <w:tcBorders>
              <w:top w:val="single" w:color="000000" w:sz="4"/>
              <w:left w:val="single" w:color="000000" w:sz="4"/>
              <w:bottom w:val="single" w:color="000000" w:sz="4"/>
              <w:right w:val="single" w:color="000000" w:sz="4"/>
            </w:tcBorders>
            <w:shd w:fill="F4F4F4"/>
            <w:vAlign w:val="top"/>
          </w:tcPr>
          <w:p>
            <w:pPr>
              <w:jc w:val="center"/>
            </w:pPr>
            <w:r>
              <w:rPr>
                <w:b/>
                <w:sz w:val="19"/>
              </w:rPr>
              <w:t>数量（单位）</w:t>
            </w:r>
          </w:p>
        </w:tc>
        <w:tc>
          <w:tcPr>
            <w:tcW w:type="dxa" w:w="1632"/>
            <w:tcBorders>
              <w:top w:val="single" w:color="000000" w:sz="4"/>
              <w:left w:val="single" w:color="000000" w:sz="4"/>
              <w:bottom w:val="single" w:color="000000" w:sz="4"/>
              <w:right w:val="single" w:color="000000" w:sz="4"/>
            </w:tcBorders>
            <w:shd w:fill="F4F4F4"/>
            <w:vAlign w:val="top"/>
          </w:tcPr>
          <w:p>
            <w:pPr>
              <w:jc w:val="center"/>
            </w:pPr>
            <w:r>
              <w:rPr>
                <w:b/>
                <w:sz w:val="19"/>
              </w:rPr>
              <w:t>分项单价</w:t>
            </w:r>
            <w:r>
              <w:rPr>
                <w:b/>
                <w:sz w:val="19"/>
              </w:rPr>
              <w:t>最高限价</w:t>
            </w:r>
          </w:p>
          <w:p>
            <w:pPr>
              <w:jc w:val="center"/>
            </w:pPr>
            <w:r>
              <w:rPr>
                <w:b/>
                <w:sz w:val="19"/>
              </w:rPr>
              <w:t>（元）</w:t>
            </w:r>
          </w:p>
        </w:tc>
        <w:tc>
          <w:tcPr>
            <w:tcW w:type="dxa" w:w="1319"/>
            <w:tcBorders>
              <w:top w:val="single" w:color="000000" w:sz="4"/>
              <w:left w:val="single" w:color="000000" w:sz="4"/>
              <w:bottom w:val="single" w:color="000000" w:sz="4"/>
              <w:right w:val="single" w:color="000000" w:sz="4"/>
            </w:tcBorders>
            <w:shd w:fill="F4F4F4"/>
            <w:vAlign w:val="top"/>
          </w:tcPr>
          <w:p>
            <w:pPr>
              <w:jc w:val="center"/>
            </w:pPr>
            <w:r>
              <w:rPr>
                <w:b/>
                <w:sz w:val="19"/>
              </w:rPr>
              <w:t>分项总价</w:t>
            </w:r>
            <w:r>
              <w:rPr>
                <w:b/>
                <w:sz w:val="19"/>
              </w:rPr>
              <w:t>最高</w:t>
            </w:r>
            <w:r>
              <w:rPr>
                <w:b/>
                <w:sz w:val="19"/>
              </w:rPr>
              <w:t>限价</w:t>
            </w:r>
          </w:p>
          <w:p>
            <w:pPr>
              <w:jc w:val="center"/>
            </w:pPr>
            <w:r>
              <w:rPr>
                <w:b/>
                <w:sz w:val="19"/>
              </w:rPr>
              <w:t>（元）</w:t>
            </w:r>
          </w:p>
        </w:tc>
        <w:tc>
          <w:tcPr>
            <w:tcW w:type="dxa" w:w="1140"/>
            <w:tcBorders>
              <w:top w:val="single" w:color="000000" w:sz="4"/>
              <w:left w:val="single" w:color="000000" w:sz="4"/>
              <w:bottom w:val="single" w:color="000000" w:sz="4"/>
              <w:right w:val="single" w:color="000000" w:sz="4"/>
            </w:tcBorders>
            <w:shd w:fill="F4F4F4"/>
            <w:vAlign w:val="top"/>
          </w:tcPr>
          <w:p>
            <w:pPr>
              <w:jc w:val="center"/>
            </w:pPr>
            <w:r>
              <w:rPr>
                <w:b/>
                <w:sz w:val="19"/>
              </w:rPr>
              <w:t>总价最高限价</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1</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门禁系统改造</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1.00（套）</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200,000.00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200,000.00</w:t>
            </w:r>
          </w:p>
        </w:tc>
        <w:tc>
          <w:tcPr>
            <w:tcW w:type="dxa" w:w="1140"/>
            <w:vMerge w:val="restart"/>
            <w:tcBorders>
              <w:top w:val="none" w:color="000000" w:sz="4"/>
              <w:left w:val="single" w:color="000000" w:sz="4"/>
              <w:bottom w:val="single" w:color="000000" w:sz="4"/>
              <w:right w:val="single" w:color="000000" w:sz="4"/>
            </w:tcBorders>
            <w:vAlign w:val="top"/>
          </w:tcPr>
          <w:p>
            <w:pPr>
              <w:jc w:val="center"/>
            </w:pPr>
            <w:r>
              <w:rPr>
                <w:sz w:val="19"/>
              </w:rPr>
              <w:t>1,475,100.00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2</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闸机人脸终端</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24.00（台）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5,600.00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134,400.00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3</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读卡器模块</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24.00（台）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1,000.00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24,000.00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4</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单机芯翼闸</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8.00（台）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15,500.00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124,000.00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5</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双机芯翼闸</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8.00（台）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26,500.00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212,000.00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6</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人脸门禁终端</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30.00（台）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3,150.00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94,500.00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7</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网络摄像机</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36.00（台）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1,000.00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36,000.00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8</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人脸储物柜</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10.00（台）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15,000.00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150,000.00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9</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接入交换机</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9.00（台）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3,800.00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34,200.00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10</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非网管交换机</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4.00（台）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500.00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2,000.00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11</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视频存储终端</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1.00（台）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260,000.00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260,000.00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12</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显示大屏</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1.00（台）</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4,000.00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4,000.00</w:t>
            </w:r>
          </w:p>
        </w:tc>
      </w:tr>
      <w:tr>
        <w:tc>
          <w:tcPr>
            <w:tcW w:type="dxa" w:w="547"/>
            <w:tcBorders>
              <w:top w:val="none" w:color="000000" w:sz="4"/>
              <w:left w:val="single" w:color="000000" w:sz="4"/>
              <w:bottom w:val="single" w:color="000000" w:sz="4"/>
              <w:right w:val="single" w:color="000000" w:sz="4"/>
            </w:tcBorders>
            <w:vAlign w:val="top"/>
          </w:tcPr>
          <w:p>
            <w:pPr>
              <w:jc w:val="center"/>
            </w:pPr>
            <w:r>
              <w:rPr>
                <w:sz w:val="19"/>
              </w:rPr>
              <w:t>13</w:t>
            </w:r>
          </w:p>
        </w:tc>
        <w:tc>
          <w:tcPr>
            <w:tcW w:type="dxa" w:w="2291"/>
            <w:tcBorders>
              <w:top w:val="none" w:color="000000" w:sz="4"/>
              <w:left w:val="single" w:color="000000" w:sz="4"/>
              <w:bottom w:val="single" w:color="000000" w:sz="4"/>
              <w:right w:val="single" w:color="000000" w:sz="4"/>
            </w:tcBorders>
            <w:vAlign w:val="top"/>
          </w:tcPr>
          <w:p>
            <w:pPr>
              <w:jc w:val="center"/>
            </w:pPr>
            <w:r>
              <w:rPr>
                <w:sz w:val="19"/>
              </w:rPr>
              <w:t>安装调试服务</w:t>
            </w:r>
          </w:p>
        </w:tc>
        <w:tc>
          <w:tcPr>
            <w:tcW w:type="dxa" w:w="1363"/>
            <w:tcBorders>
              <w:top w:val="none" w:color="000000" w:sz="4"/>
              <w:left w:val="single" w:color="000000" w:sz="4"/>
              <w:bottom w:val="single" w:color="000000" w:sz="4"/>
              <w:right w:val="single" w:color="000000" w:sz="4"/>
            </w:tcBorders>
            <w:vAlign w:val="top"/>
          </w:tcPr>
          <w:p>
            <w:pPr>
              <w:jc w:val="center"/>
            </w:pPr>
            <w:r>
              <w:rPr>
                <w:sz w:val="19"/>
              </w:rPr>
              <w:t>1.00（项）</w:t>
            </w:r>
          </w:p>
        </w:tc>
        <w:tc>
          <w:tcPr>
            <w:tcW w:type="dxa" w:w="1632"/>
            <w:tcBorders>
              <w:top w:val="none" w:color="000000" w:sz="4"/>
              <w:left w:val="single" w:color="000000" w:sz="4"/>
              <w:bottom w:val="single" w:color="000000" w:sz="4"/>
              <w:right w:val="single" w:color="000000" w:sz="4"/>
            </w:tcBorders>
            <w:vAlign w:val="top"/>
          </w:tcPr>
          <w:p>
            <w:pPr>
              <w:jc w:val="center"/>
            </w:pPr>
            <w:r>
              <w:rPr>
                <w:sz w:val="19"/>
              </w:rPr>
              <w:t>200,000.00</w:t>
            </w:r>
          </w:p>
        </w:tc>
        <w:tc>
          <w:tcPr>
            <w:tcW w:type="dxa" w:w="1319"/>
            <w:tcBorders>
              <w:top w:val="none" w:color="000000" w:sz="4"/>
              <w:left w:val="single" w:color="000000" w:sz="4"/>
              <w:bottom w:val="single" w:color="000000" w:sz="4"/>
              <w:right w:val="single" w:color="000000" w:sz="4"/>
            </w:tcBorders>
            <w:vAlign w:val="top"/>
          </w:tcPr>
          <w:p>
            <w:pPr>
              <w:jc w:val="center"/>
            </w:pPr>
            <w:r>
              <w:rPr>
                <w:sz w:val="19"/>
              </w:rPr>
              <w:t>200,000.00</w:t>
            </w:r>
          </w:p>
        </w:tc>
      </w:tr>
    </w:tbl>
    <w:p>
      <w:pPr>
        <w:ind w:firstLine="381"/>
        <w:jc w:val="both"/>
      </w:pPr>
      <w:r>
        <w:rPr>
          <w:b/>
          <w:sz w:val="19"/>
        </w:rPr>
        <w:t>注：</w:t>
      </w:r>
    </w:p>
    <w:p>
      <w:pPr>
        <w:ind w:firstLine="381"/>
        <w:jc w:val="both"/>
      </w:pPr>
      <w:r>
        <w:rPr>
          <w:b/>
          <w:sz w:val="19"/>
        </w:rPr>
        <w:t>1、本项目的核心产品：</w:t>
      </w:r>
      <w:r>
        <w:rPr>
          <w:b/>
          <w:sz w:val="19"/>
          <w:u w:val="single"/>
        </w:rPr>
        <w:t>闸机人脸终端、人脸门禁终端</w:t>
      </w:r>
      <w:r>
        <w:rPr>
          <w:b/>
          <w:sz w:val="19"/>
        </w:rPr>
        <w:t>。</w:t>
      </w:r>
      <w:r>
        <w:rPr>
          <w:sz w:val="19"/>
        </w:rPr>
        <w:t>提供相同品牌产品（非单一产品采购的，以核心产品为准）且通过资格审查、符合性审查的不同供应商参加同一合同项下投标（响应）的，按一家供应商计算。</w:t>
      </w:r>
    </w:p>
    <w:p>
      <w:pPr>
        <w:ind w:firstLine="380"/>
        <w:jc w:val="both"/>
      </w:pPr>
      <w:r>
        <w:rPr>
          <w:sz w:val="19"/>
        </w:rPr>
        <w:t>2</w:t>
      </w:r>
      <w:r>
        <w:rPr>
          <w:sz w:val="19"/>
        </w:rPr>
        <w:t>、</w:t>
      </w:r>
      <w:r>
        <w:rPr>
          <w:sz w:val="19"/>
        </w:rPr>
        <w:t>本项目的采购预算：人民币</w:t>
      </w:r>
      <w:r>
        <w:rPr>
          <w:sz w:val="19"/>
        </w:rPr>
        <w:t>147.51万元。投标人的投标（响应）报价（含单项/单价报价、总报价）确定且未超过采购文件中相应的预算金额或者最高限价（含单项/单价报价、总报价），否则作无效投标处理。</w:t>
      </w:r>
    </w:p>
    <w:p>
      <w:pPr>
        <w:ind w:firstLine="380"/>
        <w:jc w:val="both"/>
      </w:pPr>
      <w:r>
        <w:rPr>
          <w:sz w:val="19"/>
        </w:rPr>
        <w:t>3、投标报价为按照合同约定完成合同全部义务后所适用的总价格，包括但不限于货物（包括备品备件）的设计、制造、包装、仓储、运输、保险、货物运输保险费、装卸费、安装、调试、试运行、验收、培训、技术服务（包括技术资料、图纸的提供）、质保期保障服务等的全部含税费用。除本合同明确约定的费用外，采购人无需支付任何额外费用和承担任何额外义务。</w:t>
      </w:r>
    </w:p>
    <w:p/>
    <w:p>
      <w:pPr>
        <w:ind w:firstLine="480"/>
      </w:pPr>
    </w:p>
    <w:p/>
    <w:p>
      <w:r>
        <w:rPr/>
        <w:t>采购包1（华南师范大学汕尾校区场馆楼宇通行门禁采购项目）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★合同签订后30天内完成供货、安装、调试及交付使用。</w:t>
            </w:r>
          </w:p>
        </w:tc>
      </w:tr>
      <w:tr>
        <w:tc>
          <w:tcPr>
            <w:tcW w:type="dxa" w:w="4153"/>
          </w:tcPr>
          <w:p>
            <w:r>
              <w:rPr/>
              <w:t>标的提供的地点</w:t>
            </w:r>
          </w:p>
        </w:tc>
        <w:tc>
          <w:tcPr>
            <w:tcW w:type="dxa" w:w="4153"/>
          </w:tcPr>
          <w:p/>
          <w:p>
            <w:r>
              <w:rPr/>
              <w:t>分别将设备、产品运送到至华南师范大学汕尾校区采购人指定地点。</w:t>
            </w:r>
          </w:p>
        </w:tc>
      </w:tr>
      <w:tr>
        <w:tc>
          <w:tcPr>
            <w:tcW w:type="dxa" w:w="4153"/>
          </w:tcPr>
          <w:p>
            <w:r>
              <w:rPr/>
              <w:t>付款方式</w:t>
            </w:r>
          </w:p>
        </w:tc>
        <w:tc>
          <w:tcPr>
            <w:tcW w:type="dxa" w:w="4153"/>
          </w:tcPr>
          <w:p/>
          <w:p/>
          <w:p>
            <w:r>
              <w:rPr/>
              <w:t>1期：支付比例30%,签订合同且采购人收到中标人开具的等额增值税专用发票后15日内，采购人向中标人支付合同总金额的30%。</w:t>
            </w:r>
          </w:p>
          <w:p/>
          <w:p>
            <w:r>
              <w:rPr/>
              <w:t>2期：支付比例70%,货到交货地点、验收合格且采购人收到中标人开具的等额增值税专用发票后15日内，采购人向中标人支付合同总金额的70%。</w:t>
            </w:r>
          </w:p>
        </w:tc>
      </w:tr>
      <w:tr>
        <w:tc>
          <w:tcPr>
            <w:tcW w:type="dxa" w:w="4153"/>
          </w:tcPr>
          <w:p>
            <w:r>
              <w:rPr/>
              <w:t>验收要求</w:t>
            </w:r>
          </w:p>
        </w:tc>
        <w:tc>
          <w:tcPr>
            <w:tcW w:type="dxa" w:w="4153"/>
          </w:tcPr>
          <w:p/>
          <w:p/>
          <w:p/>
          <w:p>
            <w:r>
              <w:rPr/>
              <w:t>1期：1、中标人对合同货物安装、调试和培训完成后，认为达到使用要求的，应向采购人提出书面验收申请，采购人无异议的，由学校安排组织验收，验收应在采购人与中标人双方共同参加下进行。 2、货物的验收按合同规定的技术要求和国家有关的规定、规范进行，质量需符合国家对相关产品的质量标准。 3、中标人应负责在项目验收时将系统的全部有关产品说明书、原厂家安装手册、技术文件、资料、及安装、验收报告等文档汇集成册交付设备使用单位。 4、验收时如发现所交付的货物有短装、次品、损坏或其它不符合本合同规定之情形者，采购人应作出详尽的现场记录，并交由中标人签字确认，或由采购人与中标人双方签署备忘录。此现场记录或备忘录可用作补充、缺失和更换损坏部件的有效证据。由此产生的有关费用由中标人承担。 5、提供内容完整、详细、表述清晰、科学合理、切实可行技术培训方案，培训后方可验收。</w:t>
            </w:r>
          </w:p>
        </w:tc>
      </w:tr>
      <w:tr>
        <w:tc>
          <w:tcPr>
            <w:tcW w:type="dxa" w:w="4153"/>
          </w:tcPr>
          <w:p>
            <w:r>
              <w:rPr/>
              <w:t>履约保证金</w:t>
            </w:r>
          </w:p>
        </w:tc>
        <w:tc>
          <w:tcPr>
            <w:tcW w:type="dxa" w:w="4153"/>
          </w:tcPr>
          <w:p/>
          <w:p/>
          <w:p/>
          <w:p/>
          <w:p>
            <w:r>
              <w:rPr/>
              <w:t>收取比例：5%,说明：1、中标人在合同签订后15日内，以支票、汇票、本票、保函或转账方式向采购人提交合同总额的5%作为履约保证金。 2、自验收合格后2个月内，中标人凭履约保证金收据向采购人申请退还履约保证金，采购人在收到中标人申请单据之日起15日内将履约保证金无息退还给中标人。 3、不予退还的情形： （1）质量保证期内如设备发生非人为故障，中标人须提供上门检修、更换零件（费用包含在合同总价中），设备经维修后一个月内出现相同故障，中标人须将整机更换为同一档次设备，否则不予退还履约保证金； （2）未经采购人同意，中标人将本项目进行分包或转包给他人； （3）在履行合同期间，中标人提前终止本项目合同； （4）在履行合同期间，中标人因在经营活动中存在违法被吊销营业执照或相关许可，导致本项目合同无法继续履行的。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一、项目实施要求，1、投标人提供的货物必须符合国家标准、行业标准以及该产品的出厂标准。 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 3、货物为原厂商未启封全新包装，具有出厂合格证，序列号、包装箱号与出厂批号一致，并可追索查阅。 4、中标人应将关键主机设备的用户手册、保修手册、有关单证资料及配备件、随机工具等交付给采购人，使用操作及安全须知等重要资料应附有中文说明。 5、伴随服务(费用包含在投标总价内)：全部设备的技术设计、运输、安装调试、人员培训、售后服务、含税等费用。 6、数据对接与集成： 中标人应实现门禁系统与学校数据中心数据的完整对接和数据交换，实现信息共享，并实现包含但不限于下列类型的功能集成，集成和对接所产生费用均包含在合同总价中： ★（1）智能门禁管理系统对接：为保证设备兼容，本次新增的闸机人脸终端必须通过API接口无缝对接到原有门禁系统（TH AI Face-Access V1.0）中实现统一管理和数据互通，实现原有门禁系统软件的所有功能和业务功能扩展，保证功能扩展无缝融入原有门禁系统。（提供承诺函，加盖投标人公章） ★（2）人脸识别能力管理平台对接：为保证采购人师生用户数据安全性，要求所投闸机人脸终端、人脸门禁终端需满足采购人当前的生物特征隐私保护体系规范要求（提供承诺函，并加盖投标人公章）： 终端不能直接存储师生人脸照片，需采用人脸特征值进行识别； 支持其人脸识别算法在校内的私有云端注册SDK； 支持从校内统一的人脸基准图片提取各自算法的人脸特征值，形成二级生物特征库。 （3）消防管理系统对接：所建人脸识别闸机设备支持与就近消防主机设备通过开关信号实现联动，出现火灾告警时自动开闸。 7、投标设备的包装均应有良好的防湿、防锈、防潮、防雨、防腐及防碰撞的措施，符合《商品包装政府采购需求标准（试行）》及《快递包装政府采购需求标准（试行）》的要求。 8、合同货物的安装、调试： (1)中标人负责合同项下货物的安装、调试，一切费用由中标人负责。如果合同货物运输和调试过程中因事故造成货物短缺、损坏，中标人应及时安排换装，以保证合同货物调试的成功完成。换货的相关费用由中标人承担。 (2)货物到达采购人指定地点后，中标人应派有资质的技术人员到采购人指定地完成调试工作。 (3)货物调试过程中，中标人技术人员应负责对采购人人员进行维护保养及相关培训。 (4)中标人技术人员在采购人现场进行调试期间所产生的费用由中标人负责；如因中标人责任造成的延期，所有因调试延期而产生的费用由中标人负责。 (5)中标人须将货物安装并调试至正常运行的最佳状态。 (6)中标人进行调试时须对各调试场地内的其他货物、设施有良好保护措施。</w:t>
            </w:r>
          </w:p>
          <w:p/>
          <w:p>
            <w:r>
              <w:rPr/>
              <w:t>二、售后服务及质量保证，1、除特别说明的设备外，所有产品均需提供至少3年质量保证期和原厂上门保修服务（费用包含在投标报价中）。 2、质量保证期内，所有硬件设备及其配件的维修均包含在投标报价中。 3、服务响应时间：中标人须在接到采购人的维修需求后30分钟内响应，12个小时内到达用户使用现场，48小时内无法修复的提供不低于同等档次的备用机供用户使用。货物的质量保证期随着检修期的出现而延长，以检修期相应计算延长质量保证期。 4、质量保证期内，中标人对所有设备提供7*24小时上门维护服务。 5、质量保证期满后，若有零部件出现故障，经权威部门鉴定属于寿命异常问题（明显短于该零部件正常寿命）时，则由中标人负责更换及维修（费用已含在投标报价中）。</w:t>
            </w:r>
          </w:p>
          <w:p/>
          <w:p>
            <w:r>
              <w:rPr/>
              <w:t>三、用户的配合条件，在合同履行过程中，用户将提供必要的配合及协调，如根据合同规定及时付款、及时签署有关确认证书、与中标人一起确认进场安装条件、提供安装调试所需的相关工作条件等等。</w:t>
            </w:r>
          </w:p>
        </w:tc>
      </w:tr>
    </w:tbl>
    <w:p>
      <w:r>
        <w:rPr>
          <w:b/>
        </w:rPr>
        <w:t>2.技术标准与要求</w:t>
      </w:r>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其他资源使用权</w:t>
            </w:r>
          </w:p>
        </w:tc>
        <w:tc>
          <w:tcPr>
            <w:tcW w:type="dxa" w:w="831"/>
          </w:tcPr>
          <w:p>
            <w:pPr>
              <w:jc w:val="left"/>
            </w:pPr>
            <w:r>
              <w:rPr/>
              <w:t>安装调试服务</w:t>
            </w:r>
          </w:p>
        </w:tc>
        <w:tc>
          <w:tcPr>
            <w:tcW w:type="dxa" w:w="831"/>
          </w:tcPr>
          <w:p>
            <w:pPr>
              <w:jc w:val="left"/>
            </w:pPr>
            <w:r>
              <w:rPr/>
              <w:t>项</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其他终端设备</w:t>
            </w:r>
          </w:p>
        </w:tc>
        <w:tc>
          <w:tcPr>
            <w:tcW w:type="dxa" w:w="831"/>
          </w:tcPr>
          <w:p>
            <w:pPr>
              <w:jc w:val="left"/>
            </w:pPr>
            <w:r>
              <w:rPr/>
              <w:t>人脸门禁终端</w:t>
            </w:r>
          </w:p>
        </w:tc>
        <w:tc>
          <w:tcPr>
            <w:tcW w:type="dxa" w:w="831"/>
          </w:tcPr>
          <w:p>
            <w:pPr>
              <w:jc w:val="left"/>
            </w:pPr>
            <w:r>
              <w:rPr/>
              <w:t>台</w:t>
            </w:r>
          </w:p>
        </w:tc>
        <w:tc>
          <w:tcPr>
            <w:tcW w:type="dxa" w:w="831"/>
          </w:tcPr>
          <w:p>
            <w:pPr>
              <w:jc w:val="right"/>
            </w:pPr>
            <w:r>
              <w:rPr/>
              <w:t>30.00</w:t>
            </w:r>
          </w:p>
        </w:tc>
        <w:tc>
          <w:tcPr>
            <w:tcW w:type="dxa" w:w="831"/>
          </w:tcPr>
          <w:p>
            <w:pPr>
              <w:jc w:val="right"/>
            </w:pPr>
            <w:r>
              <w:rPr/>
              <w:t>3,150.00</w:t>
            </w:r>
          </w:p>
        </w:tc>
        <w:tc>
          <w:tcPr>
            <w:tcW w:type="dxa" w:w="831"/>
          </w:tcPr>
          <w:p>
            <w:pPr>
              <w:jc w:val="right"/>
            </w:pPr>
            <w:r>
              <w:rPr/>
              <w:t>94,500.00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应用软件</w:t>
            </w:r>
          </w:p>
        </w:tc>
        <w:tc>
          <w:tcPr>
            <w:tcW w:type="dxa" w:w="831"/>
          </w:tcPr>
          <w:p>
            <w:pPr>
              <w:jc w:val="left"/>
            </w:pPr>
            <w:r>
              <w:rPr/>
              <w:t>门禁系统改造</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其他终端设备</w:t>
            </w:r>
          </w:p>
        </w:tc>
        <w:tc>
          <w:tcPr>
            <w:tcW w:type="dxa" w:w="831"/>
          </w:tcPr>
          <w:p>
            <w:pPr>
              <w:jc w:val="left"/>
            </w:pPr>
            <w:r>
              <w:rPr/>
              <w:t>人脸储物柜</w:t>
            </w:r>
          </w:p>
        </w:tc>
        <w:tc>
          <w:tcPr>
            <w:tcW w:type="dxa" w:w="831"/>
          </w:tcPr>
          <w:p>
            <w:pPr>
              <w:jc w:val="left"/>
            </w:pPr>
            <w:r>
              <w:rPr/>
              <w:t>台</w:t>
            </w:r>
          </w:p>
        </w:tc>
        <w:tc>
          <w:tcPr>
            <w:tcW w:type="dxa" w:w="831"/>
          </w:tcPr>
          <w:p>
            <w:pPr>
              <w:jc w:val="right"/>
            </w:pPr>
            <w:r>
              <w:rPr/>
              <w:t>10.00</w:t>
            </w:r>
          </w:p>
        </w:tc>
        <w:tc>
          <w:tcPr>
            <w:tcW w:type="dxa" w:w="831"/>
          </w:tcPr>
          <w:p>
            <w:pPr>
              <w:jc w:val="right"/>
            </w:pPr>
            <w:r>
              <w:rPr/>
              <w:t>15,000.00</w:t>
            </w:r>
          </w:p>
        </w:tc>
        <w:tc>
          <w:tcPr>
            <w:tcW w:type="dxa" w:w="831"/>
          </w:tcPr>
          <w:p>
            <w:pPr>
              <w:jc w:val="right"/>
            </w:pPr>
            <w:r>
              <w:rPr/>
              <w:t>150,000.00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交换设备</w:t>
            </w:r>
          </w:p>
        </w:tc>
        <w:tc>
          <w:tcPr>
            <w:tcW w:type="dxa" w:w="831"/>
          </w:tcPr>
          <w:p>
            <w:pPr>
              <w:jc w:val="left"/>
            </w:pPr>
            <w:r>
              <w:rPr/>
              <w:t>非网管交换机</w:t>
            </w:r>
          </w:p>
        </w:tc>
        <w:tc>
          <w:tcPr>
            <w:tcW w:type="dxa" w:w="831"/>
          </w:tcPr>
          <w:p>
            <w:pPr>
              <w:jc w:val="left"/>
            </w:pPr>
            <w:r>
              <w:rPr/>
              <w:t>台</w:t>
            </w:r>
          </w:p>
        </w:tc>
        <w:tc>
          <w:tcPr>
            <w:tcW w:type="dxa" w:w="831"/>
          </w:tcPr>
          <w:p>
            <w:pPr>
              <w:jc w:val="right"/>
            </w:pPr>
            <w:r>
              <w:rPr/>
              <w:t>4.00</w:t>
            </w:r>
          </w:p>
        </w:tc>
        <w:tc>
          <w:tcPr>
            <w:tcW w:type="dxa" w:w="831"/>
          </w:tcPr>
          <w:p>
            <w:pPr>
              <w:jc w:val="right"/>
            </w:pPr>
            <w:r>
              <w:rPr/>
              <w:t>500.00</w:t>
            </w:r>
          </w:p>
        </w:tc>
        <w:tc>
          <w:tcPr>
            <w:tcW w:type="dxa" w:w="831"/>
          </w:tcPr>
          <w:p>
            <w:pPr>
              <w:jc w:val="right"/>
            </w:pPr>
            <w:r>
              <w:rPr/>
              <w:t>2,000.00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其他网络设备</w:t>
            </w:r>
          </w:p>
        </w:tc>
        <w:tc>
          <w:tcPr>
            <w:tcW w:type="dxa" w:w="831"/>
          </w:tcPr>
          <w:p>
            <w:pPr>
              <w:jc w:val="left"/>
            </w:pPr>
            <w:r>
              <w:rPr/>
              <w:t>网络摄像机</w:t>
            </w:r>
          </w:p>
        </w:tc>
        <w:tc>
          <w:tcPr>
            <w:tcW w:type="dxa" w:w="831"/>
          </w:tcPr>
          <w:p>
            <w:pPr>
              <w:jc w:val="left"/>
            </w:pPr>
            <w:r>
              <w:rPr/>
              <w:t>台</w:t>
            </w:r>
          </w:p>
        </w:tc>
        <w:tc>
          <w:tcPr>
            <w:tcW w:type="dxa" w:w="831"/>
          </w:tcPr>
          <w:p>
            <w:pPr>
              <w:jc w:val="right"/>
            </w:pPr>
            <w:r>
              <w:rPr/>
              <w:t>36.00</w:t>
            </w:r>
          </w:p>
        </w:tc>
        <w:tc>
          <w:tcPr>
            <w:tcW w:type="dxa" w:w="831"/>
          </w:tcPr>
          <w:p>
            <w:pPr>
              <w:jc w:val="right"/>
            </w:pPr>
            <w:r>
              <w:rPr/>
              <w:t>1,000.00</w:t>
            </w:r>
          </w:p>
        </w:tc>
        <w:tc>
          <w:tcPr>
            <w:tcW w:type="dxa" w:w="831"/>
          </w:tcPr>
          <w:p>
            <w:pPr>
              <w:jc w:val="right"/>
            </w:pPr>
            <w:r>
              <w:rPr/>
              <w:t>36,000.00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其他终端设备</w:t>
            </w:r>
          </w:p>
        </w:tc>
        <w:tc>
          <w:tcPr>
            <w:tcW w:type="dxa" w:w="831"/>
          </w:tcPr>
          <w:p>
            <w:pPr>
              <w:jc w:val="left"/>
            </w:pPr>
            <w:r>
              <w:rPr/>
              <w:t>单机芯翼闸</w:t>
            </w:r>
          </w:p>
        </w:tc>
        <w:tc>
          <w:tcPr>
            <w:tcW w:type="dxa" w:w="831"/>
          </w:tcPr>
          <w:p>
            <w:pPr>
              <w:jc w:val="left"/>
            </w:pPr>
            <w:r>
              <w:rPr/>
              <w:t>台</w:t>
            </w:r>
          </w:p>
        </w:tc>
        <w:tc>
          <w:tcPr>
            <w:tcW w:type="dxa" w:w="831"/>
          </w:tcPr>
          <w:p>
            <w:pPr>
              <w:jc w:val="right"/>
            </w:pPr>
            <w:r>
              <w:rPr/>
              <w:t>8.00</w:t>
            </w:r>
          </w:p>
        </w:tc>
        <w:tc>
          <w:tcPr>
            <w:tcW w:type="dxa" w:w="831"/>
          </w:tcPr>
          <w:p>
            <w:pPr>
              <w:jc w:val="right"/>
            </w:pPr>
            <w:r>
              <w:rPr/>
              <w:t>15,500.00</w:t>
            </w:r>
          </w:p>
        </w:tc>
        <w:tc>
          <w:tcPr>
            <w:tcW w:type="dxa" w:w="831"/>
          </w:tcPr>
          <w:p>
            <w:pPr>
              <w:jc w:val="right"/>
            </w:pPr>
            <w:r>
              <w:rPr/>
              <w:t>124,000.00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交换设备</w:t>
            </w:r>
          </w:p>
        </w:tc>
        <w:tc>
          <w:tcPr>
            <w:tcW w:type="dxa" w:w="831"/>
          </w:tcPr>
          <w:p>
            <w:pPr>
              <w:jc w:val="left"/>
            </w:pPr>
            <w:r>
              <w:rPr/>
              <w:t>接入交换机</w:t>
            </w:r>
          </w:p>
        </w:tc>
        <w:tc>
          <w:tcPr>
            <w:tcW w:type="dxa" w:w="831"/>
          </w:tcPr>
          <w:p>
            <w:pPr>
              <w:jc w:val="left"/>
            </w:pPr>
            <w:r>
              <w:rPr/>
              <w:t>台</w:t>
            </w:r>
          </w:p>
        </w:tc>
        <w:tc>
          <w:tcPr>
            <w:tcW w:type="dxa" w:w="831"/>
          </w:tcPr>
          <w:p>
            <w:pPr>
              <w:jc w:val="right"/>
            </w:pPr>
            <w:r>
              <w:rPr/>
              <w:t>9.00</w:t>
            </w:r>
          </w:p>
        </w:tc>
        <w:tc>
          <w:tcPr>
            <w:tcW w:type="dxa" w:w="831"/>
          </w:tcPr>
          <w:p>
            <w:pPr>
              <w:jc w:val="right"/>
            </w:pPr>
            <w:r>
              <w:rPr/>
              <w:t>3,800.00</w:t>
            </w:r>
          </w:p>
        </w:tc>
        <w:tc>
          <w:tcPr>
            <w:tcW w:type="dxa" w:w="831"/>
          </w:tcPr>
          <w:p>
            <w:pPr>
              <w:jc w:val="right"/>
            </w:pPr>
            <w:r>
              <w:rPr/>
              <w:t>34,200.00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r>
              <w:rPr/>
              <w:t>△</w:t>
            </w:r>
          </w:p>
        </w:tc>
        <w:tc>
          <w:tcPr>
            <w:tcW w:type="dxa" w:w="831"/>
          </w:tcPr>
          <w:p>
            <w:pPr>
              <w:jc w:val="left"/>
            </w:pPr>
            <w:r>
              <w:rPr/>
              <w:t>其他终端设备</w:t>
            </w:r>
          </w:p>
        </w:tc>
        <w:tc>
          <w:tcPr>
            <w:tcW w:type="dxa" w:w="831"/>
          </w:tcPr>
          <w:p>
            <w:pPr>
              <w:jc w:val="left"/>
            </w:pPr>
            <w:r>
              <w:rPr/>
              <w:t>闸机人脸终端</w:t>
            </w:r>
          </w:p>
        </w:tc>
        <w:tc>
          <w:tcPr>
            <w:tcW w:type="dxa" w:w="831"/>
          </w:tcPr>
          <w:p>
            <w:pPr>
              <w:jc w:val="left"/>
            </w:pPr>
            <w:r>
              <w:rPr/>
              <w:t>台</w:t>
            </w:r>
          </w:p>
        </w:tc>
        <w:tc>
          <w:tcPr>
            <w:tcW w:type="dxa" w:w="831"/>
          </w:tcPr>
          <w:p>
            <w:pPr>
              <w:jc w:val="right"/>
            </w:pPr>
            <w:r>
              <w:rPr/>
              <w:t>24.00</w:t>
            </w:r>
          </w:p>
        </w:tc>
        <w:tc>
          <w:tcPr>
            <w:tcW w:type="dxa" w:w="831"/>
          </w:tcPr>
          <w:p>
            <w:pPr>
              <w:jc w:val="right"/>
            </w:pPr>
            <w:r>
              <w:rPr/>
              <w:t>5,600.00</w:t>
            </w:r>
          </w:p>
        </w:tc>
        <w:tc>
          <w:tcPr>
            <w:tcW w:type="dxa" w:w="831"/>
          </w:tcPr>
          <w:p>
            <w:pPr>
              <w:jc w:val="right"/>
            </w:pPr>
            <w:r>
              <w:rPr/>
              <w:t>134,400.00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其他终端设备</w:t>
            </w:r>
          </w:p>
        </w:tc>
        <w:tc>
          <w:tcPr>
            <w:tcW w:type="dxa" w:w="831"/>
          </w:tcPr>
          <w:p>
            <w:pPr>
              <w:jc w:val="left"/>
            </w:pPr>
            <w:r>
              <w:rPr/>
              <w:t>视频存储终端</w:t>
            </w:r>
          </w:p>
        </w:tc>
        <w:tc>
          <w:tcPr>
            <w:tcW w:type="dxa" w:w="831"/>
          </w:tcPr>
          <w:p>
            <w:pPr>
              <w:jc w:val="left"/>
            </w:pPr>
            <w:r>
              <w:rPr/>
              <w:t>台</w:t>
            </w:r>
          </w:p>
        </w:tc>
        <w:tc>
          <w:tcPr>
            <w:tcW w:type="dxa" w:w="831"/>
          </w:tcPr>
          <w:p>
            <w:pPr>
              <w:jc w:val="right"/>
            </w:pPr>
            <w:r>
              <w:rPr/>
              <w:t>1.00</w:t>
            </w:r>
          </w:p>
        </w:tc>
        <w:tc>
          <w:tcPr>
            <w:tcW w:type="dxa" w:w="831"/>
          </w:tcPr>
          <w:p>
            <w:pPr>
              <w:jc w:val="right"/>
            </w:pPr>
            <w:r>
              <w:rPr/>
              <w:t>260,000.00</w:t>
            </w:r>
          </w:p>
        </w:tc>
        <w:tc>
          <w:tcPr>
            <w:tcW w:type="dxa" w:w="831"/>
          </w:tcPr>
          <w:p>
            <w:pPr>
              <w:jc w:val="right"/>
            </w:pPr>
            <w:r>
              <w:rPr/>
              <w:t>260,000.00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其他终端设备</w:t>
            </w:r>
          </w:p>
        </w:tc>
        <w:tc>
          <w:tcPr>
            <w:tcW w:type="dxa" w:w="831"/>
          </w:tcPr>
          <w:p>
            <w:pPr>
              <w:jc w:val="left"/>
            </w:pPr>
            <w:r>
              <w:rPr/>
              <w:t>读卡器模块</w:t>
            </w:r>
          </w:p>
        </w:tc>
        <w:tc>
          <w:tcPr>
            <w:tcW w:type="dxa" w:w="831"/>
          </w:tcPr>
          <w:p>
            <w:pPr>
              <w:jc w:val="left"/>
            </w:pPr>
            <w:r>
              <w:rPr/>
              <w:t>台</w:t>
            </w:r>
          </w:p>
        </w:tc>
        <w:tc>
          <w:tcPr>
            <w:tcW w:type="dxa" w:w="831"/>
          </w:tcPr>
          <w:p>
            <w:pPr>
              <w:jc w:val="right"/>
            </w:pPr>
            <w:r>
              <w:rPr/>
              <w:t>24.00</w:t>
            </w:r>
          </w:p>
        </w:tc>
        <w:tc>
          <w:tcPr>
            <w:tcW w:type="dxa" w:w="831"/>
          </w:tcPr>
          <w:p>
            <w:pPr>
              <w:jc w:val="right"/>
            </w:pPr>
            <w:r>
              <w:rPr/>
              <w:t>1,000.00</w:t>
            </w:r>
          </w:p>
        </w:tc>
        <w:tc>
          <w:tcPr>
            <w:tcW w:type="dxa" w:w="831"/>
          </w:tcPr>
          <w:p>
            <w:pPr>
              <w:jc w:val="right"/>
            </w:pPr>
            <w:r>
              <w:rPr/>
              <w:t>24,000.00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终端机</w:t>
            </w:r>
          </w:p>
        </w:tc>
        <w:tc>
          <w:tcPr>
            <w:tcW w:type="dxa" w:w="831"/>
          </w:tcPr>
          <w:p>
            <w:pPr>
              <w:jc w:val="left"/>
            </w:pPr>
            <w:r>
              <w:rPr/>
              <w:t>显示大屏</w:t>
            </w:r>
          </w:p>
        </w:tc>
        <w:tc>
          <w:tcPr>
            <w:tcW w:type="dxa" w:w="831"/>
          </w:tcPr>
          <w:p>
            <w:pPr>
              <w:jc w:val="left"/>
            </w:pPr>
            <w:r>
              <w:rPr/>
              <w:t>台</w:t>
            </w:r>
          </w:p>
        </w:tc>
        <w:tc>
          <w:tcPr>
            <w:tcW w:type="dxa" w:w="831"/>
          </w:tcPr>
          <w:p>
            <w:pPr>
              <w:jc w:val="right"/>
            </w:pPr>
            <w:r>
              <w:rPr/>
              <w:t>1.00</w:t>
            </w:r>
          </w:p>
        </w:tc>
        <w:tc>
          <w:tcPr>
            <w:tcW w:type="dxa" w:w="831"/>
          </w:tcPr>
          <w:p>
            <w:pPr>
              <w:jc w:val="right"/>
            </w:pPr>
            <w:r>
              <w:rPr/>
              <w:t>4,000.00</w:t>
            </w:r>
          </w:p>
        </w:tc>
        <w:tc>
          <w:tcPr>
            <w:tcW w:type="dxa" w:w="831"/>
          </w:tcPr>
          <w:p>
            <w:pPr>
              <w:jc w:val="right"/>
            </w:pPr>
            <w:r>
              <w:rPr/>
              <w:t>4,000.00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其他终端设备</w:t>
            </w:r>
          </w:p>
        </w:tc>
        <w:tc>
          <w:tcPr>
            <w:tcW w:type="dxa" w:w="831"/>
          </w:tcPr>
          <w:p>
            <w:pPr>
              <w:jc w:val="left"/>
            </w:pPr>
            <w:r>
              <w:rPr/>
              <w:t>双机芯翼闸</w:t>
            </w:r>
          </w:p>
        </w:tc>
        <w:tc>
          <w:tcPr>
            <w:tcW w:type="dxa" w:w="831"/>
          </w:tcPr>
          <w:p>
            <w:pPr>
              <w:jc w:val="left"/>
            </w:pPr>
            <w:r>
              <w:rPr/>
              <w:t>台</w:t>
            </w:r>
          </w:p>
        </w:tc>
        <w:tc>
          <w:tcPr>
            <w:tcW w:type="dxa" w:w="831"/>
          </w:tcPr>
          <w:p>
            <w:pPr>
              <w:jc w:val="right"/>
            </w:pPr>
            <w:r>
              <w:rPr/>
              <w:t>8.00</w:t>
            </w:r>
          </w:p>
        </w:tc>
        <w:tc>
          <w:tcPr>
            <w:tcW w:type="dxa" w:w="831"/>
          </w:tcPr>
          <w:p>
            <w:pPr>
              <w:jc w:val="right"/>
            </w:pPr>
            <w:r>
              <w:rPr/>
              <w:t>26,500.00</w:t>
            </w:r>
          </w:p>
        </w:tc>
        <w:tc>
          <w:tcPr>
            <w:tcW w:type="dxa" w:w="831"/>
          </w:tcPr>
          <w:p>
            <w:pPr>
              <w:jc w:val="right"/>
            </w:pPr>
            <w:r>
              <w:rPr/>
              <w:t>212,000.00</w:t>
            </w:r>
          </w:p>
        </w:tc>
        <w:tc>
          <w:tcPr>
            <w:tcW w:type="dxa" w:w="831"/>
          </w:tcPr>
          <w:p>
            <w:r>
              <w:rPr/>
              <w:t>工业</w:t>
            </w:r>
          </w:p>
        </w:tc>
        <w:tc>
          <w:tcPr>
            <w:tcW w:type="dxa" w:w="831"/>
          </w:tcPr>
          <w:p>
            <w:r>
              <w:rPr/>
              <w:t>详见附表一十三</w:t>
            </w:r>
          </w:p>
        </w:tc>
      </w:tr>
    </w:tbl>
    <w:p/>
    <w:p>
      <w:r>
        <w:rPr>
          <w:b/>
        </w:rPr>
        <w:t>附表</w:t>
      </w:r>
      <w:r>
        <w:rPr>
          <w:b/>
        </w:rPr>
        <w:t>一</w:t>
      </w:r>
      <w:r>
        <w:rPr>
          <w:b/>
        </w:rPr>
        <w:t>：</w:t>
      </w:r>
      <w:r>
        <w:rPr>
          <w:b/>
        </w:rPr>
        <w:t>安装调试服务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本项目包含所列设备的配套安装、调试、施工服务所需的一切材料。安装图纸由采购人确认后才允许开展。配套安装、调试、施工服务需要满足相关行业标准，且相关的费用包含在投标报价中，采购人不再另行支付。</w:t>
            </w:r>
          </w:p>
        </w:tc>
      </w:tr>
      <w:tr>
        <w:tc>
          <w:tcPr>
            <w:tcW w:type="dxa" w:w="2076"/>
          </w:tcPr>
          <w:p/>
        </w:tc>
        <w:tc>
          <w:tcPr>
            <w:tcW w:type="dxa" w:w="415"/>
          </w:tcPr>
          <w:p>
            <w:r>
              <w:rPr/>
              <w:t>2</w:t>
            </w:r>
          </w:p>
        </w:tc>
        <w:tc>
          <w:tcPr>
            <w:tcW w:type="dxa" w:w="5814"/>
          </w:tcPr>
          <w:p>
            <w:r>
              <w:rPr>
                <w:sz w:val="19"/>
              </w:rPr>
              <w:t>为完成本项目的一切安全施工、文明施工、周边环境的原状恢复费、保险费等以及按政策法规、规范要求实施的工序所引起的费用必须包含在投标报价内。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人脸门禁终端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显示屏：要求</w:t>
            </w:r>
            <w:r>
              <w:rPr>
                <w:sz w:val="19"/>
              </w:rPr>
              <w:t>≤2.8英寸屏幕，分辨率不低于320*240，设备应能显示时间、日期、星期，刷卡/脸时显示用户名、用户照片信息、用户编号等。</w:t>
            </w:r>
          </w:p>
        </w:tc>
      </w:tr>
      <w:tr>
        <w:tc>
          <w:tcPr>
            <w:tcW w:type="dxa" w:w="2076"/>
          </w:tcPr>
          <w:p/>
        </w:tc>
        <w:tc>
          <w:tcPr>
            <w:tcW w:type="dxa" w:w="415"/>
          </w:tcPr>
          <w:p>
            <w:r>
              <w:rPr/>
              <w:t>2</w:t>
            </w:r>
          </w:p>
        </w:tc>
        <w:tc>
          <w:tcPr>
            <w:tcW w:type="dxa" w:w="5814"/>
          </w:tcPr>
          <w:p>
            <w:r>
              <w:rPr>
                <w:sz w:val="19"/>
              </w:rPr>
              <w:t>摄像头：设备应采用高清双目相机，</w:t>
            </w:r>
            <w:r>
              <w:rPr>
                <w:sz w:val="19"/>
              </w:rPr>
              <w:t>1路可见光摄像头，分辩率≥200W，1路红外补光摄像头，分辩率≥200W。存储容量：系统应支持≥50000张卡片管理，≥50000张人脸容量，≥50000条含抓拍图的事件存储。</w:t>
            </w:r>
            <w:r>
              <w:rPr>
                <w:b/>
                <w:sz w:val="19"/>
              </w:rPr>
              <w:t>（须提供第三方的证明材料复印件，并加盖投标人公章）</w:t>
            </w:r>
          </w:p>
        </w:tc>
      </w:tr>
      <w:tr>
        <w:tc>
          <w:tcPr>
            <w:tcW w:type="dxa" w:w="2076"/>
          </w:tcPr>
          <w:p/>
        </w:tc>
        <w:tc>
          <w:tcPr>
            <w:tcW w:type="dxa" w:w="415"/>
          </w:tcPr>
          <w:p>
            <w:r>
              <w:rPr/>
              <w:t>3</w:t>
            </w:r>
          </w:p>
        </w:tc>
        <w:tc>
          <w:tcPr>
            <w:tcW w:type="dxa" w:w="5814"/>
          </w:tcPr>
          <w:p>
            <w:r>
              <w:rPr>
                <w:sz w:val="19"/>
              </w:rPr>
              <w:t>工作模式：支持本地单机管理；支持远程中心远程管理等多种方式。</w:t>
            </w:r>
          </w:p>
        </w:tc>
      </w:tr>
      <w:tr>
        <w:tc>
          <w:tcPr>
            <w:tcW w:type="dxa" w:w="2076"/>
          </w:tcPr>
          <w:p/>
        </w:tc>
        <w:tc>
          <w:tcPr>
            <w:tcW w:type="dxa" w:w="415"/>
          </w:tcPr>
          <w:p>
            <w:r>
              <w:rPr/>
              <w:t>4</w:t>
            </w:r>
          </w:p>
        </w:tc>
        <w:tc>
          <w:tcPr>
            <w:tcW w:type="dxa" w:w="5814"/>
          </w:tcPr>
          <w:p>
            <w:pPr>
              <w:jc w:val="both"/>
            </w:pPr>
            <w:r>
              <w:rPr>
                <w:sz w:val="19"/>
              </w:rPr>
              <w:t>识别模式：支持单人识别和多人识别模式，出入认证方式：系统支持对门的开启方式</w:t>
            </w:r>
            <w:r>
              <w:rPr>
                <w:sz w:val="19"/>
              </w:rPr>
              <w:t>(卡、人脸、密码等)的各种使用权限进行组合设置，实现不同安全级别场景的权限管理，认证方式包含：</w:t>
            </w:r>
          </w:p>
          <w:p>
            <w:pPr>
              <w:jc w:val="both"/>
            </w:pPr>
            <w:r>
              <w:rPr>
                <w:sz w:val="19"/>
              </w:rPr>
              <w:t>1)人脸；</w:t>
            </w:r>
          </w:p>
          <w:p>
            <w:pPr>
              <w:jc w:val="both"/>
            </w:pPr>
            <w:r>
              <w:rPr>
                <w:sz w:val="19"/>
              </w:rPr>
              <w:t>2)人脸或刷卡；</w:t>
            </w:r>
          </w:p>
          <w:p>
            <w:pPr>
              <w:jc w:val="both"/>
            </w:pPr>
            <w:r>
              <w:rPr>
                <w:sz w:val="19"/>
              </w:rPr>
              <w:t>3)人脸+刷卡；</w:t>
            </w:r>
          </w:p>
          <w:p>
            <w:pPr>
              <w:jc w:val="both"/>
            </w:pPr>
            <w:r>
              <w:rPr>
                <w:sz w:val="19"/>
              </w:rPr>
              <w:t>4)人脸+密码；</w:t>
            </w:r>
          </w:p>
          <w:p>
            <w:pPr>
              <w:jc w:val="both"/>
            </w:pPr>
            <w:r>
              <w:rPr>
                <w:sz w:val="19"/>
              </w:rPr>
              <w:t>5)二维码；</w:t>
            </w:r>
          </w:p>
          <w:p>
            <w:r>
              <w:rPr>
                <w:sz w:val="19"/>
              </w:rPr>
              <w:t>支持上述任意一种或两组的组合。</w:t>
            </w:r>
            <w:r>
              <w:rPr>
                <w:b/>
                <w:sz w:val="19"/>
              </w:rPr>
              <w:t>（须提供第三方的证明材料复印件，并加盖投标人公章）</w:t>
            </w:r>
          </w:p>
        </w:tc>
      </w:tr>
      <w:tr>
        <w:tc>
          <w:tcPr>
            <w:tcW w:type="dxa" w:w="2076"/>
          </w:tcPr>
          <w:p/>
        </w:tc>
        <w:tc>
          <w:tcPr>
            <w:tcW w:type="dxa" w:w="415"/>
          </w:tcPr>
          <w:p>
            <w:r>
              <w:rPr/>
              <w:t>5</w:t>
            </w:r>
          </w:p>
        </w:tc>
        <w:tc>
          <w:tcPr>
            <w:tcW w:type="dxa" w:w="5814"/>
          </w:tcPr>
          <w:p>
            <w:pPr>
              <w:jc w:val="both"/>
            </w:pPr>
            <w:r>
              <w:rPr>
                <w:sz w:val="19"/>
              </w:rPr>
              <w:t>硬件接口：</w:t>
            </w:r>
          </w:p>
          <w:p>
            <w:pPr>
              <w:jc w:val="both"/>
            </w:pPr>
            <w:r>
              <w:rPr>
                <w:sz w:val="19"/>
              </w:rPr>
              <w:t>1)报警输入接口≥2；</w:t>
            </w:r>
          </w:p>
          <w:p>
            <w:pPr>
              <w:jc w:val="both"/>
            </w:pPr>
            <w:r>
              <w:rPr>
                <w:sz w:val="19"/>
              </w:rPr>
              <w:t>2)门磁输入接口≥1；</w:t>
            </w:r>
          </w:p>
          <w:p>
            <w:pPr>
              <w:jc w:val="both"/>
            </w:pPr>
            <w:r>
              <w:rPr>
                <w:sz w:val="19"/>
              </w:rPr>
              <w:t>3)开门按钮接口≥1；</w:t>
            </w:r>
          </w:p>
          <w:p>
            <w:pPr>
              <w:jc w:val="both"/>
            </w:pPr>
            <w:r>
              <w:rPr>
                <w:sz w:val="19"/>
              </w:rPr>
              <w:t>4)电锁输出接口≥1；</w:t>
            </w:r>
          </w:p>
          <w:p>
            <w:pPr>
              <w:jc w:val="both"/>
            </w:pPr>
            <w:r>
              <w:rPr>
                <w:sz w:val="19"/>
              </w:rPr>
              <w:t>5)wifi≥1；</w:t>
            </w:r>
          </w:p>
          <w:p>
            <w:pPr>
              <w:jc w:val="both"/>
            </w:pPr>
            <w:r>
              <w:rPr>
                <w:sz w:val="19"/>
              </w:rPr>
              <w:t>6)本地网口≥1；</w:t>
            </w:r>
          </w:p>
          <w:p>
            <w:pPr>
              <w:jc w:val="both"/>
            </w:pPr>
            <w:r>
              <w:rPr>
                <w:sz w:val="19"/>
              </w:rPr>
              <w:t>7)韦根输入/输出接口≥1；</w:t>
            </w:r>
          </w:p>
          <w:p>
            <w:pPr>
              <w:jc w:val="both"/>
            </w:pPr>
            <w:r>
              <w:rPr>
                <w:sz w:val="19"/>
              </w:rPr>
              <w:t>8)扬声器≥1；</w:t>
            </w:r>
          </w:p>
          <w:p>
            <w:r>
              <w:rPr>
                <w:sz w:val="19"/>
              </w:rPr>
              <w:t>9)指示灯≥1，指示灯：正常工作时白色指示灯常亮；比对成功后白色指示灯闪烁。</w:t>
            </w:r>
          </w:p>
        </w:tc>
      </w:tr>
      <w:tr>
        <w:tc>
          <w:tcPr>
            <w:tcW w:type="dxa" w:w="2076"/>
          </w:tcPr>
          <w:p>
            <w:r>
              <w:rPr/>
              <w:t>▲</w:t>
            </w:r>
          </w:p>
        </w:tc>
        <w:tc>
          <w:tcPr>
            <w:tcW w:type="dxa" w:w="415"/>
          </w:tcPr>
          <w:p>
            <w:r>
              <w:rPr/>
              <w:t>6</w:t>
            </w:r>
          </w:p>
        </w:tc>
        <w:tc>
          <w:tcPr>
            <w:tcW w:type="dxa" w:w="5814"/>
          </w:tcPr>
          <w:p>
            <w:r>
              <w:rPr>
                <w:sz w:val="19"/>
              </w:rPr>
              <w:t>人脸识别精度：</w:t>
            </w:r>
            <w:r>
              <w:rPr>
                <w:sz w:val="19"/>
              </w:rPr>
              <w:t>50000张底库照片下，准确率≥99.8%，误识率≤0.5%，人脸识别速度：单次识别时间＜150ms，通行能力：每分钟通行人次≥50人。</w:t>
            </w:r>
            <w:r>
              <w:rPr>
                <w:b/>
                <w:sz w:val="19"/>
              </w:rPr>
              <w:t>（须提供第三方的证明材料复印件，并加盖投标人公章）</w:t>
            </w:r>
          </w:p>
        </w:tc>
      </w:tr>
      <w:tr>
        <w:tc>
          <w:tcPr>
            <w:tcW w:type="dxa" w:w="2076"/>
          </w:tcPr>
          <w:p>
            <w:r>
              <w:rPr/>
              <w:t>▲</w:t>
            </w:r>
          </w:p>
        </w:tc>
        <w:tc>
          <w:tcPr>
            <w:tcW w:type="dxa" w:w="415"/>
          </w:tcPr>
          <w:p>
            <w:r>
              <w:rPr/>
              <w:t>7</w:t>
            </w:r>
          </w:p>
        </w:tc>
        <w:tc>
          <w:tcPr>
            <w:tcW w:type="dxa" w:w="5814"/>
          </w:tcPr>
          <w:p>
            <w:pPr>
              <w:jc w:val="both"/>
            </w:pPr>
            <w:r>
              <w:rPr>
                <w:sz w:val="19"/>
              </w:rPr>
              <w:t>识别准确率</w:t>
            </w:r>
            <w:r>
              <w:rPr>
                <w:b/>
                <w:sz w:val="19"/>
              </w:rPr>
              <w:t>（须提供第三方的证明材料复印件，并加盖投标人公章）</w:t>
            </w:r>
            <w:r>
              <w:rPr>
                <w:sz w:val="19"/>
              </w:rPr>
              <w:t>：</w:t>
            </w:r>
          </w:p>
          <w:p>
            <w:pPr>
              <w:jc w:val="both"/>
            </w:pPr>
            <w:r>
              <w:rPr>
                <w:sz w:val="19"/>
              </w:rPr>
              <w:t>防假体攻击准确率：防假体攻击准确率</w:t>
            </w:r>
            <w:r>
              <w:rPr>
                <w:sz w:val="19"/>
              </w:rPr>
              <w:t>≥99.8%。</w:t>
            </w:r>
          </w:p>
          <w:p>
            <w:r>
              <w:rPr>
                <w:sz w:val="19"/>
              </w:rPr>
              <w:t>口罩识别准确率：</w:t>
            </w:r>
            <w:r>
              <w:rPr>
                <w:sz w:val="19"/>
              </w:rPr>
              <w:t>50000张底库照片下，准确率≥98%。</w:t>
            </w:r>
          </w:p>
        </w:tc>
      </w:tr>
      <w:tr>
        <w:tc>
          <w:tcPr>
            <w:tcW w:type="dxa" w:w="2076"/>
          </w:tcPr>
          <w:p/>
        </w:tc>
        <w:tc>
          <w:tcPr>
            <w:tcW w:type="dxa" w:w="415"/>
          </w:tcPr>
          <w:p>
            <w:r>
              <w:rPr/>
              <w:t>8</w:t>
            </w:r>
          </w:p>
        </w:tc>
        <w:tc>
          <w:tcPr>
            <w:tcW w:type="dxa" w:w="5814"/>
          </w:tcPr>
          <w:p>
            <w:r>
              <w:rPr>
                <w:sz w:val="19"/>
              </w:rPr>
              <w:t>人脸识别间隔配置：支持设置人脸识别间隔时间</w:t>
            </w:r>
            <w:r>
              <w:rPr>
                <w:sz w:val="19"/>
              </w:rPr>
              <w:t>(1s至10s)。</w:t>
            </w:r>
          </w:p>
        </w:tc>
      </w:tr>
      <w:tr>
        <w:tc>
          <w:tcPr>
            <w:tcW w:type="dxa" w:w="2076"/>
          </w:tcPr>
          <w:p/>
        </w:tc>
        <w:tc>
          <w:tcPr>
            <w:tcW w:type="dxa" w:w="415"/>
          </w:tcPr>
          <w:p>
            <w:r>
              <w:rPr/>
              <w:t>9</w:t>
            </w:r>
          </w:p>
        </w:tc>
        <w:tc>
          <w:tcPr>
            <w:tcW w:type="dxa" w:w="5814"/>
          </w:tcPr>
          <w:p>
            <w:r>
              <w:rPr>
                <w:sz w:val="19"/>
              </w:rPr>
              <w:t>黑名单功能：支持中心下发导入人脸黑名单。</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门禁系统改造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19"/>
              </w:rPr>
              <w:t>一、对原有门禁系统进行功能扩展：</w:t>
            </w:r>
          </w:p>
          <w:p>
            <w:pPr>
              <w:jc w:val="both"/>
            </w:pPr>
            <w:r>
              <w:rPr>
                <w:sz w:val="19"/>
              </w:rPr>
              <w:t>1、首页预览：</w:t>
            </w:r>
          </w:p>
          <w:p>
            <w:r>
              <w:rPr>
                <w:sz w:val="19"/>
              </w:rPr>
              <w:t>1)支持首页查看当天通行统计数据、当前设备状态、人员类型占比、通行预警查看等；</w:t>
            </w:r>
          </w:p>
        </w:tc>
      </w:tr>
      <w:tr>
        <w:tc>
          <w:tcPr>
            <w:tcW w:type="dxa" w:w="2076"/>
          </w:tcPr>
          <w:p>
            <w:r>
              <w:rPr/>
              <w:t>★</w:t>
            </w:r>
          </w:p>
        </w:tc>
        <w:tc>
          <w:tcPr>
            <w:tcW w:type="dxa" w:w="415"/>
          </w:tcPr>
          <w:p>
            <w:r>
              <w:rPr/>
              <w:t>2</w:t>
            </w:r>
          </w:p>
        </w:tc>
        <w:tc>
          <w:tcPr>
            <w:tcW w:type="dxa" w:w="5814"/>
          </w:tcPr>
          <w:p>
            <w:r>
              <w:rPr>
                <w:sz w:val="19"/>
              </w:rPr>
              <w:t>2)支持查看特征提取进度，并且通过详情查看特征生成事件、提取失败记录及原因等。</w:t>
            </w:r>
          </w:p>
        </w:tc>
      </w:tr>
      <w:tr>
        <w:tc>
          <w:tcPr>
            <w:tcW w:type="dxa" w:w="2076"/>
          </w:tcPr>
          <w:p/>
        </w:tc>
        <w:tc>
          <w:tcPr>
            <w:tcW w:type="dxa" w:w="415"/>
          </w:tcPr>
          <w:p>
            <w:r>
              <w:rPr/>
              <w:t>3</w:t>
            </w:r>
          </w:p>
        </w:tc>
        <w:tc>
          <w:tcPr>
            <w:tcW w:type="dxa" w:w="5814"/>
          </w:tcPr>
          <w:p>
            <w:pPr>
              <w:jc w:val="both"/>
            </w:pPr>
            <w:r>
              <w:rPr>
                <w:sz w:val="19"/>
              </w:rPr>
              <w:t>2、身份数据管理：</w:t>
            </w:r>
          </w:p>
          <w:p>
            <w:r>
              <w:rPr>
                <w:sz w:val="19"/>
              </w:rPr>
              <w:t>1）支持人员信息管理：支持组织树管理，支持批量导入人员、支持对人员数据来源进行溯源（系统创建、数据对接）、人员状态（特征提取状态、数据核查、特征手动下发、下发详情）；</w:t>
            </w:r>
          </w:p>
        </w:tc>
      </w:tr>
      <w:tr>
        <w:tc>
          <w:tcPr>
            <w:tcW w:type="dxa" w:w="2076"/>
          </w:tcPr>
          <w:p>
            <w:r>
              <w:rPr/>
              <w:t>▲</w:t>
            </w:r>
          </w:p>
        </w:tc>
        <w:tc>
          <w:tcPr>
            <w:tcW w:type="dxa" w:w="415"/>
          </w:tcPr>
          <w:p>
            <w:r>
              <w:rPr/>
              <w:t>4</w:t>
            </w:r>
          </w:p>
        </w:tc>
        <w:tc>
          <w:tcPr>
            <w:tcW w:type="dxa" w:w="5814"/>
          </w:tcPr>
          <w:p>
            <w:r>
              <w:rPr>
                <w:sz w:val="19"/>
              </w:rPr>
              <w:t>2）支持人员标签管理：支持系统每天生成标签、自定义标签，实现人员的分级分权及数据分域问题，二级部门只能管理其部门人员及设备以及所产生的通行数据；</w:t>
            </w:r>
            <w:r>
              <w:rPr>
                <w:b/>
                <w:sz w:val="19"/>
              </w:rPr>
              <w:t>（提供功能截图，并加盖投标人公章）</w:t>
            </w:r>
          </w:p>
        </w:tc>
      </w:tr>
      <w:tr>
        <w:tc>
          <w:tcPr>
            <w:tcW w:type="dxa" w:w="2076"/>
          </w:tcPr>
          <w:p/>
        </w:tc>
        <w:tc>
          <w:tcPr>
            <w:tcW w:type="dxa" w:w="415"/>
          </w:tcPr>
          <w:p>
            <w:r>
              <w:rPr/>
              <w:t>5</w:t>
            </w:r>
          </w:p>
        </w:tc>
        <w:tc>
          <w:tcPr>
            <w:tcW w:type="dxa" w:w="5814"/>
          </w:tcPr>
          <w:p>
            <w:r>
              <w:rPr>
                <w:sz w:val="19"/>
              </w:rPr>
              <w:t>3）支持人员类型管理：支持新建人员类型，包括本科生、研究所、博士生、在职教师、退休人员等等，并且结合标签功能，做到精细化的权限划分管理；</w:t>
            </w:r>
          </w:p>
        </w:tc>
      </w:tr>
      <w:tr>
        <w:tc>
          <w:tcPr>
            <w:tcW w:type="dxa" w:w="2076"/>
          </w:tcPr>
          <w:p/>
        </w:tc>
        <w:tc>
          <w:tcPr>
            <w:tcW w:type="dxa" w:w="415"/>
          </w:tcPr>
          <w:p>
            <w:r>
              <w:rPr/>
              <w:t>6</w:t>
            </w:r>
          </w:p>
        </w:tc>
        <w:tc>
          <w:tcPr>
            <w:tcW w:type="dxa" w:w="5814"/>
          </w:tcPr>
          <w:p>
            <w:pPr>
              <w:jc w:val="both"/>
            </w:pPr>
            <w:r>
              <w:rPr>
                <w:sz w:val="19"/>
              </w:rPr>
              <w:t>3、终端设备管理：</w:t>
            </w:r>
          </w:p>
          <w:p>
            <w:r>
              <w:rPr>
                <w:sz w:val="19"/>
              </w:rPr>
              <w:t>1）支持通行方向、账号密码、设备端口的设定，对维护更便捷；</w:t>
            </w:r>
          </w:p>
        </w:tc>
      </w:tr>
      <w:tr>
        <w:tc>
          <w:tcPr>
            <w:tcW w:type="dxa" w:w="2076"/>
          </w:tcPr>
          <w:p/>
        </w:tc>
        <w:tc>
          <w:tcPr>
            <w:tcW w:type="dxa" w:w="415"/>
          </w:tcPr>
          <w:p>
            <w:r>
              <w:rPr/>
              <w:t>7</w:t>
            </w:r>
          </w:p>
        </w:tc>
        <w:tc>
          <w:tcPr>
            <w:tcW w:type="dxa" w:w="5814"/>
          </w:tcPr>
          <w:p>
            <w:r>
              <w:rPr>
                <w:sz w:val="19"/>
              </w:rPr>
              <w:t>2）支持手动下发人脸特征数据操作，直观显示当前在线设备数量和离线设备数量；</w:t>
            </w:r>
          </w:p>
        </w:tc>
      </w:tr>
      <w:tr>
        <w:tc>
          <w:tcPr>
            <w:tcW w:type="dxa" w:w="2076"/>
          </w:tcPr>
          <w:p>
            <w:r>
              <w:rPr/>
              <w:t>▲</w:t>
            </w:r>
          </w:p>
        </w:tc>
        <w:tc>
          <w:tcPr>
            <w:tcW w:type="dxa" w:w="415"/>
          </w:tcPr>
          <w:p>
            <w:r>
              <w:rPr/>
              <w:t>8</w:t>
            </w:r>
          </w:p>
        </w:tc>
        <w:tc>
          <w:tcPr>
            <w:tcW w:type="dxa" w:w="5814"/>
          </w:tcPr>
          <w:p>
            <w:pPr>
              <w:jc w:val="both"/>
            </w:pPr>
            <w:r>
              <w:rPr>
                <w:sz w:val="19"/>
              </w:rPr>
              <w:t>4</w:t>
            </w:r>
            <w:r>
              <w:rPr>
                <w:sz w:val="19"/>
              </w:rPr>
              <w:t>、数据脱敏管理：</w:t>
            </w:r>
          </w:p>
          <w:p>
            <w:r>
              <w:rPr>
                <w:sz w:val="19"/>
              </w:rPr>
              <w:t>1)支持脱敏规则的配置，可自定义脱敏规则，包括数据头/尾、脱敏个数、数据截取等，并灵活进行规则的启动或禁用；</w:t>
            </w:r>
            <w:r>
              <w:rPr>
                <w:b/>
                <w:sz w:val="19"/>
              </w:rPr>
              <w:t>（提供功能截图，并加盖投标人公章）</w:t>
            </w:r>
          </w:p>
        </w:tc>
      </w:tr>
      <w:tr>
        <w:tc>
          <w:tcPr>
            <w:tcW w:type="dxa" w:w="2076"/>
          </w:tcPr>
          <w:p/>
        </w:tc>
        <w:tc>
          <w:tcPr>
            <w:tcW w:type="dxa" w:w="415"/>
          </w:tcPr>
          <w:p>
            <w:r>
              <w:rPr/>
              <w:t>9</w:t>
            </w:r>
          </w:p>
        </w:tc>
        <w:tc>
          <w:tcPr>
            <w:tcW w:type="dxa" w:w="5814"/>
          </w:tcPr>
          <w:p>
            <w:r>
              <w:rPr>
                <w:sz w:val="19"/>
              </w:rPr>
              <w:t>2)支持脱敏权限的配置，可关联当前系统账号，对其进行启用脱敏规则。</w:t>
            </w:r>
          </w:p>
        </w:tc>
      </w:tr>
      <w:tr>
        <w:tc>
          <w:tcPr>
            <w:tcW w:type="dxa" w:w="2076"/>
          </w:tcPr>
          <w:p/>
        </w:tc>
        <w:tc>
          <w:tcPr>
            <w:tcW w:type="dxa" w:w="415"/>
          </w:tcPr>
          <w:p>
            <w:r>
              <w:rPr/>
              <w:t>10</w:t>
            </w:r>
          </w:p>
        </w:tc>
        <w:tc>
          <w:tcPr>
            <w:tcW w:type="dxa" w:w="5814"/>
          </w:tcPr>
          <w:p>
            <w:pPr>
              <w:jc w:val="both"/>
            </w:pPr>
            <w:r>
              <w:rPr>
                <w:sz w:val="19"/>
              </w:rPr>
              <w:t>5</w:t>
            </w:r>
            <w:r>
              <w:rPr>
                <w:sz w:val="19"/>
              </w:rPr>
              <w:t>、通行权限管理：</w:t>
            </w:r>
          </w:p>
          <w:p>
            <w:r>
              <w:rPr>
                <w:sz w:val="19"/>
              </w:rPr>
              <w:t>1)支持人员组织管理，超级用户支持自定义新增人员组，并且通过界面单个/批量添加人员信息；</w:t>
            </w:r>
          </w:p>
        </w:tc>
      </w:tr>
      <w:tr>
        <w:tc>
          <w:tcPr>
            <w:tcW w:type="dxa" w:w="2076"/>
          </w:tcPr>
          <w:p/>
        </w:tc>
        <w:tc>
          <w:tcPr>
            <w:tcW w:type="dxa" w:w="415"/>
          </w:tcPr>
          <w:p>
            <w:r>
              <w:rPr/>
              <w:t>11</w:t>
            </w:r>
          </w:p>
        </w:tc>
        <w:tc>
          <w:tcPr>
            <w:tcW w:type="dxa" w:w="5814"/>
          </w:tcPr>
          <w:p>
            <w:r>
              <w:rPr>
                <w:sz w:val="19"/>
              </w:rPr>
              <w:t>2)支持设备授权管理，可根据角色进行设备的关联；</w:t>
            </w:r>
          </w:p>
        </w:tc>
      </w:tr>
      <w:tr>
        <w:tc>
          <w:tcPr>
            <w:tcW w:type="dxa" w:w="2076"/>
          </w:tcPr>
          <w:p/>
        </w:tc>
        <w:tc>
          <w:tcPr>
            <w:tcW w:type="dxa" w:w="415"/>
          </w:tcPr>
          <w:p>
            <w:r>
              <w:rPr/>
              <w:t>12</w:t>
            </w:r>
          </w:p>
        </w:tc>
        <w:tc>
          <w:tcPr>
            <w:tcW w:type="dxa" w:w="5814"/>
          </w:tcPr>
          <w:p>
            <w:r>
              <w:rPr>
                <w:sz w:val="19"/>
              </w:rPr>
              <w:t>3)支持设备规则管理，可对设备组进行设备的管理，并定义通行规则，包括可通行人员、允许/拒绝的通行时间等。</w:t>
            </w:r>
          </w:p>
        </w:tc>
      </w:tr>
      <w:tr>
        <w:tc>
          <w:tcPr>
            <w:tcW w:type="dxa" w:w="2076"/>
          </w:tcPr>
          <w:p/>
        </w:tc>
        <w:tc>
          <w:tcPr>
            <w:tcW w:type="dxa" w:w="415"/>
          </w:tcPr>
          <w:p>
            <w:r>
              <w:rPr/>
              <w:t>13</w:t>
            </w:r>
          </w:p>
        </w:tc>
        <w:tc>
          <w:tcPr>
            <w:tcW w:type="dxa" w:w="5814"/>
          </w:tcPr>
          <w:p>
            <w:pPr>
              <w:jc w:val="both"/>
            </w:pPr>
            <w:r>
              <w:rPr>
                <w:sz w:val="19"/>
              </w:rPr>
              <w:t>6</w:t>
            </w:r>
            <w:r>
              <w:rPr>
                <w:sz w:val="19"/>
              </w:rPr>
              <w:t>、扩展配置管理：</w:t>
            </w:r>
          </w:p>
          <w:p>
            <w:r>
              <w:rPr>
                <w:sz w:val="19"/>
              </w:rPr>
              <w:t>1)支持灵活配置二维码解码网关，支持对接外部统一鉴权，将身份和权限隔离；</w:t>
            </w:r>
          </w:p>
        </w:tc>
      </w:tr>
      <w:tr>
        <w:tc>
          <w:tcPr>
            <w:tcW w:type="dxa" w:w="2076"/>
          </w:tcPr>
          <w:p/>
        </w:tc>
        <w:tc>
          <w:tcPr>
            <w:tcW w:type="dxa" w:w="415"/>
          </w:tcPr>
          <w:p>
            <w:r>
              <w:rPr/>
              <w:t>14</w:t>
            </w:r>
          </w:p>
        </w:tc>
        <w:tc>
          <w:tcPr>
            <w:tcW w:type="dxa" w:w="5814"/>
          </w:tcPr>
          <w:p>
            <w:r>
              <w:rPr>
                <w:sz w:val="19"/>
              </w:rPr>
              <w:t>2)支持人脸质量检测，支持提供接口批量录入数据；</w:t>
            </w:r>
          </w:p>
        </w:tc>
      </w:tr>
      <w:tr>
        <w:tc>
          <w:tcPr>
            <w:tcW w:type="dxa" w:w="2076"/>
          </w:tcPr>
          <w:p/>
        </w:tc>
        <w:tc>
          <w:tcPr>
            <w:tcW w:type="dxa" w:w="415"/>
          </w:tcPr>
          <w:p>
            <w:r>
              <w:rPr/>
              <w:t>15</w:t>
            </w:r>
          </w:p>
        </w:tc>
        <w:tc>
          <w:tcPr>
            <w:tcW w:type="dxa" w:w="5814"/>
          </w:tcPr>
          <w:p>
            <w:r>
              <w:rPr>
                <w:sz w:val="19"/>
              </w:rPr>
              <w:t>3)支持数据核查，实现以图搜图、人员信息一键查看功能。</w:t>
            </w:r>
          </w:p>
        </w:tc>
      </w:tr>
      <w:tr>
        <w:tc>
          <w:tcPr>
            <w:tcW w:type="dxa" w:w="2076"/>
          </w:tcPr>
          <w:p/>
        </w:tc>
        <w:tc>
          <w:tcPr>
            <w:tcW w:type="dxa" w:w="415"/>
          </w:tcPr>
          <w:p>
            <w:r>
              <w:rPr/>
              <w:t>16</w:t>
            </w:r>
          </w:p>
        </w:tc>
        <w:tc>
          <w:tcPr>
            <w:tcW w:type="dxa" w:w="5814"/>
          </w:tcPr>
          <w:p>
            <w:pPr>
              <w:jc w:val="both"/>
            </w:pPr>
            <w:r>
              <w:rPr>
                <w:b/>
                <w:sz w:val="19"/>
              </w:rPr>
              <w:t>二、第三方系统数据对接：</w:t>
            </w:r>
          </w:p>
          <w:p>
            <w:r>
              <w:rPr>
                <w:sz w:val="19"/>
              </w:rPr>
              <w:t>对接场馆预约系统：通过中间库形式，获取预约人员名单信息，在门禁系统上进行授权，实现人脸、刷卡通行。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人脸储物柜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柜体采用</w:t>
            </w:r>
            <w:r>
              <w:rPr>
                <w:sz w:val="19"/>
              </w:rPr>
              <w:t>≥0.8mm镀锌板制作，静电喷塑其工艺流程是前处理(除油、除锈、磷化)；静电喷涂；高温固化；出炉冷却。</w:t>
            </w:r>
          </w:p>
        </w:tc>
      </w:tr>
      <w:tr>
        <w:tc>
          <w:tcPr>
            <w:tcW w:type="dxa" w:w="2076"/>
          </w:tcPr>
          <w:p/>
        </w:tc>
        <w:tc>
          <w:tcPr>
            <w:tcW w:type="dxa" w:w="415"/>
          </w:tcPr>
          <w:p>
            <w:r>
              <w:rPr/>
              <w:t>2</w:t>
            </w:r>
          </w:p>
        </w:tc>
        <w:tc>
          <w:tcPr>
            <w:tcW w:type="dxa" w:w="5814"/>
          </w:tcPr>
          <w:p>
            <w:r>
              <w:rPr>
                <w:sz w:val="19"/>
              </w:rPr>
              <w:t>支持</w:t>
            </w:r>
            <w:r>
              <w:rPr>
                <w:sz w:val="19"/>
              </w:rPr>
              <w:t>≥7英寸触摸显示屏，显示操作说明，箱信息，显示管理操作菜单，全中文菜单式管理界面。</w:t>
            </w:r>
          </w:p>
        </w:tc>
      </w:tr>
      <w:tr>
        <w:tc>
          <w:tcPr>
            <w:tcW w:type="dxa" w:w="2076"/>
          </w:tcPr>
          <w:p/>
        </w:tc>
        <w:tc>
          <w:tcPr>
            <w:tcW w:type="dxa" w:w="415"/>
          </w:tcPr>
          <w:p>
            <w:r>
              <w:rPr/>
              <w:t>3</w:t>
            </w:r>
          </w:p>
        </w:tc>
        <w:tc>
          <w:tcPr>
            <w:tcW w:type="dxa" w:w="5814"/>
          </w:tcPr>
          <w:p>
            <w:r>
              <w:rPr>
                <w:sz w:val="19"/>
              </w:rPr>
              <w:t>电控锁：具有</w:t>
            </w:r>
            <w:r>
              <w:rPr>
                <w:sz w:val="19"/>
              </w:rPr>
              <w:t>360°防撬、防软片插入装置，寿命10万次或以上。</w:t>
            </w:r>
          </w:p>
        </w:tc>
      </w:tr>
      <w:tr>
        <w:tc>
          <w:tcPr>
            <w:tcW w:type="dxa" w:w="2076"/>
          </w:tcPr>
          <w:p>
            <w:r>
              <w:rPr/>
              <w:t>▲</w:t>
            </w:r>
          </w:p>
        </w:tc>
        <w:tc>
          <w:tcPr>
            <w:tcW w:type="dxa" w:w="415"/>
          </w:tcPr>
          <w:p>
            <w:r>
              <w:rPr/>
              <w:t>4</w:t>
            </w:r>
          </w:p>
        </w:tc>
        <w:tc>
          <w:tcPr>
            <w:tcW w:type="dxa" w:w="5814"/>
          </w:tcPr>
          <w:p>
            <w:r>
              <w:rPr>
                <w:sz w:val="19"/>
              </w:rPr>
              <w:t>后台管理设定权限，采用专用</w:t>
            </w:r>
            <w:r>
              <w:rPr>
                <w:sz w:val="19"/>
              </w:rPr>
              <w:t>IC管理界面，管理员通过选择管理菜单可操作“开箱”、“锁箱”和“全开箱”等功能。</w:t>
            </w:r>
            <w:r>
              <w:rPr>
                <w:b/>
                <w:sz w:val="19"/>
              </w:rPr>
              <w:t>（提供后台功能截图，加盖投标人公章）</w:t>
            </w:r>
          </w:p>
        </w:tc>
      </w:tr>
      <w:tr>
        <w:tc>
          <w:tcPr>
            <w:tcW w:type="dxa" w:w="2076"/>
          </w:tcPr>
          <w:p/>
        </w:tc>
        <w:tc>
          <w:tcPr>
            <w:tcW w:type="dxa" w:w="415"/>
          </w:tcPr>
          <w:p>
            <w:r>
              <w:rPr/>
              <w:t>5</w:t>
            </w:r>
          </w:p>
        </w:tc>
        <w:tc>
          <w:tcPr>
            <w:tcW w:type="dxa" w:w="5814"/>
          </w:tcPr>
          <w:p>
            <w:r>
              <w:rPr>
                <w:sz w:val="19"/>
              </w:rPr>
              <w:t>具有语音提示功能。具备完整的存取物记录，及管理操作记录。</w:t>
            </w:r>
          </w:p>
        </w:tc>
      </w:tr>
      <w:tr>
        <w:tc>
          <w:tcPr>
            <w:tcW w:type="dxa" w:w="2076"/>
          </w:tcPr>
          <w:p/>
        </w:tc>
        <w:tc>
          <w:tcPr>
            <w:tcW w:type="dxa" w:w="415"/>
          </w:tcPr>
          <w:p>
            <w:r>
              <w:rPr/>
              <w:t>6</w:t>
            </w:r>
          </w:p>
        </w:tc>
        <w:tc>
          <w:tcPr>
            <w:tcW w:type="dxa" w:w="5814"/>
          </w:tcPr>
          <w:p>
            <w:r>
              <w:rPr>
                <w:sz w:val="19"/>
              </w:rPr>
              <w:t>有后备电源，在电源发生停电时，能保证寄存柜正常工作</w:t>
            </w:r>
            <w:r>
              <w:rPr>
                <w:sz w:val="19"/>
              </w:rPr>
              <w:t>4小时或以上。</w:t>
            </w:r>
          </w:p>
        </w:tc>
      </w:tr>
      <w:tr>
        <w:tc>
          <w:tcPr>
            <w:tcW w:type="dxa" w:w="2076"/>
          </w:tcPr>
          <w:p/>
        </w:tc>
        <w:tc>
          <w:tcPr>
            <w:tcW w:type="dxa" w:w="415"/>
          </w:tcPr>
          <w:p>
            <w:r>
              <w:rPr/>
              <w:t>7</w:t>
            </w:r>
          </w:p>
        </w:tc>
        <w:tc>
          <w:tcPr>
            <w:tcW w:type="dxa" w:w="5814"/>
          </w:tcPr>
          <w:p>
            <w:r>
              <w:rPr>
                <w:sz w:val="19"/>
              </w:rPr>
              <w:t>具有红外线检测物品功能。额定电压</w:t>
            </w:r>
            <w:r>
              <w:rPr>
                <w:sz w:val="19"/>
              </w:rPr>
              <w:t>220V，额定功率≥15W。</w:t>
            </w:r>
          </w:p>
        </w:tc>
      </w:tr>
      <w:tr>
        <w:tc>
          <w:tcPr>
            <w:tcW w:type="dxa" w:w="2076"/>
          </w:tcPr>
          <w:p/>
        </w:tc>
        <w:tc>
          <w:tcPr>
            <w:tcW w:type="dxa" w:w="415"/>
          </w:tcPr>
          <w:p>
            <w:r>
              <w:rPr/>
              <w:t>8</w:t>
            </w:r>
          </w:p>
        </w:tc>
        <w:tc>
          <w:tcPr>
            <w:tcW w:type="dxa" w:w="5814"/>
          </w:tcPr>
          <w:p>
            <w:r>
              <w:rPr>
                <w:sz w:val="19"/>
              </w:rPr>
              <w:t>CPU、存贮器和逻辑控制器等主要部件采用工业级产品。</w:t>
            </w:r>
          </w:p>
        </w:tc>
      </w:tr>
      <w:tr>
        <w:tc>
          <w:tcPr>
            <w:tcW w:type="dxa" w:w="2076"/>
          </w:tcPr>
          <w:p/>
        </w:tc>
        <w:tc>
          <w:tcPr>
            <w:tcW w:type="dxa" w:w="415"/>
          </w:tcPr>
          <w:p>
            <w:r>
              <w:rPr/>
              <w:t>9</w:t>
            </w:r>
          </w:p>
        </w:tc>
        <w:tc>
          <w:tcPr>
            <w:tcW w:type="dxa" w:w="5814"/>
          </w:tcPr>
          <w:p>
            <w:r>
              <w:rPr>
                <w:sz w:val="19"/>
              </w:rPr>
              <w:t>存储空间</w:t>
            </w:r>
            <w:r>
              <w:rPr>
                <w:sz w:val="19"/>
              </w:rPr>
              <w:t>≥36格，格口尺寸≥280mm*450mm*300mm。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非网管交换机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固化</w:t>
            </w:r>
            <w:r>
              <w:rPr>
                <w:sz w:val="19"/>
              </w:rPr>
              <w:t>10/100/1000M以太网电口≥8个；支持全双工/半双工自适应。</w:t>
            </w:r>
          </w:p>
        </w:tc>
      </w:tr>
      <w:tr>
        <w:tc>
          <w:tcPr>
            <w:tcW w:type="dxa" w:w="2076"/>
          </w:tcPr>
          <w:p/>
        </w:tc>
        <w:tc>
          <w:tcPr>
            <w:tcW w:type="dxa" w:w="415"/>
          </w:tcPr>
          <w:p>
            <w:r>
              <w:rPr/>
              <w:t>2</w:t>
            </w:r>
          </w:p>
        </w:tc>
        <w:tc>
          <w:tcPr>
            <w:tcW w:type="dxa" w:w="5814"/>
          </w:tcPr>
          <w:p>
            <w:r>
              <w:rPr>
                <w:sz w:val="19"/>
              </w:rPr>
              <w:t>支持</w:t>
            </w:r>
            <w:r>
              <w:rPr>
                <w:sz w:val="19"/>
              </w:rPr>
              <w:t>IEEE 802.3、IEEE 802.3u、IEEE 802.3ab、IEEE 802.3x等网络标准。</w:t>
            </w:r>
          </w:p>
        </w:tc>
      </w:tr>
      <w:tr>
        <w:tc>
          <w:tcPr>
            <w:tcW w:type="dxa" w:w="2076"/>
          </w:tcPr>
          <w:p/>
        </w:tc>
        <w:tc>
          <w:tcPr>
            <w:tcW w:type="dxa" w:w="415"/>
          </w:tcPr>
          <w:p>
            <w:r>
              <w:rPr/>
              <w:t>3</w:t>
            </w:r>
          </w:p>
        </w:tc>
        <w:tc>
          <w:tcPr>
            <w:tcW w:type="dxa" w:w="5814"/>
          </w:tcPr>
          <w:p>
            <w:r>
              <w:rPr>
                <w:sz w:val="19"/>
              </w:rPr>
              <w:t>双向传输，背板带宽</w:t>
            </w:r>
            <w:r>
              <w:rPr>
                <w:sz w:val="19"/>
              </w:rPr>
              <w:t>≥16Gbps。</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网络摄像机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具有</w:t>
            </w:r>
            <w:r>
              <w:rPr>
                <w:sz w:val="19"/>
              </w:rPr>
              <w:t>≥400万像素CMOS传感器。最低照度彩色不大于0.005 1x，黑白不大于0.0005 lx。</w:t>
            </w:r>
          </w:p>
        </w:tc>
      </w:tr>
      <w:tr>
        <w:tc>
          <w:tcPr>
            <w:tcW w:type="dxa" w:w="2076"/>
          </w:tcPr>
          <w:p/>
        </w:tc>
        <w:tc>
          <w:tcPr>
            <w:tcW w:type="dxa" w:w="415"/>
          </w:tcPr>
          <w:p>
            <w:r>
              <w:rPr/>
              <w:t>2</w:t>
            </w:r>
          </w:p>
        </w:tc>
        <w:tc>
          <w:tcPr>
            <w:tcW w:type="dxa" w:w="5814"/>
          </w:tcPr>
          <w:p>
            <w:r>
              <w:rPr>
                <w:sz w:val="19"/>
              </w:rPr>
              <w:t>补光距离</w:t>
            </w:r>
            <w:r>
              <w:rPr>
                <w:sz w:val="19"/>
              </w:rPr>
              <w:t>≥30米。</w:t>
            </w:r>
          </w:p>
        </w:tc>
      </w:tr>
      <w:tr>
        <w:tc>
          <w:tcPr>
            <w:tcW w:type="dxa" w:w="2076"/>
          </w:tcPr>
          <w:p/>
        </w:tc>
        <w:tc>
          <w:tcPr>
            <w:tcW w:type="dxa" w:w="415"/>
          </w:tcPr>
          <w:p>
            <w:r>
              <w:rPr/>
              <w:t>3</w:t>
            </w:r>
          </w:p>
        </w:tc>
        <w:tc>
          <w:tcPr>
            <w:tcW w:type="dxa" w:w="5814"/>
          </w:tcPr>
          <w:p>
            <w:r>
              <w:rPr>
                <w:sz w:val="19"/>
              </w:rPr>
              <w:t>支持场景变更侦测，区域入侵侦测，越界侦测，进入区域侦测，离开区域侦测，物品遗留侦测，物品拿取侦测，徘徊侦测，停车侦测，人员聚集侦测，快速移动侦测。</w:t>
            </w:r>
          </w:p>
        </w:tc>
      </w:tr>
      <w:tr>
        <w:tc>
          <w:tcPr>
            <w:tcW w:type="dxa" w:w="2076"/>
          </w:tcPr>
          <w:p/>
        </w:tc>
        <w:tc>
          <w:tcPr>
            <w:tcW w:type="dxa" w:w="415"/>
          </w:tcPr>
          <w:p>
            <w:r>
              <w:rPr/>
              <w:t>4</w:t>
            </w:r>
          </w:p>
        </w:tc>
        <w:tc>
          <w:tcPr>
            <w:tcW w:type="dxa" w:w="5814"/>
          </w:tcPr>
          <w:p>
            <w:r>
              <w:rPr>
                <w:sz w:val="19"/>
              </w:rPr>
              <w:t>内置麦克风数量</w:t>
            </w:r>
            <w:r>
              <w:rPr>
                <w:sz w:val="19"/>
              </w:rPr>
              <w:t>≥1。</w:t>
            </w:r>
          </w:p>
        </w:tc>
      </w:tr>
      <w:tr>
        <w:tc>
          <w:tcPr>
            <w:tcW w:type="dxa" w:w="2076"/>
          </w:tcPr>
          <w:p/>
        </w:tc>
        <w:tc>
          <w:tcPr>
            <w:tcW w:type="dxa" w:w="415"/>
          </w:tcPr>
          <w:p>
            <w:r>
              <w:rPr/>
              <w:t>5</w:t>
            </w:r>
          </w:p>
        </w:tc>
        <w:tc>
          <w:tcPr>
            <w:tcW w:type="dxa" w:w="5814"/>
          </w:tcPr>
          <w:p>
            <w:r>
              <w:rPr>
                <w:sz w:val="19"/>
              </w:rPr>
              <w:t>支持</w:t>
            </w:r>
            <w:r>
              <w:rPr>
                <w:sz w:val="19"/>
              </w:rPr>
              <w:t>≥IP67防尘防水。</w:t>
            </w:r>
          </w:p>
        </w:tc>
      </w:tr>
      <w:tr>
        <w:tc>
          <w:tcPr>
            <w:tcW w:type="dxa" w:w="2076"/>
          </w:tcPr>
          <w:p/>
        </w:tc>
        <w:tc>
          <w:tcPr>
            <w:tcW w:type="dxa" w:w="415"/>
          </w:tcPr>
          <w:p>
            <w:r>
              <w:rPr/>
              <w:t>6</w:t>
            </w:r>
          </w:p>
        </w:tc>
        <w:tc>
          <w:tcPr>
            <w:tcW w:type="dxa" w:w="5814"/>
          </w:tcPr>
          <w:p>
            <w:r>
              <w:rPr>
                <w:sz w:val="19"/>
              </w:rPr>
              <w:t>支持</w:t>
            </w:r>
            <w:r>
              <w:rPr>
                <w:sz w:val="19"/>
              </w:rPr>
              <w:t>DC12V供电，且在不小于DC 12V±30%范围内变化时可以正常工作。</w:t>
            </w:r>
          </w:p>
        </w:tc>
      </w:tr>
      <w:tr>
        <w:tc>
          <w:tcPr>
            <w:tcW w:type="dxa" w:w="2076"/>
          </w:tcPr>
          <w:p/>
        </w:tc>
        <w:tc>
          <w:tcPr>
            <w:tcW w:type="dxa" w:w="415"/>
          </w:tcPr>
          <w:p>
            <w:r>
              <w:rPr/>
              <w:t>7</w:t>
            </w:r>
          </w:p>
        </w:tc>
        <w:tc>
          <w:tcPr>
            <w:tcW w:type="dxa" w:w="5814"/>
          </w:tcPr>
          <w:p>
            <w:r>
              <w:rPr>
                <w:sz w:val="19"/>
              </w:rPr>
              <w:t>支持与通道闸机进行联动，实现翻越闸抓拍、尾随抓拍等功能，并支持在闸机移动端管理页面中查看当前通行状态。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单机芯翼闸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9"/>
              </w:rPr>
              <w:t>支持人脸识别设备联动，支持以下出入验证方式：</w:t>
            </w:r>
          </w:p>
          <w:p>
            <w:pPr>
              <w:jc w:val="both"/>
            </w:pPr>
            <w:r>
              <w:rPr>
                <w:sz w:val="19"/>
              </w:rPr>
              <w:t>1)卡+人脸+体温；</w:t>
            </w:r>
          </w:p>
          <w:p>
            <w:pPr>
              <w:jc w:val="both"/>
            </w:pPr>
            <w:r>
              <w:rPr>
                <w:sz w:val="19"/>
              </w:rPr>
              <w:t>2)卡+人脸；</w:t>
            </w:r>
          </w:p>
          <w:p>
            <w:pPr>
              <w:jc w:val="both"/>
            </w:pPr>
            <w:r>
              <w:rPr>
                <w:sz w:val="19"/>
              </w:rPr>
              <w:t>3)卡+体温；</w:t>
            </w:r>
          </w:p>
          <w:p>
            <w:pPr>
              <w:jc w:val="both"/>
            </w:pPr>
            <w:r>
              <w:rPr>
                <w:sz w:val="19"/>
              </w:rPr>
              <w:t>4)二维码+体温；</w:t>
            </w:r>
          </w:p>
          <w:p>
            <w:pPr>
              <w:jc w:val="both"/>
            </w:pPr>
            <w:r>
              <w:rPr>
                <w:sz w:val="19"/>
              </w:rPr>
              <w:t>5)人脸+体温；</w:t>
            </w:r>
          </w:p>
          <w:p>
            <w:pPr>
              <w:jc w:val="both"/>
            </w:pPr>
            <w:r>
              <w:rPr>
                <w:sz w:val="19"/>
              </w:rPr>
              <w:t>6)二代证+人脸；</w:t>
            </w:r>
          </w:p>
          <w:p>
            <w:pPr>
              <w:jc w:val="both"/>
            </w:pPr>
            <w:r>
              <w:rPr>
                <w:sz w:val="19"/>
              </w:rPr>
              <w:t>7)刷卡验证；</w:t>
            </w:r>
          </w:p>
          <w:p>
            <w:pPr>
              <w:jc w:val="both"/>
            </w:pPr>
            <w:r>
              <w:rPr>
                <w:sz w:val="19"/>
              </w:rPr>
              <w:t>8)人脸验证；</w:t>
            </w:r>
          </w:p>
          <w:p>
            <w:pPr>
              <w:jc w:val="both"/>
            </w:pPr>
            <w:r>
              <w:rPr>
                <w:sz w:val="19"/>
              </w:rPr>
              <w:t>9)二维码验证；</w:t>
            </w:r>
          </w:p>
          <w:p>
            <w:r>
              <w:rPr>
                <w:sz w:val="19"/>
              </w:rPr>
              <w:t>10)身份证验证。</w:t>
            </w:r>
          </w:p>
        </w:tc>
      </w:tr>
      <w:tr>
        <w:tc>
          <w:tcPr>
            <w:tcW w:type="dxa" w:w="2076"/>
          </w:tcPr>
          <w:p/>
        </w:tc>
        <w:tc>
          <w:tcPr>
            <w:tcW w:type="dxa" w:w="415"/>
          </w:tcPr>
          <w:p>
            <w:r>
              <w:rPr/>
              <w:t>2</w:t>
            </w:r>
          </w:p>
        </w:tc>
        <w:tc>
          <w:tcPr>
            <w:tcW w:type="dxa" w:w="5814"/>
          </w:tcPr>
          <w:p>
            <w:r>
              <w:rPr>
                <w:sz w:val="19"/>
              </w:rPr>
              <w:t>闸机通道采用厚度不低于</w:t>
            </w:r>
            <w:r>
              <w:rPr>
                <w:sz w:val="19"/>
              </w:rPr>
              <w:t>1.5mm的不锈钢材质，通道宽度550~600mm。</w:t>
            </w:r>
          </w:p>
        </w:tc>
      </w:tr>
      <w:tr>
        <w:tc>
          <w:tcPr>
            <w:tcW w:type="dxa" w:w="2076"/>
          </w:tcPr>
          <w:p/>
        </w:tc>
        <w:tc>
          <w:tcPr>
            <w:tcW w:type="dxa" w:w="415"/>
          </w:tcPr>
          <w:p>
            <w:r>
              <w:rPr/>
              <w:t>3</w:t>
            </w:r>
          </w:p>
        </w:tc>
        <w:tc>
          <w:tcPr>
            <w:tcW w:type="dxa" w:w="5814"/>
          </w:tcPr>
          <w:p>
            <w:r>
              <w:rPr>
                <w:sz w:val="19"/>
              </w:rPr>
              <w:t>采用不少于</w:t>
            </w:r>
            <w:r>
              <w:rPr>
                <w:sz w:val="19"/>
              </w:rPr>
              <w:t>12对红外装置实现防尾随、方向判别、防夹伤、报警功能。</w:t>
            </w:r>
          </w:p>
        </w:tc>
      </w:tr>
      <w:tr>
        <w:tc>
          <w:tcPr>
            <w:tcW w:type="dxa" w:w="2076"/>
          </w:tcPr>
          <w:p/>
        </w:tc>
        <w:tc>
          <w:tcPr>
            <w:tcW w:type="dxa" w:w="415"/>
          </w:tcPr>
          <w:p>
            <w:r>
              <w:rPr/>
              <w:t>4</w:t>
            </w:r>
          </w:p>
        </w:tc>
        <w:tc>
          <w:tcPr>
            <w:tcW w:type="dxa" w:w="5814"/>
          </w:tcPr>
          <w:p>
            <w:r>
              <w:rPr>
                <w:sz w:val="19"/>
              </w:rPr>
              <w:t>闸机采用无刷电机，闸机通行速</w:t>
            </w:r>
            <w:r>
              <w:rPr>
                <w:sz w:val="19"/>
              </w:rPr>
              <w:t>≥人脸识别35人/分钟、刷卡60人/分钟。</w:t>
            </w:r>
          </w:p>
        </w:tc>
      </w:tr>
      <w:tr>
        <w:tc>
          <w:tcPr>
            <w:tcW w:type="dxa" w:w="2076"/>
          </w:tcPr>
          <w:p/>
        </w:tc>
        <w:tc>
          <w:tcPr>
            <w:tcW w:type="dxa" w:w="415"/>
          </w:tcPr>
          <w:p>
            <w:r>
              <w:rPr/>
              <w:t>5</w:t>
            </w:r>
          </w:p>
        </w:tc>
        <w:tc>
          <w:tcPr>
            <w:tcW w:type="dxa" w:w="5814"/>
          </w:tcPr>
          <w:p>
            <w:r>
              <w:rPr>
                <w:sz w:val="19"/>
              </w:rPr>
              <w:t>设备运行寿命开关次数</w:t>
            </w:r>
            <w:r>
              <w:rPr>
                <w:sz w:val="19"/>
              </w:rPr>
              <w:t>≥1200万次。</w:t>
            </w:r>
          </w:p>
        </w:tc>
      </w:tr>
      <w:tr>
        <w:tc>
          <w:tcPr>
            <w:tcW w:type="dxa" w:w="2076"/>
          </w:tcPr>
          <w:p>
            <w:r>
              <w:rPr/>
              <w:t>▲</w:t>
            </w:r>
          </w:p>
        </w:tc>
        <w:tc>
          <w:tcPr>
            <w:tcW w:type="dxa" w:w="415"/>
          </w:tcPr>
          <w:p>
            <w:r>
              <w:rPr/>
              <w:t>6</w:t>
            </w:r>
          </w:p>
        </w:tc>
        <w:tc>
          <w:tcPr>
            <w:tcW w:type="dxa" w:w="5814"/>
          </w:tcPr>
          <w:p>
            <w:r>
              <w:rPr>
                <w:sz w:val="19"/>
              </w:rPr>
              <w:t>支持不低于</w:t>
            </w:r>
            <w:r>
              <w:rPr>
                <w:sz w:val="19"/>
              </w:rPr>
              <w:t>50万卡片管理和不低于70万事件记录存储。</w:t>
            </w:r>
            <w:r>
              <w:rPr>
                <w:b/>
                <w:sz w:val="19"/>
              </w:rPr>
              <w:t>（须提供第三方的证明材料复印件，并加盖投标人公章）</w:t>
            </w:r>
          </w:p>
        </w:tc>
      </w:tr>
      <w:tr>
        <w:tc>
          <w:tcPr>
            <w:tcW w:type="dxa" w:w="2076"/>
          </w:tcPr>
          <w:p/>
        </w:tc>
        <w:tc>
          <w:tcPr>
            <w:tcW w:type="dxa" w:w="415"/>
          </w:tcPr>
          <w:p>
            <w:r>
              <w:rPr/>
              <w:t>7</w:t>
            </w:r>
          </w:p>
        </w:tc>
        <w:tc>
          <w:tcPr>
            <w:tcW w:type="dxa" w:w="5814"/>
          </w:tcPr>
          <w:p>
            <w:r>
              <w:rPr>
                <w:sz w:val="19"/>
              </w:rPr>
              <w:t>闸机具有滤重功能，在规定时间内同一张卡或人脸只能在一路通道进出使用，不允许同时打开多路通道。</w:t>
            </w:r>
          </w:p>
        </w:tc>
      </w:tr>
      <w:tr>
        <w:tc>
          <w:tcPr>
            <w:tcW w:type="dxa" w:w="2076"/>
          </w:tcPr>
          <w:p/>
        </w:tc>
        <w:tc>
          <w:tcPr>
            <w:tcW w:type="dxa" w:w="415"/>
          </w:tcPr>
          <w:p>
            <w:r>
              <w:rPr/>
              <w:t>8</w:t>
            </w:r>
          </w:p>
        </w:tc>
        <w:tc>
          <w:tcPr>
            <w:tcW w:type="dxa" w:w="5814"/>
          </w:tcPr>
          <w:p>
            <w:r>
              <w:rPr>
                <w:sz w:val="19"/>
              </w:rPr>
              <w:t>通讯方式：通道机采用</w:t>
            </w:r>
            <w:r>
              <w:rPr>
                <w:sz w:val="19"/>
              </w:rPr>
              <w:t>TCP/IP协议进行通讯，当闸机与管理软件断开通讯后，闸机可以脱机使用进行进出验证，继续存储记录，在通讯恢复后上传记录到管理软件。</w:t>
            </w:r>
          </w:p>
        </w:tc>
      </w:tr>
      <w:tr>
        <w:tc>
          <w:tcPr>
            <w:tcW w:type="dxa" w:w="2076"/>
          </w:tcPr>
          <w:p/>
        </w:tc>
        <w:tc>
          <w:tcPr>
            <w:tcW w:type="dxa" w:w="415"/>
          </w:tcPr>
          <w:p>
            <w:r>
              <w:rPr/>
              <w:t>9</w:t>
            </w:r>
          </w:p>
        </w:tc>
        <w:tc>
          <w:tcPr>
            <w:tcW w:type="dxa" w:w="5814"/>
          </w:tcPr>
          <w:p>
            <w:r>
              <w:rPr>
                <w:sz w:val="19"/>
              </w:rPr>
              <w:t>联网提示功能：闸机与管理软件之间通讯断开或恢复通讯时闸机有语音提示功能。</w:t>
            </w:r>
          </w:p>
        </w:tc>
      </w:tr>
      <w:tr>
        <w:tc>
          <w:tcPr>
            <w:tcW w:type="dxa" w:w="2076"/>
          </w:tcPr>
          <w:p/>
        </w:tc>
        <w:tc>
          <w:tcPr>
            <w:tcW w:type="dxa" w:w="415"/>
          </w:tcPr>
          <w:p>
            <w:r>
              <w:rPr/>
              <w:t>10</w:t>
            </w:r>
          </w:p>
        </w:tc>
        <w:tc>
          <w:tcPr>
            <w:tcW w:type="dxa" w:w="5814"/>
          </w:tcPr>
          <w:p>
            <w:r>
              <w:rPr>
                <w:sz w:val="19"/>
              </w:rPr>
              <w:t>防尾随功能：系统具有防止尾随功能，当通道内通行人数超过允许通行设定人数时可给出报警提示</w:t>
            </w:r>
            <w:r>
              <w:rPr>
                <w:sz w:val="19"/>
              </w:rPr>
              <w:t>(语音播报、灯光指示)同时上传报警事件，两人间的最小检测间距可达20mm。</w:t>
            </w:r>
          </w:p>
        </w:tc>
      </w:tr>
      <w:tr>
        <w:tc>
          <w:tcPr>
            <w:tcW w:type="dxa" w:w="2076"/>
          </w:tcPr>
          <w:p/>
        </w:tc>
        <w:tc>
          <w:tcPr>
            <w:tcW w:type="dxa" w:w="415"/>
          </w:tcPr>
          <w:p>
            <w:r>
              <w:rPr/>
              <w:t>11</w:t>
            </w:r>
          </w:p>
        </w:tc>
        <w:tc>
          <w:tcPr>
            <w:tcW w:type="dxa" w:w="5814"/>
          </w:tcPr>
          <w:p>
            <w:r>
              <w:rPr>
                <w:sz w:val="19"/>
              </w:rPr>
              <w:t>双向进出，自动识别方向：每路通道均可入可出，提高设备使用率，人员通过时，系统会自动识别进出方向，为管理者提供更准确的数据。</w:t>
            </w:r>
          </w:p>
        </w:tc>
      </w:tr>
      <w:tr>
        <w:tc>
          <w:tcPr>
            <w:tcW w:type="dxa" w:w="2076"/>
          </w:tcPr>
          <w:p/>
        </w:tc>
        <w:tc>
          <w:tcPr>
            <w:tcW w:type="dxa" w:w="415"/>
          </w:tcPr>
          <w:p>
            <w:r>
              <w:rPr/>
              <w:t>12</w:t>
            </w:r>
          </w:p>
        </w:tc>
        <w:tc>
          <w:tcPr>
            <w:tcW w:type="dxa" w:w="5814"/>
          </w:tcPr>
          <w:p>
            <w:r>
              <w:rPr>
                <w:sz w:val="19"/>
              </w:rPr>
              <w:t>支持</w:t>
            </w:r>
            <w:r>
              <w:rPr>
                <w:sz w:val="19"/>
              </w:rPr>
              <w:t>“反潜入”：使用身份标签(卡片、二维码、人脸)在同一通行方向上无法在多台设备上连续身份确认通行，设备可发出语音提示重复出入二维码和人脸身份标签是否参与可通过软件配置。</w:t>
            </w:r>
          </w:p>
        </w:tc>
      </w:tr>
      <w:tr>
        <w:tc>
          <w:tcPr>
            <w:tcW w:type="dxa" w:w="2076"/>
          </w:tcPr>
          <w:p/>
        </w:tc>
        <w:tc>
          <w:tcPr>
            <w:tcW w:type="dxa" w:w="415"/>
          </w:tcPr>
          <w:p>
            <w:r>
              <w:rPr/>
              <w:t>13</w:t>
            </w:r>
          </w:p>
        </w:tc>
        <w:tc>
          <w:tcPr>
            <w:tcW w:type="dxa" w:w="5814"/>
          </w:tcPr>
          <w:p>
            <w:r>
              <w:rPr>
                <w:sz w:val="19"/>
              </w:rPr>
              <w:t>消防系统联动功能：系统能与消防系统联动，当消防给出火警信号时，通道闸机可自动打开。</w:t>
            </w:r>
          </w:p>
        </w:tc>
      </w:tr>
      <w:tr>
        <w:tc>
          <w:tcPr>
            <w:tcW w:type="dxa" w:w="2076"/>
          </w:tcPr>
          <w:p>
            <w:r>
              <w:rPr/>
              <w:t>▲</w:t>
            </w:r>
          </w:p>
        </w:tc>
        <w:tc>
          <w:tcPr>
            <w:tcW w:type="dxa" w:w="415"/>
          </w:tcPr>
          <w:p>
            <w:r>
              <w:rPr/>
              <w:t>14</w:t>
            </w:r>
          </w:p>
        </w:tc>
        <w:tc>
          <w:tcPr>
            <w:tcW w:type="dxa" w:w="5814"/>
          </w:tcPr>
          <w:p>
            <w:r>
              <w:rPr>
                <w:sz w:val="19"/>
              </w:rPr>
              <w:t>防跳跃功能：对不刷卡跳跃或翻过通道自动进行报警提示</w:t>
            </w:r>
            <w:r>
              <w:rPr>
                <w:sz w:val="19"/>
              </w:rPr>
              <w:t>(语音播报、灯光提示)同时上传报警事件。</w:t>
            </w:r>
            <w:r>
              <w:rPr>
                <w:b/>
                <w:sz w:val="19"/>
              </w:rPr>
              <w:t>（须提供第三方的证明材料复印件，并加盖投标人公章）</w:t>
            </w:r>
          </w:p>
        </w:tc>
      </w:tr>
      <w:tr>
        <w:tc>
          <w:tcPr>
            <w:tcW w:type="dxa" w:w="2076"/>
          </w:tcPr>
          <w:p/>
        </w:tc>
        <w:tc>
          <w:tcPr>
            <w:tcW w:type="dxa" w:w="415"/>
          </w:tcPr>
          <w:p>
            <w:r>
              <w:rPr/>
              <w:t>15</w:t>
            </w:r>
          </w:p>
        </w:tc>
        <w:tc>
          <w:tcPr>
            <w:tcW w:type="dxa" w:w="5814"/>
          </w:tcPr>
          <w:p>
            <w:r>
              <w:rPr>
                <w:sz w:val="19"/>
              </w:rPr>
              <w:t>防反向闯入功能：某一方向的通行过程结束之前，人员从相反方向进入通道将被视为反向闯入：验证开门后检测到反向进入行为，将给出报警提示</w:t>
            </w:r>
            <w:r>
              <w:rPr>
                <w:sz w:val="19"/>
              </w:rPr>
              <w:t>(语音播报、灯光提示)，同时会上传报警事件。</w:t>
            </w:r>
          </w:p>
        </w:tc>
      </w:tr>
      <w:tr>
        <w:tc>
          <w:tcPr>
            <w:tcW w:type="dxa" w:w="2076"/>
          </w:tcPr>
          <w:p/>
        </w:tc>
        <w:tc>
          <w:tcPr>
            <w:tcW w:type="dxa" w:w="415"/>
          </w:tcPr>
          <w:p>
            <w:r>
              <w:rPr/>
              <w:t>16</w:t>
            </w:r>
          </w:p>
        </w:tc>
        <w:tc>
          <w:tcPr>
            <w:tcW w:type="dxa" w:w="5814"/>
          </w:tcPr>
          <w:p>
            <w:r>
              <w:rPr>
                <w:sz w:val="19"/>
              </w:rPr>
              <w:t>断电开闻功能：断电时系统会自动打开闸翼成敞开状态，方便疏散人群，符合消防要求。</w:t>
            </w:r>
          </w:p>
        </w:tc>
      </w:tr>
      <w:tr>
        <w:tc>
          <w:tcPr>
            <w:tcW w:type="dxa" w:w="2076"/>
          </w:tcPr>
          <w:p/>
        </w:tc>
        <w:tc>
          <w:tcPr>
            <w:tcW w:type="dxa" w:w="415"/>
          </w:tcPr>
          <w:p>
            <w:r>
              <w:rPr/>
              <w:t>17</w:t>
            </w:r>
          </w:p>
        </w:tc>
        <w:tc>
          <w:tcPr>
            <w:tcW w:type="dxa" w:w="5814"/>
          </w:tcPr>
          <w:p>
            <w:r>
              <w:rPr>
                <w:sz w:val="19"/>
              </w:rPr>
              <w:t>通行方式：通过管理软件设置闸机在指定时间段运行模式，受控通行、自由通行、禁止通行、只许进不许出、只许出不许进。工作模式：常开</w:t>
            </w:r>
            <w:r>
              <w:rPr>
                <w:sz w:val="19"/>
              </w:rPr>
              <w:t>/常闭(默认)，可自由切换。</w:t>
            </w:r>
          </w:p>
        </w:tc>
      </w:tr>
      <w:tr>
        <w:tc>
          <w:tcPr>
            <w:tcW w:type="dxa" w:w="2076"/>
          </w:tcPr>
          <w:p/>
        </w:tc>
        <w:tc>
          <w:tcPr>
            <w:tcW w:type="dxa" w:w="415"/>
          </w:tcPr>
          <w:p>
            <w:r>
              <w:rPr/>
              <w:t>18</w:t>
            </w:r>
          </w:p>
        </w:tc>
        <w:tc>
          <w:tcPr>
            <w:tcW w:type="dxa" w:w="5814"/>
          </w:tcPr>
          <w:p>
            <w:r>
              <w:rPr>
                <w:sz w:val="19"/>
              </w:rPr>
              <w:t>红外防夹：在靠近闸翼活动的区域</w:t>
            </w:r>
            <w:r>
              <w:rPr>
                <w:sz w:val="19"/>
              </w:rPr>
              <w:t>(防夹区域)安装多对红外探测器，一且检测到防夹区域有人或物体，闸翼自动停止动作；直到人或物体离开防夹区域后，闸翼才继续动作。</w:t>
            </w:r>
          </w:p>
        </w:tc>
      </w:tr>
      <w:tr>
        <w:tc>
          <w:tcPr>
            <w:tcW w:type="dxa" w:w="2076"/>
          </w:tcPr>
          <w:p/>
        </w:tc>
        <w:tc>
          <w:tcPr>
            <w:tcW w:type="dxa" w:w="415"/>
          </w:tcPr>
          <w:p>
            <w:r>
              <w:rPr/>
              <w:t>19</w:t>
            </w:r>
          </w:p>
        </w:tc>
        <w:tc>
          <w:tcPr>
            <w:tcW w:type="dxa" w:w="5814"/>
          </w:tcPr>
          <w:p>
            <w:r>
              <w:rPr>
                <w:sz w:val="19"/>
              </w:rPr>
              <w:t>机械防夹；闸翼在关闭过程中碰到阻碍，会瞬时反向弹开；闸翼关闭过程中的冲撞力在安全范围内。</w:t>
            </w:r>
          </w:p>
        </w:tc>
      </w:tr>
      <w:tr>
        <w:tc>
          <w:tcPr>
            <w:tcW w:type="dxa" w:w="2076"/>
          </w:tcPr>
          <w:p/>
        </w:tc>
        <w:tc>
          <w:tcPr>
            <w:tcW w:type="dxa" w:w="415"/>
          </w:tcPr>
          <w:p>
            <w:r>
              <w:rPr/>
              <w:t>20</w:t>
            </w:r>
          </w:p>
        </w:tc>
        <w:tc>
          <w:tcPr>
            <w:tcW w:type="dxa" w:w="5814"/>
          </w:tcPr>
          <w:p>
            <w:r>
              <w:rPr>
                <w:sz w:val="19"/>
              </w:rPr>
              <w:t>滞留提示功能：有人员滞留在通道内超过规定的时间，闸机会有语音提示，通知滞留人员。</w:t>
            </w:r>
          </w:p>
        </w:tc>
      </w:tr>
      <w:tr>
        <w:tc>
          <w:tcPr>
            <w:tcW w:type="dxa" w:w="2076"/>
          </w:tcPr>
          <w:p>
            <w:r>
              <w:rPr/>
              <w:t>▲</w:t>
            </w:r>
          </w:p>
        </w:tc>
        <w:tc>
          <w:tcPr>
            <w:tcW w:type="dxa" w:w="415"/>
          </w:tcPr>
          <w:p>
            <w:r>
              <w:rPr/>
              <w:t>21</w:t>
            </w:r>
          </w:p>
        </w:tc>
        <w:tc>
          <w:tcPr>
            <w:tcW w:type="dxa" w:w="5814"/>
          </w:tcPr>
          <w:p>
            <w:r>
              <w:rPr>
                <w:sz w:val="19"/>
              </w:rPr>
              <w:t>应急开启功能：通过管理软件、开关按键、开关量输入接口开启闸翼，配置紧急逃生控制装置，使系统自动打开闸翼，方便疏散人群</w:t>
            </w:r>
            <w:r>
              <w:rPr>
                <w:sz w:val="19"/>
              </w:rPr>
              <w:t>(可远程控制)。</w:t>
            </w:r>
            <w:r>
              <w:rPr>
                <w:b/>
                <w:sz w:val="19"/>
              </w:rPr>
              <w:t>（须提供第三方的证明材料复印件，并加盖投标人公章）</w:t>
            </w:r>
          </w:p>
        </w:tc>
      </w:tr>
      <w:tr>
        <w:tc>
          <w:tcPr>
            <w:tcW w:type="dxa" w:w="2076"/>
          </w:tcPr>
          <w:p>
            <w:r>
              <w:rPr/>
              <w:t>▲</w:t>
            </w:r>
          </w:p>
        </w:tc>
        <w:tc>
          <w:tcPr>
            <w:tcW w:type="dxa" w:w="415"/>
          </w:tcPr>
          <w:p>
            <w:r>
              <w:rPr/>
              <w:t>22</w:t>
            </w:r>
          </w:p>
        </w:tc>
        <w:tc>
          <w:tcPr>
            <w:tcW w:type="dxa" w:w="5814"/>
          </w:tcPr>
          <w:p>
            <w:r>
              <w:rPr>
                <w:sz w:val="19"/>
              </w:rPr>
              <w:t>系统检测功能：支持可通过移动端软件对设备进行远程开关控制、健康检测；并支持将设备的故障信息推送至移动端软件进行提醒。</w:t>
            </w:r>
            <w:r>
              <w:rPr>
                <w:b/>
                <w:sz w:val="19"/>
              </w:rPr>
              <w:t>（须提供第三方的证明材料复印件，并加盖投标人公章）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接入交换机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交换容量</w:t>
            </w:r>
            <w:r>
              <w:rPr>
                <w:sz w:val="19"/>
              </w:rPr>
              <w:t>≥336G。包转发率≥51Mpps。</w:t>
            </w:r>
          </w:p>
        </w:tc>
      </w:tr>
      <w:tr>
        <w:tc>
          <w:tcPr>
            <w:tcW w:type="dxa" w:w="2076"/>
          </w:tcPr>
          <w:p/>
        </w:tc>
        <w:tc>
          <w:tcPr>
            <w:tcW w:type="dxa" w:w="415"/>
          </w:tcPr>
          <w:p>
            <w:r>
              <w:rPr/>
              <w:t>2</w:t>
            </w:r>
          </w:p>
        </w:tc>
        <w:tc>
          <w:tcPr>
            <w:tcW w:type="dxa" w:w="5814"/>
          </w:tcPr>
          <w:p>
            <w:r>
              <w:rPr>
                <w:sz w:val="19"/>
              </w:rPr>
              <w:t>固化</w:t>
            </w:r>
            <w:r>
              <w:rPr>
                <w:sz w:val="19"/>
              </w:rPr>
              <w:t>10/100/1000M以太网端口≥24个，固化1G SFP光接口≥4个。</w:t>
            </w:r>
          </w:p>
        </w:tc>
      </w:tr>
      <w:tr>
        <w:tc>
          <w:tcPr>
            <w:tcW w:type="dxa" w:w="2076"/>
          </w:tcPr>
          <w:p/>
        </w:tc>
        <w:tc>
          <w:tcPr>
            <w:tcW w:type="dxa" w:w="415"/>
          </w:tcPr>
          <w:p>
            <w:r>
              <w:rPr/>
              <w:t>3</w:t>
            </w:r>
          </w:p>
        </w:tc>
        <w:tc>
          <w:tcPr>
            <w:tcW w:type="dxa" w:w="5814"/>
          </w:tcPr>
          <w:p>
            <w:r>
              <w:rPr>
                <w:sz w:val="19"/>
              </w:rPr>
              <w:t>为保证设备在受到外界机械碰撞时能够正常运行，要求所投交换机</w:t>
            </w:r>
            <w:r>
              <w:rPr>
                <w:sz w:val="19"/>
              </w:rPr>
              <w:t>IK防护测试级别至少达到IK05。</w:t>
            </w:r>
          </w:p>
        </w:tc>
      </w:tr>
      <w:tr>
        <w:tc>
          <w:tcPr>
            <w:tcW w:type="dxa" w:w="2076"/>
          </w:tcPr>
          <w:p/>
        </w:tc>
        <w:tc>
          <w:tcPr>
            <w:tcW w:type="dxa" w:w="415"/>
          </w:tcPr>
          <w:p>
            <w:r>
              <w:rPr/>
              <w:t>4</w:t>
            </w:r>
          </w:p>
        </w:tc>
        <w:tc>
          <w:tcPr>
            <w:tcW w:type="dxa" w:w="5814"/>
          </w:tcPr>
          <w:p>
            <w:r>
              <w:rPr>
                <w:sz w:val="19"/>
              </w:rPr>
              <w:t>支持</w:t>
            </w:r>
            <w:r>
              <w:rPr>
                <w:sz w:val="19"/>
              </w:rPr>
              <w:t>POE和POE+，同时可POE供电端口≥24个，POE最大输出功率≥370W。</w:t>
            </w:r>
          </w:p>
        </w:tc>
      </w:tr>
      <w:tr>
        <w:tc>
          <w:tcPr>
            <w:tcW w:type="dxa" w:w="2076"/>
          </w:tcPr>
          <w:p/>
        </w:tc>
        <w:tc>
          <w:tcPr>
            <w:tcW w:type="dxa" w:w="415"/>
          </w:tcPr>
          <w:p>
            <w:r>
              <w:rPr/>
              <w:t>5</w:t>
            </w:r>
          </w:p>
        </w:tc>
        <w:tc>
          <w:tcPr>
            <w:tcW w:type="dxa" w:w="5814"/>
          </w:tcPr>
          <w:p>
            <w:r>
              <w:rPr>
                <w:sz w:val="19"/>
              </w:rPr>
              <w:t>支持生成树协议</w:t>
            </w:r>
            <w:r>
              <w:rPr>
                <w:sz w:val="19"/>
              </w:rPr>
              <w:t>STP(IEEE 802.1d)，RSTP(IEEE 802.1w)和MSTP(IEEE 802.1s)，完全保证快速收敛，提高容错能力，保证网络的稳定运行和链路的负载均衡，合理使用网络通道，提供冗余链路利用率。</w:t>
            </w:r>
          </w:p>
        </w:tc>
      </w:tr>
      <w:tr>
        <w:tc>
          <w:tcPr>
            <w:tcW w:type="dxa" w:w="2076"/>
          </w:tcPr>
          <w:p/>
        </w:tc>
        <w:tc>
          <w:tcPr>
            <w:tcW w:type="dxa" w:w="415"/>
          </w:tcPr>
          <w:p>
            <w:r>
              <w:rPr/>
              <w:t>6</w:t>
            </w:r>
          </w:p>
        </w:tc>
        <w:tc>
          <w:tcPr>
            <w:tcW w:type="dxa" w:w="5814"/>
          </w:tcPr>
          <w:p>
            <w:r>
              <w:rPr>
                <w:sz w:val="19"/>
              </w:rPr>
              <w:t>支持</w:t>
            </w:r>
            <w:r>
              <w:rPr>
                <w:sz w:val="19"/>
              </w:rPr>
              <w:t>IPV4/IPV6静态路由，RIP、RIPng。</w:t>
            </w:r>
          </w:p>
        </w:tc>
      </w:tr>
      <w:tr>
        <w:tc>
          <w:tcPr>
            <w:tcW w:type="dxa" w:w="2076"/>
          </w:tcPr>
          <w:p/>
        </w:tc>
        <w:tc>
          <w:tcPr>
            <w:tcW w:type="dxa" w:w="415"/>
          </w:tcPr>
          <w:p>
            <w:r>
              <w:rPr/>
              <w:t>7</w:t>
            </w:r>
          </w:p>
        </w:tc>
        <w:tc>
          <w:tcPr>
            <w:tcW w:type="dxa" w:w="5814"/>
          </w:tcPr>
          <w:p>
            <w:r>
              <w:rPr>
                <w:sz w:val="19"/>
              </w:rPr>
              <w:t>支持</w:t>
            </w:r>
            <w:r>
              <w:rPr>
                <w:sz w:val="19"/>
              </w:rPr>
              <w:t>CPU保护策略，对发往CPU的数据流，进行流区分和优先级队列分级处理，并根据需要实施带宽限速，充分保护CPU不被非法流量占用、恶意攻击和资源消耗。</w:t>
            </w:r>
          </w:p>
        </w:tc>
      </w:tr>
      <w:tr>
        <w:tc>
          <w:tcPr>
            <w:tcW w:type="dxa" w:w="2076"/>
          </w:tcPr>
          <w:p/>
        </w:tc>
        <w:tc>
          <w:tcPr>
            <w:tcW w:type="dxa" w:w="415"/>
          </w:tcPr>
          <w:p>
            <w:r>
              <w:rPr/>
              <w:t>8</w:t>
            </w:r>
          </w:p>
        </w:tc>
        <w:tc>
          <w:tcPr>
            <w:tcW w:type="dxa" w:w="5814"/>
          </w:tcPr>
          <w:p>
            <w:r>
              <w:rPr>
                <w:sz w:val="19"/>
              </w:rPr>
              <w:t>支持快速链路检测协议，可快速检测链路的通断和光纤链路的单向性，并支持端口下的环路检测功能，防止端口下因私接</w:t>
            </w:r>
            <w:r>
              <w:rPr>
                <w:sz w:val="19"/>
              </w:rPr>
              <w:t>Hub等设备形成的环路而导致网络故障的现象。</w:t>
            </w:r>
          </w:p>
        </w:tc>
      </w:tr>
      <w:tr>
        <w:tc>
          <w:tcPr>
            <w:tcW w:type="dxa" w:w="2076"/>
          </w:tcPr>
          <w:p/>
        </w:tc>
        <w:tc>
          <w:tcPr>
            <w:tcW w:type="dxa" w:w="415"/>
          </w:tcPr>
          <w:p>
            <w:r>
              <w:rPr/>
              <w:t>9</w:t>
            </w:r>
          </w:p>
        </w:tc>
        <w:tc>
          <w:tcPr>
            <w:tcW w:type="dxa" w:w="5814"/>
          </w:tcPr>
          <w:p>
            <w:r>
              <w:rPr>
                <w:sz w:val="19"/>
              </w:rPr>
              <w:t>设备自带云管理功能，即插即用，可随时查看网络健康度，告警及时推送，有日记事件供回溯。</w:t>
            </w:r>
          </w:p>
        </w:tc>
      </w:tr>
      <w:tr>
        <w:tc>
          <w:tcPr>
            <w:tcW w:type="dxa" w:w="2076"/>
          </w:tcPr>
          <w:p>
            <w:r>
              <w:rPr/>
              <w:t>▲</w:t>
            </w:r>
          </w:p>
        </w:tc>
        <w:tc>
          <w:tcPr>
            <w:tcW w:type="dxa" w:w="415"/>
          </w:tcPr>
          <w:p>
            <w:r>
              <w:rPr/>
              <w:t>10</w:t>
            </w:r>
          </w:p>
        </w:tc>
        <w:tc>
          <w:tcPr>
            <w:tcW w:type="dxa" w:w="5814"/>
          </w:tcPr>
          <w:p>
            <w:r>
              <w:rPr>
                <w:sz w:val="19"/>
              </w:rPr>
              <w:t>要求与学校现有的安全认证计费系统</w:t>
            </w:r>
            <w:r>
              <w:rPr>
                <w:sz w:val="19"/>
              </w:rPr>
              <w:t>(RG-SAM+)无缝对接。为满足实际需求，如需要进行测试、接口开发、追加设备所产生的任何额外费用，由投标人承担。</w:t>
            </w:r>
            <w:r>
              <w:rPr>
                <w:b/>
                <w:sz w:val="19"/>
              </w:rPr>
              <w:t>(需提供兼容性承诺函，加盖投标人公章)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闸机人脸终端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显示屏：</w:t>
            </w:r>
            <w:r>
              <w:rPr>
                <w:sz w:val="19"/>
              </w:rPr>
              <w:t>≥7英寸电容触摸屏，分辨率≥600*1024，设备应能显示时间、日期、星期，刷卡/脸时显示用户名、用户照片信息、用户编号等。</w:t>
            </w:r>
          </w:p>
        </w:tc>
      </w:tr>
      <w:tr>
        <w:tc>
          <w:tcPr>
            <w:tcW w:type="dxa" w:w="2076"/>
          </w:tcPr>
          <w:p/>
        </w:tc>
        <w:tc>
          <w:tcPr>
            <w:tcW w:type="dxa" w:w="415"/>
          </w:tcPr>
          <w:p>
            <w:r>
              <w:rPr/>
              <w:t>2</w:t>
            </w:r>
          </w:p>
        </w:tc>
        <w:tc>
          <w:tcPr>
            <w:tcW w:type="dxa" w:w="5814"/>
          </w:tcPr>
          <w:p>
            <w:r>
              <w:rPr>
                <w:sz w:val="19"/>
              </w:rPr>
              <w:t>摄像头：设备应采用高清双目相机，</w:t>
            </w:r>
            <w:r>
              <w:rPr>
                <w:sz w:val="19"/>
              </w:rPr>
              <w:t>1路可见光摄像头，像素≥200W；1路红外补光摄像头，像素≥200W。</w:t>
            </w:r>
          </w:p>
        </w:tc>
      </w:tr>
      <w:tr>
        <w:tc>
          <w:tcPr>
            <w:tcW w:type="dxa" w:w="2076"/>
          </w:tcPr>
          <w:p/>
        </w:tc>
        <w:tc>
          <w:tcPr>
            <w:tcW w:type="dxa" w:w="415"/>
          </w:tcPr>
          <w:p>
            <w:r>
              <w:rPr/>
              <w:t>3</w:t>
            </w:r>
          </w:p>
        </w:tc>
        <w:tc>
          <w:tcPr>
            <w:tcW w:type="dxa" w:w="5814"/>
          </w:tcPr>
          <w:p>
            <w:r>
              <w:rPr>
                <w:sz w:val="19"/>
              </w:rPr>
              <w:t>摄像头分辨率：可见光摄像头分辨率：</w:t>
            </w:r>
            <w:r>
              <w:rPr>
                <w:sz w:val="19"/>
              </w:rPr>
              <w:t>≥1920×1080；红外摄像头分辨率：≥1280×720。</w:t>
            </w:r>
          </w:p>
        </w:tc>
      </w:tr>
      <w:tr>
        <w:tc>
          <w:tcPr>
            <w:tcW w:type="dxa" w:w="2076"/>
          </w:tcPr>
          <w:p/>
        </w:tc>
        <w:tc>
          <w:tcPr>
            <w:tcW w:type="dxa" w:w="415"/>
          </w:tcPr>
          <w:p>
            <w:r>
              <w:rPr/>
              <w:t>4</w:t>
            </w:r>
          </w:p>
        </w:tc>
        <w:tc>
          <w:tcPr>
            <w:tcW w:type="dxa" w:w="5814"/>
          </w:tcPr>
          <w:p>
            <w:r>
              <w:rPr>
                <w:sz w:val="19"/>
              </w:rPr>
              <w:t>存储容量：系统应支持</w:t>
            </w:r>
            <w:r>
              <w:rPr>
                <w:sz w:val="19"/>
              </w:rPr>
              <w:t>≥50000张卡片管理；≥50000张人脸容量，支持≥250000条含抓拍图的事件存储。</w:t>
            </w:r>
            <w:r>
              <w:rPr>
                <w:b/>
                <w:sz w:val="19"/>
              </w:rPr>
              <w:t>（须提供第三方的证明材料复印件，并加盖投标人公章）</w:t>
            </w:r>
          </w:p>
        </w:tc>
      </w:tr>
      <w:tr>
        <w:tc>
          <w:tcPr>
            <w:tcW w:type="dxa" w:w="2076"/>
          </w:tcPr>
          <w:p/>
        </w:tc>
        <w:tc>
          <w:tcPr>
            <w:tcW w:type="dxa" w:w="415"/>
          </w:tcPr>
          <w:p>
            <w:r>
              <w:rPr/>
              <w:t>5</w:t>
            </w:r>
          </w:p>
        </w:tc>
        <w:tc>
          <w:tcPr>
            <w:tcW w:type="dxa" w:w="5814"/>
          </w:tcPr>
          <w:p>
            <w:r>
              <w:rPr>
                <w:sz w:val="19"/>
              </w:rPr>
              <w:t>工作模式：支持本地单机管理；支持远程中心远程管理等多种方式。</w:t>
            </w:r>
          </w:p>
        </w:tc>
      </w:tr>
      <w:tr>
        <w:tc>
          <w:tcPr>
            <w:tcW w:type="dxa" w:w="2076"/>
          </w:tcPr>
          <w:p/>
        </w:tc>
        <w:tc>
          <w:tcPr>
            <w:tcW w:type="dxa" w:w="415"/>
          </w:tcPr>
          <w:p>
            <w:r>
              <w:rPr/>
              <w:t>6</w:t>
            </w:r>
          </w:p>
        </w:tc>
        <w:tc>
          <w:tcPr>
            <w:tcW w:type="dxa" w:w="5814"/>
          </w:tcPr>
          <w:p>
            <w:r>
              <w:rPr>
                <w:sz w:val="19"/>
              </w:rPr>
              <w:t>识别模式：支持单人识别和多人识别模式。</w:t>
            </w:r>
          </w:p>
        </w:tc>
      </w:tr>
      <w:tr>
        <w:tc>
          <w:tcPr>
            <w:tcW w:type="dxa" w:w="2076"/>
          </w:tcPr>
          <w:p/>
        </w:tc>
        <w:tc>
          <w:tcPr>
            <w:tcW w:type="dxa" w:w="415"/>
          </w:tcPr>
          <w:p>
            <w:r>
              <w:rPr/>
              <w:t>7</w:t>
            </w:r>
          </w:p>
        </w:tc>
        <w:tc>
          <w:tcPr>
            <w:tcW w:type="dxa" w:w="5814"/>
          </w:tcPr>
          <w:p>
            <w:pPr>
              <w:jc w:val="both"/>
            </w:pPr>
            <w:r>
              <w:rPr>
                <w:sz w:val="19"/>
              </w:rPr>
              <w:t>出入认证方式：系统支持对门的开启方式</w:t>
            </w:r>
            <w:r>
              <w:rPr>
                <w:sz w:val="19"/>
              </w:rPr>
              <w:t>(卡、人脸、密码等)的各种使用权限进行组合设置，实现不同安全级别场景的权限管理，认证方式包含：</w:t>
            </w:r>
          </w:p>
          <w:p>
            <w:pPr>
              <w:jc w:val="both"/>
            </w:pPr>
            <w:r>
              <w:rPr>
                <w:sz w:val="19"/>
              </w:rPr>
              <w:t>1）人脸；</w:t>
            </w:r>
          </w:p>
          <w:p>
            <w:pPr>
              <w:jc w:val="both"/>
            </w:pPr>
            <w:r>
              <w:rPr>
                <w:sz w:val="19"/>
              </w:rPr>
              <w:t>2)人脸或刷卡；</w:t>
            </w:r>
          </w:p>
          <w:p>
            <w:pPr>
              <w:jc w:val="both"/>
            </w:pPr>
            <w:r>
              <w:rPr>
                <w:sz w:val="19"/>
              </w:rPr>
              <w:t>3)人脸+刷卡；</w:t>
            </w:r>
          </w:p>
          <w:p>
            <w:pPr>
              <w:jc w:val="both"/>
            </w:pPr>
            <w:r>
              <w:rPr>
                <w:sz w:val="19"/>
              </w:rPr>
              <w:t>4)人脸+密码；</w:t>
            </w:r>
          </w:p>
          <w:p>
            <w:pPr>
              <w:jc w:val="both"/>
            </w:pPr>
            <w:r>
              <w:rPr>
                <w:sz w:val="19"/>
              </w:rPr>
              <w:t>5)二维码；</w:t>
            </w:r>
          </w:p>
          <w:p>
            <w:r>
              <w:rPr>
                <w:sz w:val="19"/>
              </w:rPr>
              <w:t>支持上述任意一种或两组的组合。</w:t>
            </w:r>
          </w:p>
        </w:tc>
      </w:tr>
      <w:tr>
        <w:tc>
          <w:tcPr>
            <w:tcW w:type="dxa" w:w="2076"/>
          </w:tcPr>
          <w:p/>
        </w:tc>
        <w:tc>
          <w:tcPr>
            <w:tcW w:type="dxa" w:w="415"/>
          </w:tcPr>
          <w:p>
            <w:r>
              <w:rPr/>
              <w:t>8</w:t>
            </w:r>
          </w:p>
        </w:tc>
        <w:tc>
          <w:tcPr>
            <w:tcW w:type="dxa" w:w="5814"/>
          </w:tcPr>
          <w:p>
            <w:r>
              <w:rPr>
                <w:sz w:val="19"/>
              </w:rPr>
              <w:t>硬件接口：</w:t>
            </w:r>
          </w:p>
          <w:p>
            <w:r>
              <w:rPr>
                <w:sz w:val="19"/>
              </w:rPr>
              <w:t>1)报警输入接口≥2；</w:t>
            </w:r>
          </w:p>
          <w:p>
            <w:r>
              <w:rPr>
                <w:sz w:val="19"/>
              </w:rPr>
              <w:t>2)报警输出接口≥1；</w:t>
            </w:r>
          </w:p>
          <w:p>
            <w:r>
              <w:rPr>
                <w:sz w:val="19"/>
              </w:rPr>
              <w:t>3)USB typeC接口≥1；</w:t>
            </w:r>
          </w:p>
          <w:p>
            <w:r>
              <w:rPr>
                <w:sz w:val="19"/>
              </w:rPr>
              <w:t>4)门磁输入接口≥1；</w:t>
            </w:r>
          </w:p>
          <w:p>
            <w:r>
              <w:rPr>
                <w:sz w:val="19"/>
              </w:rPr>
              <w:t>5)开门按钮接口≥1；</w:t>
            </w:r>
          </w:p>
          <w:p>
            <w:r>
              <w:rPr>
                <w:sz w:val="19"/>
              </w:rPr>
              <w:t>6)电锁输出接口≥1；</w:t>
            </w:r>
          </w:p>
          <w:p>
            <w:r>
              <w:rPr>
                <w:sz w:val="19"/>
              </w:rPr>
              <w:t>7)无线网卡≥1；</w:t>
            </w:r>
          </w:p>
          <w:p>
            <w:r>
              <w:rPr>
                <w:sz w:val="19"/>
              </w:rPr>
              <w:t>8)本地网口≥1；</w:t>
            </w:r>
          </w:p>
          <w:p>
            <w:r>
              <w:rPr>
                <w:sz w:val="19"/>
              </w:rPr>
              <w:t>9)RS485接口≥1；</w:t>
            </w:r>
          </w:p>
          <w:p>
            <w:r>
              <w:rPr>
                <w:sz w:val="19"/>
              </w:rPr>
              <w:t>10)韦根输入/输出接口≥1；</w:t>
            </w:r>
          </w:p>
          <w:p>
            <w:r>
              <w:rPr>
                <w:sz w:val="19"/>
              </w:rPr>
              <w:t>11)扬声器≥1；</w:t>
            </w:r>
          </w:p>
          <w:p>
            <w:r>
              <w:rPr>
                <w:sz w:val="19"/>
              </w:rPr>
              <w:t>12)指示灯≥1；</w:t>
            </w:r>
          </w:p>
          <w:p>
            <w:r>
              <w:rPr>
                <w:sz w:val="19"/>
              </w:rPr>
              <w:t>13)距离传感器≥1。</w:t>
            </w:r>
          </w:p>
        </w:tc>
      </w:tr>
      <w:tr>
        <w:tc>
          <w:tcPr>
            <w:tcW w:type="dxa" w:w="2076"/>
          </w:tcPr>
          <w:p/>
        </w:tc>
        <w:tc>
          <w:tcPr>
            <w:tcW w:type="dxa" w:w="415"/>
          </w:tcPr>
          <w:p>
            <w:r>
              <w:rPr/>
              <w:t>9</w:t>
            </w:r>
          </w:p>
        </w:tc>
        <w:tc>
          <w:tcPr>
            <w:tcW w:type="dxa" w:w="5814"/>
          </w:tcPr>
          <w:p>
            <w:r>
              <w:rPr>
                <w:sz w:val="19"/>
              </w:rPr>
              <w:t>防护等级：</w:t>
            </w:r>
            <w:r>
              <w:rPr>
                <w:sz w:val="19"/>
              </w:rPr>
              <w:t>≥IP65。</w:t>
            </w:r>
          </w:p>
        </w:tc>
      </w:tr>
      <w:tr>
        <w:tc>
          <w:tcPr>
            <w:tcW w:type="dxa" w:w="2076"/>
          </w:tcPr>
          <w:p/>
        </w:tc>
        <w:tc>
          <w:tcPr>
            <w:tcW w:type="dxa" w:w="415"/>
          </w:tcPr>
          <w:p>
            <w:r>
              <w:rPr/>
              <w:t>10</w:t>
            </w:r>
          </w:p>
        </w:tc>
        <w:tc>
          <w:tcPr>
            <w:tcW w:type="dxa" w:w="5814"/>
          </w:tcPr>
          <w:p>
            <w:r>
              <w:rPr>
                <w:sz w:val="19"/>
              </w:rPr>
              <w:t>人脸识别距离：支持在</w:t>
            </w:r>
            <w:r>
              <w:rPr>
                <w:sz w:val="19"/>
              </w:rPr>
              <w:t>0.3米~4.5米范围内调节识别距离。</w:t>
            </w:r>
            <w:r>
              <w:rPr>
                <w:b/>
                <w:sz w:val="19"/>
              </w:rPr>
              <w:t>（须提供第三方的证明材料复印件，并加盖投标人公章）</w:t>
            </w:r>
          </w:p>
        </w:tc>
      </w:tr>
      <w:tr>
        <w:tc>
          <w:tcPr>
            <w:tcW w:type="dxa" w:w="2076"/>
          </w:tcPr>
          <w:p/>
        </w:tc>
        <w:tc>
          <w:tcPr>
            <w:tcW w:type="dxa" w:w="415"/>
          </w:tcPr>
          <w:p>
            <w:r>
              <w:rPr/>
              <w:t>11</w:t>
            </w:r>
          </w:p>
        </w:tc>
        <w:tc>
          <w:tcPr>
            <w:tcW w:type="dxa" w:w="5814"/>
          </w:tcPr>
          <w:p>
            <w:r>
              <w:rPr>
                <w:sz w:val="19"/>
              </w:rPr>
              <w:t>人脸比对误识率和漏识率：</w:t>
            </w:r>
            <w:r>
              <w:rPr>
                <w:sz w:val="19"/>
              </w:rPr>
              <w:t>50000张底库照片下，误识率≤0.1%，漏识率≤0.1%，并支持算法自学习功能，终端具备在线自学习，提升识别效果的功能。</w:t>
            </w:r>
            <w:r>
              <w:rPr>
                <w:b/>
                <w:sz w:val="19"/>
              </w:rPr>
              <w:t>（须提供第三方的证明材料复印件，并加盖投标人公章）</w:t>
            </w:r>
          </w:p>
        </w:tc>
      </w:tr>
      <w:tr>
        <w:tc>
          <w:tcPr>
            <w:tcW w:type="dxa" w:w="2076"/>
          </w:tcPr>
          <w:p>
            <w:r>
              <w:rPr/>
              <w:t>▲</w:t>
            </w:r>
          </w:p>
        </w:tc>
        <w:tc>
          <w:tcPr>
            <w:tcW w:type="dxa" w:w="415"/>
          </w:tcPr>
          <w:p>
            <w:r>
              <w:rPr/>
              <w:t>12</w:t>
            </w:r>
          </w:p>
        </w:tc>
        <w:tc>
          <w:tcPr>
            <w:tcW w:type="dxa" w:w="5814"/>
          </w:tcPr>
          <w:p>
            <w:r>
              <w:rPr>
                <w:sz w:val="19"/>
              </w:rPr>
              <w:t>防假体攻击准确率：</w:t>
            </w:r>
            <w:r>
              <w:rPr>
                <w:sz w:val="19"/>
              </w:rPr>
              <w:t>≥99.99%。</w:t>
            </w:r>
            <w:r>
              <w:rPr>
                <w:b/>
                <w:sz w:val="19"/>
              </w:rPr>
              <w:t>（须提供第三方的证明材料复印件，并加盖投标人公章）</w:t>
            </w:r>
          </w:p>
        </w:tc>
      </w:tr>
      <w:tr>
        <w:tc>
          <w:tcPr>
            <w:tcW w:type="dxa" w:w="2076"/>
          </w:tcPr>
          <w:p>
            <w:r>
              <w:rPr/>
              <w:t>▲</w:t>
            </w:r>
          </w:p>
        </w:tc>
        <w:tc>
          <w:tcPr>
            <w:tcW w:type="dxa" w:w="415"/>
          </w:tcPr>
          <w:p>
            <w:r>
              <w:rPr/>
              <w:t>13</w:t>
            </w:r>
          </w:p>
        </w:tc>
        <w:tc>
          <w:tcPr>
            <w:tcW w:type="dxa" w:w="5814"/>
          </w:tcPr>
          <w:p>
            <w:r>
              <w:rPr>
                <w:sz w:val="19"/>
              </w:rPr>
              <w:t>识别功能检查：支持在环境照度</w:t>
            </w:r>
            <w:r>
              <w:rPr>
                <w:sz w:val="19"/>
              </w:rPr>
              <w:t>≤0.0011ux且不打开白光补光灯时可以正常进行人脸识别；且在环境照度≥80000lux的点光源条件下，逆光应能正常进行人脸识别。</w:t>
            </w:r>
          </w:p>
        </w:tc>
      </w:tr>
      <w:tr>
        <w:tc>
          <w:tcPr>
            <w:tcW w:type="dxa" w:w="2076"/>
          </w:tcPr>
          <w:p/>
        </w:tc>
        <w:tc>
          <w:tcPr>
            <w:tcW w:type="dxa" w:w="415"/>
          </w:tcPr>
          <w:p>
            <w:r>
              <w:rPr/>
              <w:t>14</w:t>
            </w:r>
          </w:p>
        </w:tc>
        <w:tc>
          <w:tcPr>
            <w:tcW w:type="dxa" w:w="5814"/>
          </w:tcPr>
          <w:p>
            <w:r>
              <w:rPr>
                <w:sz w:val="19"/>
              </w:rPr>
              <w:t>人脸比对时间：人脸识别比对时间</w:t>
            </w:r>
            <w:r>
              <w:rPr>
                <w:sz w:val="19"/>
              </w:rPr>
              <w:t>≤130ms。</w:t>
            </w:r>
          </w:p>
        </w:tc>
      </w:tr>
      <w:tr>
        <w:tc>
          <w:tcPr>
            <w:tcW w:type="dxa" w:w="2076"/>
          </w:tcPr>
          <w:p/>
        </w:tc>
        <w:tc>
          <w:tcPr>
            <w:tcW w:type="dxa" w:w="415"/>
          </w:tcPr>
          <w:p>
            <w:r>
              <w:rPr/>
              <w:t>15</w:t>
            </w:r>
          </w:p>
        </w:tc>
        <w:tc>
          <w:tcPr>
            <w:tcW w:type="dxa" w:w="5814"/>
          </w:tcPr>
          <w:p>
            <w:r>
              <w:rPr>
                <w:sz w:val="19"/>
              </w:rPr>
              <w:t>人脸识别间隔配置：支持设置人脸识别间隔时间</w:t>
            </w:r>
            <w:r>
              <w:rPr>
                <w:sz w:val="19"/>
              </w:rPr>
              <w:t>(1s至10s)。</w:t>
            </w:r>
          </w:p>
        </w:tc>
      </w:tr>
      <w:tr>
        <w:tc>
          <w:tcPr>
            <w:tcW w:type="dxa" w:w="2076"/>
          </w:tcPr>
          <w:p/>
        </w:tc>
        <w:tc>
          <w:tcPr>
            <w:tcW w:type="dxa" w:w="415"/>
          </w:tcPr>
          <w:p>
            <w:r>
              <w:rPr/>
              <w:t>16</w:t>
            </w:r>
          </w:p>
        </w:tc>
        <w:tc>
          <w:tcPr>
            <w:tcW w:type="dxa" w:w="5814"/>
          </w:tcPr>
          <w:p>
            <w:r>
              <w:rPr>
                <w:sz w:val="19"/>
              </w:rPr>
              <w:t>环保补光：夜间通行，采用屏幕环保补光方案，设备上无额外补光灯，避免光线刺眼和光污染</w:t>
            </w:r>
            <w:r>
              <w:rPr>
                <w:b/>
                <w:sz w:val="19"/>
              </w:rPr>
              <w:t>（提供产品实物照片）</w:t>
            </w:r>
            <w:r>
              <w:rPr>
                <w:sz w:val="19"/>
              </w:rPr>
              <w:t>。</w:t>
            </w:r>
          </w:p>
        </w:tc>
      </w:tr>
      <w:tr>
        <w:tc>
          <w:tcPr>
            <w:tcW w:type="dxa" w:w="2076"/>
          </w:tcPr>
          <w:p/>
        </w:tc>
        <w:tc>
          <w:tcPr>
            <w:tcW w:type="dxa" w:w="415"/>
          </w:tcPr>
          <w:p>
            <w:r>
              <w:rPr/>
              <w:t>17</w:t>
            </w:r>
          </w:p>
        </w:tc>
        <w:tc>
          <w:tcPr>
            <w:tcW w:type="dxa" w:w="5814"/>
          </w:tcPr>
          <w:p>
            <w:r>
              <w:rPr>
                <w:sz w:val="19"/>
              </w:rPr>
              <w:t>支持屏下刷卡，支持</w:t>
            </w:r>
            <w:r>
              <w:rPr>
                <w:sz w:val="19"/>
              </w:rPr>
              <w:t>NFC刷卡功能。</w:t>
            </w:r>
          </w:p>
        </w:tc>
      </w:tr>
      <w:tr>
        <w:tc>
          <w:tcPr>
            <w:tcW w:type="dxa" w:w="2076"/>
          </w:tcPr>
          <w:p/>
        </w:tc>
        <w:tc>
          <w:tcPr>
            <w:tcW w:type="dxa" w:w="415"/>
          </w:tcPr>
          <w:p>
            <w:r>
              <w:rPr/>
              <w:t>18</w:t>
            </w:r>
          </w:p>
        </w:tc>
        <w:tc>
          <w:tcPr>
            <w:tcW w:type="dxa" w:w="5814"/>
          </w:tcPr>
          <w:p>
            <w:r>
              <w:rPr>
                <w:sz w:val="19"/>
              </w:rPr>
              <w:t>数据管理：</w:t>
            </w:r>
          </w:p>
          <w:p>
            <w:r>
              <w:rPr>
                <w:sz w:val="19"/>
              </w:rPr>
              <w:t>1)持本地或远程中心下发或U盘导入人脸、卡号等信息；</w:t>
            </w:r>
          </w:p>
          <w:p>
            <w:r>
              <w:rPr>
                <w:sz w:val="19"/>
              </w:rPr>
              <w:t>2)支持比对结果、人脸抓拍图本地存储；</w:t>
            </w:r>
          </w:p>
          <w:p>
            <w:r>
              <w:rPr>
                <w:sz w:val="19"/>
              </w:rPr>
              <w:t>3)实时上传中心及断网续传功能；</w:t>
            </w:r>
          </w:p>
          <w:p>
            <w:r>
              <w:rPr>
                <w:sz w:val="19"/>
              </w:rPr>
              <w:t>4)支持本地U盘导出对比事件及人脸注册照片。</w:t>
            </w:r>
          </w:p>
        </w:tc>
      </w:tr>
      <w:tr>
        <w:tc>
          <w:tcPr>
            <w:tcW w:type="dxa" w:w="2076"/>
          </w:tcPr>
          <w:p>
            <w:r>
              <w:rPr/>
              <w:t>▲</w:t>
            </w:r>
          </w:p>
        </w:tc>
        <w:tc>
          <w:tcPr>
            <w:tcW w:type="dxa" w:w="415"/>
          </w:tcPr>
          <w:p>
            <w:r>
              <w:rPr/>
              <w:t>19</w:t>
            </w:r>
          </w:p>
        </w:tc>
        <w:tc>
          <w:tcPr>
            <w:tcW w:type="dxa" w:w="5814"/>
          </w:tcPr>
          <w:p>
            <w:r>
              <w:rPr>
                <w:sz w:val="19"/>
              </w:rPr>
              <w:t>数据安全：终端必须支持人脸特征值识别，支持通过平台仅下发人脸特征值，不下发人脸照片的情况下，正常识别通行。</w:t>
            </w:r>
            <w:r>
              <w:rPr>
                <w:b/>
                <w:sz w:val="19"/>
              </w:rPr>
              <w:t>（须提供第三方的证明材料复印件，并加盖投标人公章）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视频存储终端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CPU：配置至少两颗8核处理器，主频应不低于2.0GHz，三级缓存应不低于11MB。</w:t>
            </w:r>
          </w:p>
        </w:tc>
      </w:tr>
      <w:tr>
        <w:tc>
          <w:tcPr>
            <w:tcW w:type="dxa" w:w="2076"/>
          </w:tcPr>
          <w:p/>
        </w:tc>
        <w:tc>
          <w:tcPr>
            <w:tcW w:type="dxa" w:w="415"/>
          </w:tcPr>
          <w:p>
            <w:r>
              <w:rPr/>
              <w:t>2</w:t>
            </w:r>
          </w:p>
        </w:tc>
        <w:tc>
          <w:tcPr>
            <w:tcW w:type="dxa" w:w="5814"/>
          </w:tcPr>
          <w:p>
            <w:r>
              <w:rPr>
                <w:sz w:val="19"/>
              </w:rPr>
              <w:t>内存：内存配置不低于</w:t>
            </w:r>
            <w:r>
              <w:rPr>
                <w:sz w:val="19"/>
              </w:rPr>
              <w:t>48GB，采用DDR4及以上规格，单设备具有≥24个内存插槽(单卡槽最大支持≥64GB)，可组成≥12个DDR4通道。</w:t>
            </w:r>
          </w:p>
        </w:tc>
      </w:tr>
      <w:tr>
        <w:tc>
          <w:tcPr>
            <w:tcW w:type="dxa" w:w="2076"/>
          </w:tcPr>
          <w:p/>
        </w:tc>
        <w:tc>
          <w:tcPr>
            <w:tcW w:type="dxa" w:w="415"/>
          </w:tcPr>
          <w:p>
            <w:r>
              <w:rPr/>
              <w:t>3</w:t>
            </w:r>
          </w:p>
        </w:tc>
        <w:tc>
          <w:tcPr>
            <w:tcW w:type="dxa" w:w="5814"/>
          </w:tcPr>
          <w:p>
            <w:r>
              <w:rPr>
                <w:sz w:val="19"/>
              </w:rPr>
              <w:t>盘位：单设备应支持最大磁盘数量</w:t>
            </w:r>
            <w:r>
              <w:rPr>
                <w:sz w:val="19"/>
              </w:rPr>
              <w:t>≥38；单盘≥8TB企业盘。</w:t>
            </w:r>
          </w:p>
        </w:tc>
      </w:tr>
      <w:tr>
        <w:tc>
          <w:tcPr>
            <w:tcW w:type="dxa" w:w="2076"/>
          </w:tcPr>
          <w:p/>
        </w:tc>
        <w:tc>
          <w:tcPr>
            <w:tcW w:type="dxa" w:w="415"/>
          </w:tcPr>
          <w:p>
            <w:r>
              <w:rPr/>
              <w:t>4</w:t>
            </w:r>
          </w:p>
        </w:tc>
        <w:tc>
          <w:tcPr>
            <w:tcW w:type="dxa" w:w="5814"/>
          </w:tcPr>
          <w:p>
            <w:r>
              <w:rPr>
                <w:sz w:val="19"/>
              </w:rPr>
              <w:t>存储特性：支持硬盘缓启动功能；支持硬盘热插拔及在线更换故障硬盘。</w:t>
            </w:r>
          </w:p>
        </w:tc>
      </w:tr>
      <w:tr>
        <w:tc>
          <w:tcPr>
            <w:tcW w:type="dxa" w:w="2076"/>
          </w:tcPr>
          <w:p/>
        </w:tc>
        <w:tc>
          <w:tcPr>
            <w:tcW w:type="dxa" w:w="415"/>
          </w:tcPr>
          <w:p>
            <w:r>
              <w:rPr/>
              <w:t>5</w:t>
            </w:r>
          </w:p>
        </w:tc>
        <w:tc>
          <w:tcPr>
            <w:tcW w:type="dxa" w:w="5814"/>
          </w:tcPr>
          <w:p>
            <w:r>
              <w:rPr>
                <w:sz w:val="19"/>
              </w:rPr>
              <w:t>系统盘：配置两个独立的系统盘</w:t>
            </w:r>
            <w:r>
              <w:rPr>
                <w:sz w:val="19"/>
              </w:rPr>
              <w:t>≥1200GB SAS，组成RAID1。</w:t>
            </w:r>
          </w:p>
        </w:tc>
      </w:tr>
      <w:tr>
        <w:tc>
          <w:tcPr>
            <w:tcW w:type="dxa" w:w="2076"/>
          </w:tcPr>
          <w:p>
            <w:r>
              <w:rPr/>
              <w:t>▲</w:t>
            </w:r>
          </w:p>
        </w:tc>
        <w:tc>
          <w:tcPr>
            <w:tcW w:type="dxa" w:w="415"/>
          </w:tcPr>
          <w:p>
            <w:r>
              <w:rPr/>
              <w:t>6</w:t>
            </w:r>
          </w:p>
        </w:tc>
        <w:tc>
          <w:tcPr>
            <w:tcW w:type="dxa" w:w="5814"/>
          </w:tcPr>
          <w:p>
            <w:r>
              <w:rPr>
                <w:sz w:val="19"/>
              </w:rPr>
              <w:t>RAID：支持数据盘RAID5：RAID5时支持RAID组内1块数据盘损坏而数据完全不丢失，三个RAID组3块(每组1块)数据盘损坏而数据完全不丢失；支持RAID5失效后(需RAID组内至少有一块硬盘工作)继续写入，允许数据读取且能实现读出视频基本可查看；多块数据盘损坏后新盘插入，RAID组自动恢复读写状态；</w:t>
            </w:r>
            <w:r>
              <w:rPr>
                <w:b/>
                <w:sz w:val="19"/>
              </w:rPr>
              <w:t>（须提供第三方的证明材料复印件，加盖投标人公章）</w:t>
            </w:r>
          </w:p>
        </w:tc>
      </w:tr>
      <w:tr>
        <w:tc>
          <w:tcPr>
            <w:tcW w:type="dxa" w:w="2076"/>
          </w:tcPr>
          <w:p/>
        </w:tc>
        <w:tc>
          <w:tcPr>
            <w:tcW w:type="dxa" w:w="415"/>
          </w:tcPr>
          <w:p>
            <w:r>
              <w:rPr/>
              <w:t>7</w:t>
            </w:r>
          </w:p>
        </w:tc>
        <w:tc>
          <w:tcPr>
            <w:tcW w:type="dxa" w:w="5814"/>
          </w:tcPr>
          <w:p>
            <w:r>
              <w:rPr>
                <w:sz w:val="19"/>
              </w:rPr>
              <w:t>网口：单设备配置</w:t>
            </w:r>
            <w:r>
              <w:rPr>
                <w:sz w:val="19"/>
              </w:rPr>
              <w:t>≥2个GE网口和≥2个10GE网口，有≥2口GE可配置扩展。</w:t>
            </w:r>
          </w:p>
        </w:tc>
      </w:tr>
      <w:tr>
        <w:tc>
          <w:tcPr>
            <w:tcW w:type="dxa" w:w="2076"/>
          </w:tcPr>
          <w:p/>
        </w:tc>
        <w:tc>
          <w:tcPr>
            <w:tcW w:type="dxa" w:w="415"/>
          </w:tcPr>
          <w:p>
            <w:r>
              <w:rPr/>
              <w:t>8</w:t>
            </w:r>
          </w:p>
        </w:tc>
        <w:tc>
          <w:tcPr>
            <w:tcW w:type="dxa" w:w="5814"/>
          </w:tcPr>
          <w:p>
            <w:r>
              <w:rPr>
                <w:sz w:val="19"/>
              </w:rPr>
              <w:t>风扇：支持</w:t>
            </w:r>
            <w:r>
              <w:rPr>
                <w:sz w:val="19"/>
              </w:rPr>
              <w:t>≥4个独立的风扇，支持单风扇失效。</w:t>
            </w:r>
          </w:p>
        </w:tc>
      </w:tr>
      <w:tr>
        <w:tc>
          <w:tcPr>
            <w:tcW w:type="dxa" w:w="2076"/>
          </w:tcPr>
          <w:p/>
        </w:tc>
        <w:tc>
          <w:tcPr>
            <w:tcW w:type="dxa" w:w="415"/>
          </w:tcPr>
          <w:p>
            <w:r>
              <w:rPr/>
              <w:t>9</w:t>
            </w:r>
          </w:p>
        </w:tc>
        <w:tc>
          <w:tcPr>
            <w:tcW w:type="dxa" w:w="5814"/>
          </w:tcPr>
          <w:p>
            <w:r>
              <w:rPr>
                <w:sz w:val="19"/>
              </w:rPr>
              <w:t>电源：电源模块支持</w:t>
            </w:r>
            <w:r>
              <w:rPr>
                <w:sz w:val="19"/>
              </w:rPr>
              <w:t>1+1冗余备份，支持独立维护。</w:t>
            </w:r>
          </w:p>
        </w:tc>
      </w:tr>
      <w:tr>
        <w:tc>
          <w:tcPr>
            <w:tcW w:type="dxa" w:w="2076"/>
          </w:tcPr>
          <w:p/>
        </w:tc>
        <w:tc>
          <w:tcPr>
            <w:tcW w:type="dxa" w:w="415"/>
          </w:tcPr>
          <w:p>
            <w:r>
              <w:rPr/>
              <w:t>10</w:t>
            </w:r>
          </w:p>
        </w:tc>
        <w:tc>
          <w:tcPr>
            <w:tcW w:type="dxa" w:w="5814"/>
          </w:tcPr>
          <w:p>
            <w:r>
              <w:rPr>
                <w:sz w:val="19"/>
              </w:rPr>
              <w:t>系统：采用不低于企业级</w:t>
            </w:r>
            <w:r>
              <w:rPr>
                <w:sz w:val="19"/>
              </w:rPr>
              <w:t>Linux通用操作系统。</w:t>
            </w:r>
          </w:p>
        </w:tc>
      </w:tr>
      <w:tr>
        <w:tc>
          <w:tcPr>
            <w:tcW w:type="dxa" w:w="2076"/>
          </w:tcPr>
          <w:p>
            <w:r>
              <w:rPr/>
              <w:t>▲</w:t>
            </w:r>
          </w:p>
        </w:tc>
        <w:tc>
          <w:tcPr>
            <w:tcW w:type="dxa" w:w="415"/>
          </w:tcPr>
          <w:p>
            <w:r>
              <w:rPr/>
              <w:t>11</w:t>
            </w:r>
          </w:p>
        </w:tc>
        <w:tc>
          <w:tcPr>
            <w:tcW w:type="dxa" w:w="5814"/>
          </w:tcPr>
          <w:p>
            <w:r>
              <w:rPr>
                <w:sz w:val="19"/>
              </w:rPr>
              <w:t>支持视频流和图片流直存，无需额外接入单独的转发设备。</w:t>
            </w:r>
            <w:r>
              <w:rPr>
                <w:b/>
                <w:sz w:val="19"/>
              </w:rPr>
              <w:t>（须提供第三方的证明材料复印件，加盖投标人公章）</w:t>
            </w:r>
          </w:p>
        </w:tc>
      </w:tr>
      <w:tr>
        <w:tc>
          <w:tcPr>
            <w:tcW w:type="dxa" w:w="2076"/>
          </w:tcPr>
          <w:p/>
        </w:tc>
        <w:tc>
          <w:tcPr>
            <w:tcW w:type="dxa" w:w="415"/>
          </w:tcPr>
          <w:p>
            <w:r>
              <w:rPr/>
              <w:t>12</w:t>
            </w:r>
          </w:p>
        </w:tc>
        <w:tc>
          <w:tcPr>
            <w:tcW w:type="dxa" w:w="5814"/>
          </w:tcPr>
          <w:p>
            <w:r>
              <w:rPr>
                <w:sz w:val="19"/>
              </w:rPr>
              <w:t>视频带宽：单台可并发支持视频存储带宽不小于</w:t>
            </w:r>
            <w:r>
              <w:rPr>
                <w:sz w:val="19"/>
              </w:rPr>
              <w:t>2400Mbps，视频转发带宽不小于1200Mbps，录像下载不小于1200Mbps。</w:t>
            </w:r>
          </w:p>
        </w:tc>
      </w:tr>
      <w:tr>
        <w:tc>
          <w:tcPr>
            <w:tcW w:type="dxa" w:w="2076"/>
          </w:tcPr>
          <w:p/>
        </w:tc>
        <w:tc>
          <w:tcPr>
            <w:tcW w:type="dxa" w:w="415"/>
          </w:tcPr>
          <w:p>
            <w:r>
              <w:rPr/>
              <w:t>13</w:t>
            </w:r>
          </w:p>
        </w:tc>
        <w:tc>
          <w:tcPr>
            <w:tcW w:type="dxa" w:w="5814"/>
          </w:tcPr>
          <w:p>
            <w:r>
              <w:rPr>
                <w:sz w:val="19"/>
              </w:rPr>
              <w:t>图片性能：可同时支持图片存储带宽不小于</w:t>
            </w:r>
            <w:r>
              <w:rPr>
                <w:sz w:val="19"/>
              </w:rPr>
              <w:t>3429Mbps，图片转发不小于6145Mbps。</w:t>
            </w:r>
          </w:p>
        </w:tc>
      </w:tr>
      <w:tr>
        <w:tc>
          <w:tcPr>
            <w:tcW w:type="dxa" w:w="2076"/>
          </w:tcPr>
          <w:p/>
        </w:tc>
        <w:tc>
          <w:tcPr>
            <w:tcW w:type="dxa" w:w="415"/>
          </w:tcPr>
          <w:p>
            <w:r>
              <w:rPr/>
              <w:t>14</w:t>
            </w:r>
          </w:p>
        </w:tc>
        <w:tc>
          <w:tcPr>
            <w:tcW w:type="dxa" w:w="5814"/>
          </w:tcPr>
          <w:p>
            <w:r>
              <w:rPr>
                <w:sz w:val="19"/>
              </w:rPr>
              <w:t>媒体访问：支持媒体访问请求，向请求方分发流媒体数据。支持本域转发、外域转发和逐级转发功能。</w:t>
            </w:r>
          </w:p>
        </w:tc>
      </w:tr>
      <w:tr>
        <w:tc>
          <w:tcPr>
            <w:tcW w:type="dxa" w:w="2076"/>
          </w:tcPr>
          <w:p/>
        </w:tc>
        <w:tc>
          <w:tcPr>
            <w:tcW w:type="dxa" w:w="415"/>
          </w:tcPr>
          <w:p>
            <w:r>
              <w:rPr/>
              <w:t>15</w:t>
            </w:r>
          </w:p>
        </w:tc>
        <w:tc>
          <w:tcPr>
            <w:tcW w:type="dxa" w:w="5814"/>
          </w:tcPr>
          <w:p>
            <w:r>
              <w:rPr>
                <w:sz w:val="19"/>
              </w:rPr>
              <w:t>接入能力：单台可支持摄像机视频接入路数不小于</w:t>
            </w:r>
            <w:r>
              <w:rPr>
                <w:sz w:val="19"/>
              </w:rPr>
              <w:t>3600路，图片接入路数不小于4500路；可同时支持视频存储不小于1200路，视频转发不小于1200路，录像下载不小于600路。</w:t>
            </w:r>
          </w:p>
        </w:tc>
      </w:tr>
      <w:tr>
        <w:tc>
          <w:tcPr>
            <w:tcW w:type="dxa" w:w="2076"/>
          </w:tcPr>
          <w:p/>
        </w:tc>
        <w:tc>
          <w:tcPr>
            <w:tcW w:type="dxa" w:w="415"/>
          </w:tcPr>
          <w:p>
            <w:r>
              <w:rPr/>
              <w:t>16</w:t>
            </w:r>
          </w:p>
        </w:tc>
        <w:tc>
          <w:tcPr>
            <w:tcW w:type="dxa" w:w="5814"/>
          </w:tcPr>
          <w:p>
            <w:r>
              <w:rPr>
                <w:sz w:val="19"/>
              </w:rPr>
              <w:t>转发能力：支持转发视频不小于</w:t>
            </w:r>
            <w:r>
              <w:rPr>
                <w:sz w:val="19"/>
              </w:rPr>
              <w:t>1800路；支持转发视频带宽不小于3600Mbps；支持转发图片带宽不小于6144Mbps。</w:t>
            </w:r>
          </w:p>
        </w:tc>
      </w:tr>
      <w:tr>
        <w:tc>
          <w:tcPr>
            <w:tcW w:type="dxa" w:w="2076"/>
          </w:tcPr>
          <w:p>
            <w:r>
              <w:rPr/>
              <w:t>▲</w:t>
            </w:r>
          </w:p>
        </w:tc>
        <w:tc>
          <w:tcPr>
            <w:tcW w:type="dxa" w:w="415"/>
          </w:tcPr>
          <w:p>
            <w:r>
              <w:rPr/>
              <w:t>17</w:t>
            </w:r>
          </w:p>
        </w:tc>
        <w:tc>
          <w:tcPr>
            <w:tcW w:type="dxa" w:w="5814"/>
          </w:tcPr>
          <w:p>
            <w:pPr>
              <w:jc w:val="both"/>
            </w:pPr>
            <w:r>
              <w:rPr>
                <w:sz w:val="19"/>
              </w:rPr>
              <w:t>云化架构</w:t>
            </w:r>
            <w:r>
              <w:rPr>
                <w:b/>
                <w:sz w:val="19"/>
              </w:rPr>
              <w:t>（须提供第三方的证明材料复印件，加盖投标人公章）</w:t>
            </w:r>
            <w:r>
              <w:rPr>
                <w:sz w:val="19"/>
              </w:rPr>
              <w:t>：</w:t>
            </w:r>
          </w:p>
          <w:p>
            <w:pPr>
              <w:jc w:val="both"/>
            </w:pPr>
            <w:r>
              <w:rPr>
                <w:sz w:val="19"/>
              </w:rPr>
              <w:t>硬件资源按照计算资源、存储资源、网络资源分类，业务应用部署在容器上；</w:t>
            </w:r>
          </w:p>
          <w:p>
            <w:pPr>
              <w:jc w:val="both"/>
            </w:pPr>
            <w:r>
              <w:rPr>
                <w:sz w:val="19"/>
              </w:rPr>
              <w:t>支持单台设备起配，管理和业务服务共享统一的虚拟化资源；在一台实体设备虚拟化后的多台逻辑设备上，支持部署不同功能以及数量的存储、转发模块；</w:t>
            </w:r>
          </w:p>
          <w:p>
            <w:r>
              <w:rPr>
                <w:sz w:val="19"/>
              </w:rPr>
              <w:t>不同容器业务隔离，并提供独立的虚拟的操作系统运行环境和接口，容器内业务进程不占用系统内存。</w:t>
            </w:r>
          </w:p>
        </w:tc>
      </w:tr>
      <w:tr>
        <w:tc>
          <w:tcPr>
            <w:tcW w:type="dxa" w:w="2076"/>
          </w:tcPr>
          <w:p/>
        </w:tc>
        <w:tc>
          <w:tcPr>
            <w:tcW w:type="dxa" w:w="415"/>
          </w:tcPr>
          <w:p>
            <w:r>
              <w:rPr/>
              <w:t>18</w:t>
            </w:r>
          </w:p>
        </w:tc>
        <w:tc>
          <w:tcPr>
            <w:tcW w:type="dxa" w:w="5814"/>
          </w:tcPr>
          <w:p>
            <w:r>
              <w:rPr>
                <w:sz w:val="19"/>
              </w:rPr>
              <w:t>实时预览：</w:t>
            </w:r>
            <w:r>
              <w:rPr>
                <w:sz w:val="19"/>
              </w:rPr>
              <w:t>1)前端支持多码流的情况下，支持选择某个码流进行实时浏览；2)同一路实况时支持四分屏下1屏实况3屏局部数字缩放，支持画面显示变倍，单屏最大放大比例为≥800%；3)支持前端摄像机为不低于1080p 60fps视频解码显示，支持H.264 BP/MP/HP、MJPEG。</w:t>
            </w:r>
          </w:p>
        </w:tc>
      </w:tr>
      <w:tr>
        <w:tc>
          <w:tcPr>
            <w:tcW w:type="dxa" w:w="2076"/>
          </w:tcPr>
          <w:p/>
        </w:tc>
        <w:tc>
          <w:tcPr>
            <w:tcW w:type="dxa" w:w="415"/>
          </w:tcPr>
          <w:p>
            <w:r>
              <w:rPr/>
              <w:t>19</w:t>
            </w:r>
          </w:p>
        </w:tc>
        <w:tc>
          <w:tcPr>
            <w:tcW w:type="dxa" w:w="5814"/>
          </w:tcPr>
          <w:p>
            <w:r>
              <w:rPr>
                <w:sz w:val="19"/>
              </w:rPr>
              <w:t>录像回放：</w:t>
            </w:r>
            <w:r>
              <w:rPr>
                <w:sz w:val="19"/>
              </w:rPr>
              <w:t>1)支持按照指定设备、通道、时间、报警信息等要素检索联网设备历史图像资料进行跨域远程回放和下载，回放支持正常播放、快速播放、慢速播放、画面暂停、图像抓拍、缩放显示等；支持≥25路回放；2)支持≥8路同步录像回放，并能进行同步录像回放挖制(同步快进、慢放、同步跳转到指定时间点等)；3)支持分段回放，将一个时间段分成≥16个录像段在多个窗格同时播放；支持在时间轴上拖动和输入指定时间点跳转录像播放；4)支持展示录像中的告警事件列表、书签列表，支持点击列表中事作将录像跳转到该时刻进行播放。</w:t>
            </w:r>
          </w:p>
        </w:tc>
      </w:tr>
      <w:tr>
        <w:tc>
          <w:tcPr>
            <w:tcW w:type="dxa" w:w="2076"/>
          </w:tcPr>
          <w:p/>
        </w:tc>
        <w:tc>
          <w:tcPr>
            <w:tcW w:type="dxa" w:w="415"/>
          </w:tcPr>
          <w:p>
            <w:r>
              <w:rPr/>
              <w:t>20</w:t>
            </w:r>
          </w:p>
        </w:tc>
        <w:tc>
          <w:tcPr>
            <w:tcW w:type="dxa" w:w="5814"/>
          </w:tcPr>
          <w:p>
            <w:r>
              <w:rPr>
                <w:sz w:val="19"/>
              </w:rPr>
              <w:t>配套</w:t>
            </w:r>
            <w:r>
              <w:rPr>
                <w:sz w:val="19"/>
              </w:rPr>
              <w:t>≥31块16T企业级硬盘。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读卡器模块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支持第二代居民身份证、现有的校园一卡通（新中新品牌），并可以实现加密读卡。</w:t>
            </w:r>
          </w:p>
        </w:tc>
      </w:tr>
      <w:tr>
        <w:tc>
          <w:tcPr>
            <w:tcW w:type="dxa" w:w="2076"/>
          </w:tcPr>
          <w:p/>
        </w:tc>
        <w:tc>
          <w:tcPr>
            <w:tcW w:type="dxa" w:w="415"/>
          </w:tcPr>
          <w:p>
            <w:r>
              <w:rPr/>
              <w:t>2</w:t>
            </w:r>
          </w:p>
        </w:tc>
        <w:tc>
          <w:tcPr>
            <w:tcW w:type="dxa" w:w="5814"/>
          </w:tcPr>
          <w:p>
            <w:r>
              <w:rPr>
                <w:sz w:val="19"/>
              </w:rPr>
              <w:t>配置二维码读头可读取虚拟校园卡。</w:t>
            </w:r>
          </w:p>
        </w:tc>
      </w:tr>
      <w:tr>
        <w:tc>
          <w:tcPr>
            <w:tcW w:type="dxa" w:w="2076"/>
          </w:tcPr>
          <w:p/>
        </w:tc>
        <w:tc>
          <w:tcPr>
            <w:tcW w:type="dxa" w:w="415"/>
          </w:tcPr>
          <w:p>
            <w:r>
              <w:rPr/>
              <w:t>3</w:t>
            </w:r>
          </w:p>
        </w:tc>
        <w:tc>
          <w:tcPr>
            <w:tcW w:type="dxa" w:w="5814"/>
          </w:tcPr>
          <w:p>
            <w:r>
              <w:rPr>
                <w:sz w:val="19"/>
              </w:rPr>
              <w:t>支持</w:t>
            </w:r>
            <w:r>
              <w:rPr>
                <w:sz w:val="19"/>
              </w:rPr>
              <w:t>RS485通信。</w:t>
            </w:r>
          </w:p>
        </w:tc>
      </w:tr>
      <w:tr>
        <w:tc>
          <w:tcPr>
            <w:tcW w:type="dxa" w:w="2076"/>
          </w:tcPr>
          <w:p/>
        </w:tc>
        <w:tc>
          <w:tcPr>
            <w:tcW w:type="dxa" w:w="415"/>
          </w:tcPr>
          <w:p>
            <w:r>
              <w:rPr/>
              <w:t>4</w:t>
            </w:r>
          </w:p>
        </w:tc>
        <w:tc>
          <w:tcPr>
            <w:tcW w:type="dxa" w:w="5814"/>
          </w:tcPr>
          <w:p>
            <w:r>
              <w:rPr>
                <w:sz w:val="19"/>
              </w:rPr>
              <w:t>嵌入式读写模块，支持闸机联动。</w:t>
            </w:r>
          </w:p>
        </w:tc>
      </w:tr>
      <w:tr>
        <w:tc>
          <w:tcPr>
            <w:tcW w:type="dxa" w:w="2076"/>
          </w:tcPr>
          <w:p/>
        </w:tc>
        <w:tc>
          <w:tcPr>
            <w:tcW w:type="dxa" w:w="415"/>
          </w:tcPr>
          <w:p>
            <w:r>
              <w:rPr/>
              <w:t>5</w:t>
            </w:r>
          </w:p>
        </w:tc>
        <w:tc>
          <w:tcPr>
            <w:tcW w:type="dxa" w:w="5814"/>
          </w:tcPr>
          <w:p>
            <w:r>
              <w:rPr>
                <w:sz w:val="19"/>
              </w:rPr>
              <w:t>读卡速度</w:t>
            </w:r>
            <w:r>
              <w:rPr>
                <w:sz w:val="19"/>
              </w:rPr>
              <w:t>≤0.2秒，读卡间隔≤0.5秒。</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显示大屏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19"/>
              </w:rPr>
              <w:t>显示性能：</w:t>
            </w:r>
            <w:r>
              <w:rPr>
                <w:sz w:val="19"/>
              </w:rPr>
              <w:t>LCD显示屏≥65英寸，分辨率≥超高清4K(3840*2160)，响应时间≤9.5ms；静态对比度≥1200:1。</w:t>
            </w:r>
          </w:p>
        </w:tc>
      </w:tr>
      <w:tr>
        <w:tc>
          <w:tcPr>
            <w:tcW w:type="dxa" w:w="2076"/>
          </w:tcPr>
          <w:p/>
        </w:tc>
        <w:tc>
          <w:tcPr>
            <w:tcW w:type="dxa" w:w="415"/>
          </w:tcPr>
          <w:p>
            <w:r>
              <w:rPr/>
              <w:t>2</w:t>
            </w:r>
          </w:p>
        </w:tc>
        <w:tc>
          <w:tcPr>
            <w:tcW w:type="dxa" w:w="5814"/>
          </w:tcPr>
          <w:p>
            <w:r>
              <w:rPr>
                <w:sz w:val="19"/>
              </w:rPr>
              <w:t>端口参数：</w:t>
            </w:r>
            <w:r>
              <w:rPr>
                <w:sz w:val="19"/>
              </w:rPr>
              <w:t>USB 2.0接口数≥2个，HDMI(ARC)接口≥1个，HDMI 2.0接口≥2个。</w:t>
            </w:r>
          </w:p>
        </w:tc>
      </w:tr>
      <w:tr>
        <w:tc>
          <w:tcPr>
            <w:tcW w:type="dxa" w:w="2076"/>
          </w:tcPr>
          <w:p/>
        </w:tc>
        <w:tc>
          <w:tcPr>
            <w:tcW w:type="dxa" w:w="415"/>
          </w:tcPr>
          <w:p>
            <w:r>
              <w:rPr/>
              <w:t>3</w:t>
            </w:r>
          </w:p>
        </w:tc>
        <w:tc>
          <w:tcPr>
            <w:tcW w:type="dxa" w:w="5814"/>
          </w:tcPr>
          <w:p>
            <w:r>
              <w:rPr>
                <w:sz w:val="19"/>
              </w:rPr>
              <w:t>硬件配置：运行内存</w:t>
            </w:r>
            <w:r>
              <w:rPr>
                <w:sz w:val="19"/>
              </w:rPr>
              <w:t>/RAM≥1.5GB，WIFI频段：2.4G或5</w:t>
            </w:r>
            <w:r>
              <w:rPr>
                <w:sz w:val="19"/>
              </w:rPr>
              <w:t>G</w:t>
            </w:r>
            <w:r>
              <w:rPr>
                <w:sz w:val="19"/>
              </w:rPr>
              <w:t>，存储内存</w:t>
            </w:r>
            <w:r>
              <w:rPr>
                <w:sz w:val="19"/>
              </w:rPr>
              <w:t>≥8GB，CPU架构：不低于四核A35，CPU核心数≥四核。</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双机芯翼闸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19"/>
              </w:rPr>
              <w:t>支持人脸识别设备联动，支持以下出入验证方式：</w:t>
            </w:r>
          </w:p>
          <w:p>
            <w:pPr>
              <w:jc w:val="both"/>
            </w:pPr>
            <w:r>
              <w:rPr>
                <w:sz w:val="19"/>
              </w:rPr>
              <w:t>1)卡+人脸+体温；</w:t>
            </w:r>
          </w:p>
          <w:p>
            <w:pPr>
              <w:jc w:val="both"/>
            </w:pPr>
            <w:r>
              <w:rPr>
                <w:sz w:val="19"/>
              </w:rPr>
              <w:t>2)卡+人脸；</w:t>
            </w:r>
          </w:p>
          <w:p>
            <w:pPr>
              <w:jc w:val="both"/>
            </w:pPr>
            <w:r>
              <w:rPr>
                <w:sz w:val="19"/>
              </w:rPr>
              <w:t>3)卡+体温；</w:t>
            </w:r>
          </w:p>
          <w:p>
            <w:pPr>
              <w:jc w:val="both"/>
            </w:pPr>
            <w:r>
              <w:rPr>
                <w:sz w:val="19"/>
              </w:rPr>
              <w:t>4)二维码+体温；</w:t>
            </w:r>
          </w:p>
          <w:p>
            <w:pPr>
              <w:jc w:val="both"/>
            </w:pPr>
            <w:r>
              <w:rPr>
                <w:sz w:val="19"/>
              </w:rPr>
              <w:t>5)人脸+体温；</w:t>
            </w:r>
          </w:p>
          <w:p>
            <w:pPr>
              <w:jc w:val="both"/>
            </w:pPr>
            <w:r>
              <w:rPr>
                <w:sz w:val="19"/>
              </w:rPr>
              <w:t>6)二代证+人脸；</w:t>
            </w:r>
          </w:p>
          <w:p>
            <w:pPr>
              <w:jc w:val="both"/>
            </w:pPr>
            <w:r>
              <w:rPr>
                <w:sz w:val="19"/>
              </w:rPr>
              <w:t>7)刷卡验证；</w:t>
            </w:r>
          </w:p>
          <w:p>
            <w:pPr>
              <w:jc w:val="both"/>
            </w:pPr>
            <w:r>
              <w:rPr>
                <w:sz w:val="19"/>
              </w:rPr>
              <w:t>8)人脸验证；</w:t>
            </w:r>
          </w:p>
          <w:p>
            <w:pPr>
              <w:jc w:val="both"/>
            </w:pPr>
            <w:r>
              <w:rPr>
                <w:sz w:val="19"/>
              </w:rPr>
              <w:t>9)二维码验证；</w:t>
            </w:r>
          </w:p>
          <w:p>
            <w:pPr>
              <w:jc w:val="both"/>
            </w:pPr>
            <w:r>
              <w:rPr>
                <w:sz w:val="19"/>
              </w:rPr>
              <w:t>10)身份证验证。</w:t>
            </w:r>
          </w:p>
          <w:p>
            <w:r>
              <w:rPr>
                <w:b/>
                <w:sz w:val="19"/>
              </w:rPr>
              <w:t>（须提供第三方的证明材料复印件，并加盖投标人公章）</w:t>
            </w:r>
          </w:p>
        </w:tc>
      </w:tr>
      <w:tr>
        <w:tc>
          <w:tcPr>
            <w:tcW w:type="dxa" w:w="2076"/>
          </w:tcPr>
          <w:p/>
        </w:tc>
        <w:tc>
          <w:tcPr>
            <w:tcW w:type="dxa" w:w="415"/>
          </w:tcPr>
          <w:p>
            <w:r>
              <w:rPr/>
              <w:t>2</w:t>
            </w:r>
          </w:p>
        </w:tc>
        <w:tc>
          <w:tcPr>
            <w:tcW w:type="dxa" w:w="5814"/>
          </w:tcPr>
          <w:p>
            <w:r>
              <w:rPr>
                <w:sz w:val="19"/>
              </w:rPr>
              <w:t>闸机通道采用厚度不低于</w:t>
            </w:r>
            <w:r>
              <w:rPr>
                <w:sz w:val="19"/>
              </w:rPr>
              <w:t>1.5mm的不锈钢材质，通道宽度550~600mm。</w:t>
            </w:r>
          </w:p>
        </w:tc>
      </w:tr>
      <w:tr>
        <w:tc>
          <w:tcPr>
            <w:tcW w:type="dxa" w:w="2076"/>
          </w:tcPr>
          <w:p/>
        </w:tc>
        <w:tc>
          <w:tcPr>
            <w:tcW w:type="dxa" w:w="415"/>
          </w:tcPr>
          <w:p>
            <w:r>
              <w:rPr/>
              <w:t>3</w:t>
            </w:r>
          </w:p>
        </w:tc>
        <w:tc>
          <w:tcPr>
            <w:tcW w:type="dxa" w:w="5814"/>
          </w:tcPr>
          <w:p>
            <w:r>
              <w:rPr>
                <w:sz w:val="19"/>
              </w:rPr>
              <w:t>采用不少于</w:t>
            </w:r>
            <w:r>
              <w:rPr>
                <w:sz w:val="19"/>
              </w:rPr>
              <w:t>12对红外装置实现防尾随、方向判别、防夹伤、报警功能。</w:t>
            </w:r>
          </w:p>
        </w:tc>
      </w:tr>
      <w:tr>
        <w:tc>
          <w:tcPr>
            <w:tcW w:type="dxa" w:w="2076"/>
          </w:tcPr>
          <w:p/>
        </w:tc>
        <w:tc>
          <w:tcPr>
            <w:tcW w:type="dxa" w:w="415"/>
          </w:tcPr>
          <w:p>
            <w:r>
              <w:rPr/>
              <w:t>4</w:t>
            </w:r>
          </w:p>
        </w:tc>
        <w:tc>
          <w:tcPr>
            <w:tcW w:type="dxa" w:w="5814"/>
          </w:tcPr>
          <w:p>
            <w:r>
              <w:rPr>
                <w:sz w:val="19"/>
              </w:rPr>
              <w:t>闸机采用无刷电机，闸机通行速</w:t>
            </w:r>
            <w:r>
              <w:rPr>
                <w:sz w:val="19"/>
              </w:rPr>
              <w:t>≥人脸识别35人/分钟、刷卡60人/分钟。</w:t>
            </w:r>
          </w:p>
        </w:tc>
      </w:tr>
      <w:tr>
        <w:tc>
          <w:tcPr>
            <w:tcW w:type="dxa" w:w="2076"/>
          </w:tcPr>
          <w:p/>
        </w:tc>
        <w:tc>
          <w:tcPr>
            <w:tcW w:type="dxa" w:w="415"/>
          </w:tcPr>
          <w:p>
            <w:r>
              <w:rPr/>
              <w:t>5</w:t>
            </w:r>
          </w:p>
        </w:tc>
        <w:tc>
          <w:tcPr>
            <w:tcW w:type="dxa" w:w="5814"/>
          </w:tcPr>
          <w:p>
            <w:r>
              <w:rPr>
                <w:sz w:val="19"/>
              </w:rPr>
              <w:t>设备运行寿命开关次数</w:t>
            </w:r>
            <w:r>
              <w:rPr>
                <w:sz w:val="19"/>
              </w:rPr>
              <w:t>≥1200万次。</w:t>
            </w:r>
          </w:p>
        </w:tc>
      </w:tr>
      <w:tr>
        <w:tc>
          <w:tcPr>
            <w:tcW w:type="dxa" w:w="2076"/>
          </w:tcPr>
          <w:p/>
        </w:tc>
        <w:tc>
          <w:tcPr>
            <w:tcW w:type="dxa" w:w="415"/>
          </w:tcPr>
          <w:p>
            <w:r>
              <w:rPr/>
              <w:t>6</w:t>
            </w:r>
          </w:p>
        </w:tc>
        <w:tc>
          <w:tcPr>
            <w:tcW w:type="dxa" w:w="5814"/>
          </w:tcPr>
          <w:p>
            <w:r>
              <w:rPr>
                <w:sz w:val="19"/>
              </w:rPr>
              <w:t>支持不低于</w:t>
            </w:r>
            <w:r>
              <w:rPr>
                <w:sz w:val="19"/>
              </w:rPr>
              <w:t>50万卡片管理和不低于70万事件记录存储。</w:t>
            </w:r>
          </w:p>
        </w:tc>
      </w:tr>
      <w:tr>
        <w:tc>
          <w:tcPr>
            <w:tcW w:type="dxa" w:w="2076"/>
          </w:tcPr>
          <w:p/>
        </w:tc>
        <w:tc>
          <w:tcPr>
            <w:tcW w:type="dxa" w:w="415"/>
          </w:tcPr>
          <w:p>
            <w:r>
              <w:rPr/>
              <w:t>7</w:t>
            </w:r>
          </w:p>
        </w:tc>
        <w:tc>
          <w:tcPr>
            <w:tcW w:type="dxa" w:w="5814"/>
          </w:tcPr>
          <w:p>
            <w:r>
              <w:rPr>
                <w:sz w:val="19"/>
              </w:rPr>
              <w:t>闸机具有滤重功能，在规定时间内同一张卡或人脸只能在一路通道进出使用，不允许同时打开多路通道。</w:t>
            </w:r>
          </w:p>
        </w:tc>
      </w:tr>
      <w:tr>
        <w:tc>
          <w:tcPr>
            <w:tcW w:type="dxa" w:w="2076"/>
          </w:tcPr>
          <w:p>
            <w:r>
              <w:rPr/>
              <w:t>▲</w:t>
            </w:r>
          </w:p>
        </w:tc>
        <w:tc>
          <w:tcPr>
            <w:tcW w:type="dxa" w:w="415"/>
          </w:tcPr>
          <w:p>
            <w:r>
              <w:rPr/>
              <w:t>8</w:t>
            </w:r>
          </w:p>
        </w:tc>
        <w:tc>
          <w:tcPr>
            <w:tcW w:type="dxa" w:w="5814"/>
          </w:tcPr>
          <w:p>
            <w:r>
              <w:rPr>
                <w:sz w:val="19"/>
              </w:rPr>
              <w:t>通讯方式：通道机采用</w:t>
            </w:r>
            <w:r>
              <w:rPr>
                <w:sz w:val="19"/>
              </w:rPr>
              <w:t>TCP/IP协议进行通讯，当闸机与管理软件断开通讯后，闸机可以脱机使用进行进出验证，继续存储记录，在通讯恢复后上传记录到管理软件。</w:t>
            </w:r>
            <w:r>
              <w:rPr>
                <w:b/>
                <w:sz w:val="19"/>
              </w:rPr>
              <w:t>（须提供第三方的证明材料复印件，并加盖投标人公章）</w:t>
            </w:r>
          </w:p>
        </w:tc>
      </w:tr>
      <w:tr>
        <w:tc>
          <w:tcPr>
            <w:tcW w:type="dxa" w:w="2076"/>
          </w:tcPr>
          <w:p/>
        </w:tc>
        <w:tc>
          <w:tcPr>
            <w:tcW w:type="dxa" w:w="415"/>
          </w:tcPr>
          <w:p>
            <w:r>
              <w:rPr/>
              <w:t>9</w:t>
            </w:r>
          </w:p>
        </w:tc>
        <w:tc>
          <w:tcPr>
            <w:tcW w:type="dxa" w:w="5814"/>
          </w:tcPr>
          <w:p>
            <w:r>
              <w:rPr>
                <w:sz w:val="19"/>
              </w:rPr>
              <w:t>联网提示功能：闸机与管理软件之间通讯断开或恢复通讯时闸机有语音提示功能。</w:t>
            </w:r>
          </w:p>
        </w:tc>
      </w:tr>
      <w:tr>
        <w:tc>
          <w:tcPr>
            <w:tcW w:type="dxa" w:w="2076"/>
          </w:tcPr>
          <w:p/>
        </w:tc>
        <w:tc>
          <w:tcPr>
            <w:tcW w:type="dxa" w:w="415"/>
          </w:tcPr>
          <w:p>
            <w:r>
              <w:rPr/>
              <w:t>10</w:t>
            </w:r>
          </w:p>
        </w:tc>
        <w:tc>
          <w:tcPr>
            <w:tcW w:type="dxa" w:w="5814"/>
          </w:tcPr>
          <w:p>
            <w:r>
              <w:rPr>
                <w:sz w:val="19"/>
              </w:rPr>
              <w:t>防尾随功能：系统具有防止尾随功能，当通道内通行人数超过允许通行设定人数时可给出报警提示</w:t>
            </w:r>
            <w:r>
              <w:rPr>
                <w:sz w:val="19"/>
              </w:rPr>
              <w:t>(语音播报、灯光指示)同时上传报警事件，两人间的最小检测间距可达20mm。</w:t>
            </w:r>
          </w:p>
        </w:tc>
      </w:tr>
      <w:tr>
        <w:tc>
          <w:tcPr>
            <w:tcW w:type="dxa" w:w="2076"/>
          </w:tcPr>
          <w:p/>
        </w:tc>
        <w:tc>
          <w:tcPr>
            <w:tcW w:type="dxa" w:w="415"/>
          </w:tcPr>
          <w:p>
            <w:r>
              <w:rPr/>
              <w:t>11</w:t>
            </w:r>
          </w:p>
        </w:tc>
        <w:tc>
          <w:tcPr>
            <w:tcW w:type="dxa" w:w="5814"/>
          </w:tcPr>
          <w:p>
            <w:r>
              <w:rPr>
                <w:sz w:val="19"/>
              </w:rPr>
              <w:t>双向进出，自动识别方向：每路通道均可入可出，提高设备使用率，人员通过时，系统会自动识别进出方向，为管理者提供更准确的数据。</w:t>
            </w:r>
          </w:p>
        </w:tc>
      </w:tr>
      <w:tr>
        <w:tc>
          <w:tcPr>
            <w:tcW w:type="dxa" w:w="2076"/>
          </w:tcPr>
          <w:p/>
        </w:tc>
        <w:tc>
          <w:tcPr>
            <w:tcW w:type="dxa" w:w="415"/>
          </w:tcPr>
          <w:p>
            <w:r>
              <w:rPr/>
              <w:t>12</w:t>
            </w:r>
          </w:p>
        </w:tc>
        <w:tc>
          <w:tcPr>
            <w:tcW w:type="dxa" w:w="5814"/>
          </w:tcPr>
          <w:p>
            <w:r>
              <w:rPr>
                <w:sz w:val="19"/>
              </w:rPr>
              <w:t>支持</w:t>
            </w:r>
            <w:r>
              <w:rPr>
                <w:sz w:val="19"/>
              </w:rPr>
              <w:t>“反潜入”：使用身份标签(卡片、二维码、人脸)在同一通行方向上无法在多台设备上连续身份确认通行，设备可发出语音提示重复出入二维码和人脸身份标签是否参与可通过软件配置。</w:t>
            </w:r>
          </w:p>
        </w:tc>
      </w:tr>
      <w:tr>
        <w:tc>
          <w:tcPr>
            <w:tcW w:type="dxa" w:w="2076"/>
          </w:tcPr>
          <w:p/>
        </w:tc>
        <w:tc>
          <w:tcPr>
            <w:tcW w:type="dxa" w:w="415"/>
          </w:tcPr>
          <w:p>
            <w:r>
              <w:rPr/>
              <w:t>13</w:t>
            </w:r>
          </w:p>
        </w:tc>
        <w:tc>
          <w:tcPr>
            <w:tcW w:type="dxa" w:w="5814"/>
          </w:tcPr>
          <w:p>
            <w:r>
              <w:rPr>
                <w:sz w:val="19"/>
              </w:rPr>
              <w:t>消防系统联动功能：系统能与消防系统联动，当消防给出火警信号时，通道闸机可自动打开。</w:t>
            </w:r>
          </w:p>
        </w:tc>
      </w:tr>
      <w:tr>
        <w:tc>
          <w:tcPr>
            <w:tcW w:type="dxa" w:w="2076"/>
          </w:tcPr>
          <w:p/>
        </w:tc>
        <w:tc>
          <w:tcPr>
            <w:tcW w:type="dxa" w:w="415"/>
          </w:tcPr>
          <w:p>
            <w:r>
              <w:rPr/>
              <w:t>14</w:t>
            </w:r>
          </w:p>
        </w:tc>
        <w:tc>
          <w:tcPr>
            <w:tcW w:type="dxa" w:w="5814"/>
          </w:tcPr>
          <w:p>
            <w:r>
              <w:rPr>
                <w:sz w:val="19"/>
              </w:rPr>
              <w:t>防跳跃功能：对不刷卡跳跃或翻过通道自动进行报警提示</w:t>
            </w:r>
            <w:r>
              <w:rPr>
                <w:sz w:val="19"/>
              </w:rPr>
              <w:t>(语音播报、灯光提示)同时上传报警事件。</w:t>
            </w:r>
          </w:p>
        </w:tc>
      </w:tr>
      <w:tr>
        <w:tc>
          <w:tcPr>
            <w:tcW w:type="dxa" w:w="2076"/>
          </w:tcPr>
          <w:p>
            <w:r>
              <w:rPr/>
              <w:t>▲</w:t>
            </w:r>
          </w:p>
        </w:tc>
        <w:tc>
          <w:tcPr>
            <w:tcW w:type="dxa" w:w="415"/>
          </w:tcPr>
          <w:p>
            <w:r>
              <w:rPr/>
              <w:t>15</w:t>
            </w:r>
          </w:p>
        </w:tc>
        <w:tc>
          <w:tcPr>
            <w:tcW w:type="dxa" w:w="5814"/>
          </w:tcPr>
          <w:p>
            <w:r>
              <w:rPr>
                <w:sz w:val="19"/>
              </w:rPr>
              <w:t>防反向闯入功能：某一方向的通行过程结束之前，人员从相反方向进入通道将被视为反向闯入：验证开门后检测到反向进入行为，将给出报警提示</w:t>
            </w:r>
            <w:r>
              <w:rPr>
                <w:sz w:val="19"/>
              </w:rPr>
              <w:t>(语音播报、灯光提示)，同时会上传报警事件。</w:t>
            </w:r>
            <w:r>
              <w:rPr>
                <w:b/>
                <w:sz w:val="19"/>
              </w:rPr>
              <w:t>（须提供第三方的证明材料复印件，并加盖投标人公章）</w:t>
            </w:r>
          </w:p>
        </w:tc>
      </w:tr>
      <w:tr>
        <w:tc>
          <w:tcPr>
            <w:tcW w:type="dxa" w:w="2076"/>
          </w:tcPr>
          <w:p/>
        </w:tc>
        <w:tc>
          <w:tcPr>
            <w:tcW w:type="dxa" w:w="415"/>
          </w:tcPr>
          <w:p>
            <w:r>
              <w:rPr/>
              <w:t>16</w:t>
            </w:r>
          </w:p>
        </w:tc>
        <w:tc>
          <w:tcPr>
            <w:tcW w:type="dxa" w:w="5814"/>
          </w:tcPr>
          <w:p>
            <w:r>
              <w:rPr>
                <w:sz w:val="19"/>
              </w:rPr>
              <w:t>断电开闻功能：断电时系统会自动打开闸翼成敞开状态，方便疏散人群，符合消防要求。</w:t>
            </w:r>
          </w:p>
        </w:tc>
      </w:tr>
      <w:tr>
        <w:tc>
          <w:tcPr>
            <w:tcW w:type="dxa" w:w="2076"/>
          </w:tcPr>
          <w:p/>
        </w:tc>
        <w:tc>
          <w:tcPr>
            <w:tcW w:type="dxa" w:w="415"/>
          </w:tcPr>
          <w:p>
            <w:r>
              <w:rPr/>
              <w:t>17</w:t>
            </w:r>
          </w:p>
        </w:tc>
        <w:tc>
          <w:tcPr>
            <w:tcW w:type="dxa" w:w="5814"/>
          </w:tcPr>
          <w:p>
            <w:r>
              <w:rPr>
                <w:sz w:val="19"/>
              </w:rPr>
              <w:t>通行方式：通过管理软件设置闸机在指定时间段运行模式，受控通行、自由通行、禁止通行、只许进不许出、只许出不许进。工作模式：常开</w:t>
            </w:r>
            <w:r>
              <w:rPr>
                <w:sz w:val="19"/>
              </w:rPr>
              <w:t>/常闭(默认)，可自由切换。</w:t>
            </w:r>
          </w:p>
        </w:tc>
      </w:tr>
      <w:tr>
        <w:tc>
          <w:tcPr>
            <w:tcW w:type="dxa" w:w="2076"/>
          </w:tcPr>
          <w:p/>
        </w:tc>
        <w:tc>
          <w:tcPr>
            <w:tcW w:type="dxa" w:w="415"/>
          </w:tcPr>
          <w:p>
            <w:r>
              <w:rPr/>
              <w:t>18</w:t>
            </w:r>
          </w:p>
        </w:tc>
        <w:tc>
          <w:tcPr>
            <w:tcW w:type="dxa" w:w="5814"/>
          </w:tcPr>
          <w:p>
            <w:r>
              <w:rPr>
                <w:sz w:val="19"/>
              </w:rPr>
              <w:t>红外防夹：在靠近闸翼活动的区域</w:t>
            </w:r>
            <w:r>
              <w:rPr>
                <w:sz w:val="19"/>
              </w:rPr>
              <w:t>(防夹区域)安装多对红外探测器，一且检测到防夹区域有人或物体，闸翼自动停止动作；直到人或物体离开防夹区域后，闸翼才继续动作。</w:t>
            </w:r>
          </w:p>
        </w:tc>
      </w:tr>
      <w:tr>
        <w:tc>
          <w:tcPr>
            <w:tcW w:type="dxa" w:w="2076"/>
          </w:tcPr>
          <w:p/>
        </w:tc>
        <w:tc>
          <w:tcPr>
            <w:tcW w:type="dxa" w:w="415"/>
          </w:tcPr>
          <w:p>
            <w:r>
              <w:rPr/>
              <w:t>19</w:t>
            </w:r>
          </w:p>
        </w:tc>
        <w:tc>
          <w:tcPr>
            <w:tcW w:type="dxa" w:w="5814"/>
          </w:tcPr>
          <w:p>
            <w:r>
              <w:rPr>
                <w:sz w:val="19"/>
              </w:rPr>
              <w:t>机械防夹；闸翼在关闭过程中碰到阻碍，会瞬时反向弹开；闸翼关闭过程中的冲撞力在安全范围内。</w:t>
            </w:r>
          </w:p>
        </w:tc>
      </w:tr>
      <w:tr>
        <w:tc>
          <w:tcPr>
            <w:tcW w:type="dxa" w:w="2076"/>
          </w:tcPr>
          <w:p>
            <w:r>
              <w:rPr/>
              <w:t>▲</w:t>
            </w:r>
          </w:p>
        </w:tc>
        <w:tc>
          <w:tcPr>
            <w:tcW w:type="dxa" w:w="415"/>
          </w:tcPr>
          <w:p>
            <w:r>
              <w:rPr/>
              <w:t>20</w:t>
            </w:r>
          </w:p>
        </w:tc>
        <w:tc>
          <w:tcPr>
            <w:tcW w:type="dxa" w:w="5814"/>
          </w:tcPr>
          <w:p>
            <w:r>
              <w:rPr>
                <w:sz w:val="19"/>
              </w:rPr>
              <w:t>滞留提示功能：有人员滞留在通道内超过规定的时间，闸机会有语音提示，通知滞留人员。</w:t>
            </w:r>
            <w:r>
              <w:rPr>
                <w:b/>
                <w:sz w:val="19"/>
              </w:rPr>
              <w:t>（须提供第三方的证明材料复印件，并加盖投标人公章）</w:t>
            </w:r>
          </w:p>
        </w:tc>
      </w:tr>
      <w:tr>
        <w:tc>
          <w:tcPr>
            <w:tcW w:type="dxa" w:w="2076"/>
          </w:tcPr>
          <w:p/>
        </w:tc>
        <w:tc>
          <w:tcPr>
            <w:tcW w:type="dxa" w:w="415"/>
          </w:tcPr>
          <w:p>
            <w:r>
              <w:rPr/>
              <w:t>21</w:t>
            </w:r>
          </w:p>
        </w:tc>
        <w:tc>
          <w:tcPr>
            <w:tcW w:type="dxa" w:w="5814"/>
          </w:tcPr>
          <w:p>
            <w:r>
              <w:rPr>
                <w:sz w:val="19"/>
              </w:rPr>
              <w:t>应急开启功能：通过管理软件、开关按键、开关量输入接口开启闸翼，配置紧急逃生控制装置，使系统自动打开闸翼，方便疏散人群</w:t>
            </w:r>
            <w:r>
              <w:rPr>
                <w:sz w:val="19"/>
              </w:rPr>
              <w:t>(可远程控制)。</w:t>
            </w:r>
          </w:p>
        </w:tc>
      </w:tr>
      <w:tr>
        <w:tc>
          <w:tcPr>
            <w:tcW w:type="dxa" w:w="2076"/>
          </w:tcPr>
          <w:p/>
        </w:tc>
        <w:tc>
          <w:tcPr>
            <w:tcW w:type="dxa" w:w="415"/>
          </w:tcPr>
          <w:p>
            <w:r>
              <w:rPr/>
              <w:t>22</w:t>
            </w:r>
          </w:p>
        </w:tc>
        <w:tc>
          <w:tcPr>
            <w:tcW w:type="dxa" w:w="5814"/>
          </w:tcPr>
          <w:p>
            <w:r>
              <w:rPr>
                <w:sz w:val="19"/>
              </w:rPr>
              <w:t>系统检测功能：支持可通过移动端软件对设备进行远程开关控制、健康检测；并支持将设备的故障信息推送至移动端软件进行提醒。</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本项目的中标金额为计算基准，参照国家计委《招标代理服务收费管理暂行办法》（计价格〔2002〕1980号）文件中“货物类”规定的计算方法和计费标准下浮20%执行，不足5,000.00元的按5,000.00元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 （7）本项目纸质版投标文件必须是通过智慧云平台投标客户端软件生成的加了系统水印的投标文件打印的纸质版。为方便采购人归档，中标供应商须在结果公告发出之日起5个工作日内将纸质版投标文件（数量为一正两副纸质投标文件）通过快递邮寄或现场递交至“广州市越秀区广仁路一号广仁大厦七楼，收件人及电话：陈小姐020-83172166-828）”。供应商选择快递邮寄的请及时将快递单号、项目名称、供应商名称等信息发送至我司邮箱hualuneb@163.com，快递外包装封面标注：采购项目（采购包）编号、名称+供应商名称，以便工作人员及时查收。供应商须自行承担邮寄文件丢失、破坏、灭失等风险及造成的后果。</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广东华伦招标有限公司（https://www.gdhualun.com.cn/）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w:t>
      </w:r>
    </w:p>
    <w:p>
      <w:pPr>
        <w:ind w:firstLine="480"/>
      </w:pPr>
      <w:r>
        <w:rPr/>
        <w:t>邮箱：</w:t>
      </w:r>
      <w:r>
        <w:rPr/>
        <w:t>hualuneb@163.com</w:t>
      </w:r>
    </w:p>
    <w:p>
      <w:pPr>
        <w:ind w:firstLine="480"/>
      </w:pPr>
      <w:r>
        <w:rPr/>
        <w:t>地址：</w:t>
      </w:r>
      <w:r>
        <w:rPr/>
        <w:t>广州市越秀区广仁路一号广仁大厦七楼（如采用邮寄形式提交，请提前跟我司工作人员联系，并同步将邮寄底单发送至我司邮箱）</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华南师范大学汕尾校区场馆楼宇通行门禁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采购包1（华南师范大学汕尾校区场馆楼宇通行门禁采购项目）：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采购包1（华南师范大学汕尾校区场馆楼宇通行门禁采购项目）：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提供承诺函（格式自拟）。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重大违法记录，是指供应商因违法经营受到刑事处罚或者责令停产停业、吊销许可证或者执照、较大数额罚款等行政处罚（较大数额罚款按照《财政部关于＜中华人民共和国政府采购法实施条例＞第十九条第一款“较大数额罚款”具体适用问题的意见》（财库〔2022〕3号）执行）。按投标（响应）文件格式和相关承诺要求内容提供《投标函》。</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投标（响应）文件格式和相关承诺要求内容提供《投标函》。</w:t>
            </w:r>
          </w:p>
        </w:tc>
      </w:tr>
      <w:tr>
        <w:tc>
          <w:tcPr>
            <w:tcW w:type="dxa" w:w="890"/>
          </w:tcPr>
          <w:p>
            <w:r>
              <w:rPr/>
              <w:t>8</w:t>
            </w:r>
          </w:p>
        </w:tc>
        <w:tc>
          <w:tcPr>
            <w:tcW w:type="dxa" w:w="3178"/>
          </w:tcPr>
          <w:p>
            <w:r>
              <w:rPr/>
              <w:t>是否接受联合体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本项目预留采购份额无法确保充分供应、充分竞争，或者存在可能影响政府采购目标实现的情形，不属于专门面向中小企业采购的项目。</w:t>
            </w:r>
          </w:p>
        </w:tc>
      </w:tr>
    </w:tbl>
    <w:p/>
    <w:p>
      <w:pPr>
        <w:ind w:firstLine="480"/>
      </w:pPr>
      <w:r>
        <w:rPr/>
        <w:t>表二符合性审查表：</w:t>
      </w:r>
    </w:p>
    <w:p>
      <w:pPr>
        <w:ind w:firstLine="480"/>
      </w:pPr>
    </w:p>
    <w:p/>
    <w:p>
      <w:r>
        <w:rPr/>
        <w:t>采购包1（华南师范大学汕尾校区场馆楼宇通行门禁采购项目）：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《投标函》已提交并符合招标文件要求，且投标有效期满足招标文件要求。</w:t>
            </w:r>
          </w:p>
        </w:tc>
      </w:tr>
      <w:tr>
        <w:tc>
          <w:tcPr>
            <w:tcW w:type="dxa" w:w="890"/>
          </w:tcPr>
          <w:p>
            <w:r>
              <w:rPr/>
              <w:t>2</w:t>
            </w:r>
          </w:p>
        </w:tc>
        <w:tc>
          <w:tcPr>
            <w:tcW w:type="dxa" w:w="3178"/>
          </w:tcPr>
          <w:p>
            <w:r>
              <w:rPr/>
              <w:t>法定代表人/负责人证明书及授权书（如适用）</w:t>
            </w:r>
          </w:p>
        </w:tc>
        <w:tc>
          <w:tcPr>
            <w:tcW w:type="dxa" w:w="4238"/>
          </w:tcPr>
          <w:p>
            <w:r>
              <w:rPr/>
              <w:t>按对应格式文件签署、盖章(原件)。</w:t>
            </w:r>
          </w:p>
        </w:tc>
      </w:tr>
      <w:tr>
        <w:tc>
          <w:tcPr>
            <w:tcW w:type="dxa" w:w="890"/>
          </w:tcPr>
          <w:p>
            <w:r>
              <w:rPr/>
              <w:t>3</w:t>
            </w:r>
          </w:p>
        </w:tc>
        <w:tc>
          <w:tcPr>
            <w:tcW w:type="dxa" w:w="3178"/>
          </w:tcPr>
          <w:p>
            <w:r>
              <w:rPr/>
              <w:t>“★”号条款响应（如有）</w:t>
            </w:r>
          </w:p>
        </w:tc>
        <w:tc>
          <w:tcPr>
            <w:tcW w:type="dxa" w:w="4238"/>
          </w:tcPr>
          <w:p>
            <w:r>
              <w:rPr/>
              <w:t>实质性响应招标文件中“★”号条款要求。</w:t>
            </w:r>
          </w:p>
        </w:tc>
      </w:tr>
      <w:tr>
        <w:tc>
          <w:tcPr>
            <w:tcW w:type="dxa" w:w="890"/>
          </w:tcPr>
          <w:p>
            <w:r>
              <w:rPr/>
              <w:t>4</w:t>
            </w:r>
          </w:p>
        </w:tc>
        <w:tc>
          <w:tcPr>
            <w:tcW w:type="dxa" w:w="3178"/>
          </w:tcPr>
          <w:p>
            <w:r>
              <w:rPr/>
              <w:t>投标报价</w:t>
            </w:r>
          </w:p>
        </w:tc>
        <w:tc>
          <w:tcPr>
            <w:tcW w:type="dxa" w:w="4238"/>
          </w:tcPr>
          <w:p>
            <w:r>
              <w:rPr/>
              <w:t>（1）投标报价（含单项/单价报价，如有要求）确定且未超过招标文件中列出的采购预算（最高限价）； （2）投标报价是唯一确定的，对采购标的的主体、关键内容无漏项、缺项； （3）如有，对评标委员会按照招标文件规定修正后的投标报价，投标人按规定书面确认； （4）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（1）评审期间，投标人没有按评标委员会的要求提交有效的澄清、说明、补正，或提交的澄清、说明、补正改变了投标文件的实质性内容； （2）招标文件中规定的其他无效投标情形； （3）法律法规规定属于投标无效的其他情形。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采购包1(华南师范大学汕尾校区场馆楼宇通行门禁采购项目):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 (40.0分)</w:t>
            </w:r>
          </w:p>
        </w:tc>
        <w:tc>
          <w:tcPr>
            <w:tcW w:type="dxa" w:w="5076"/>
          </w:tcPr>
          <w:p>
            <w:pPr>
              <w:jc w:val="left"/>
            </w:pPr>
            <w:r>
              <w:rPr/>
              <w:t>根据投标人所投产品对《第二章 采购需求》中“技术标准与要求”的附表中“具体技术（参数）要求”的响应情况进行评审，除“★”指标外，完全满足或优于招标参数得40分（注：“技术标准与要求”附表中“序号”列中每一个序号均以一项单独计算，无论是否隶属于上一级编号）： 1、重要技术条款（“▲”技术条款）的响应程度（共20条）：每有一项优于或完全满足采购需求的，得1.25分，最多得25分。不满足或负偏离的不得分。 2、一般技术条款（除带“★”、“▲”技术条款外）的响应程度（共126条）： 投标人本小项得分=投标人响应一般技术条款的项数/一般技术条款的项数×15分。 注：技术条款要求中有要求提供证明材料的，须提供符合要求的证明材料，否则视为负偏离。技术条款要求中未要求提供证明材料的，以投标人《技术和服务要求响应表》的响应情况为评审依据。本项得分最终保留2位小数，小数点后第三位四舍五入。</w:t>
            </w:r>
          </w:p>
        </w:tc>
      </w:tr>
      <w:tr>
        <w:tc>
          <w:tcPr>
            <w:tcW w:type="dxa" w:w="922"/>
            <w:gridSpan w:val="2"/>
            <w:vMerge/>
          </w:tcPr>
          <w:p/>
        </w:tc>
        <w:tc>
          <w:tcPr>
            <w:tcW w:type="dxa" w:w="2307"/>
          </w:tcPr>
          <w:p>
            <w:pPr>
              <w:jc w:val="left"/>
            </w:pPr>
            <w:r>
              <w:rPr/>
              <w:t>质量保障措施 (5.0分)</w:t>
            </w:r>
          </w:p>
        </w:tc>
        <w:tc>
          <w:tcPr>
            <w:tcW w:type="dxa" w:w="5076"/>
          </w:tcPr>
          <w:p>
            <w:pPr>
              <w:jc w:val="left"/>
            </w:pPr>
            <w:r>
              <w:rPr/>
              <w:t>根据投标人提供的质量保障措施（包括但不限于：①产品对接的实现及兼容性保障方案、②设备质量保障承诺和整体方案、③质量检验制度和计划、④设备包装保障措施、⑤物流运输过程质量保障措施）进行评审： 1.能提供针对本项目的质量保障措施的，得1分；如未能提供质量保障措施的，以下评分项均不得分。 2.提供的质量保障措施包含上述内容的，得1分；未包含其中任意一项不得分，且以下评分项均不得分。 2.1产品对接的实现及兼容性保障方案可行性强、技术路线明确，设备质量保障承诺和整体方案完整详细、有针对性，质量检验制度权责分明，质量检验的流程和计划、设备包装及物流运输方式的保障措施有详细合理的说明，并能根据项目性质或采购需求提出风险评判以及合理可行的防控措施和处理方案，完全满足或优于采购需求，得3分； 2.2产品对接的实现及兼容性保障方案具有一定的可行性、技术路线明确程度有所欠缺，设备质量保障承诺和整体方案完整，详细性和针对性有所欠缺，质量检验制度权责分明，有提供详细但合理性有所欠缺的质量检验的流程和计划、设备包装及物流运输方式的保障措施，并有根据项目性质或采购需求提出可能会出现的风险，但制定的防控措施和处理方案简单、不完善，得1分； 2.3产品对接的实现及兼容性保障方案不具可行性、技术路线不合理，或设备质量保障承诺和整体方案不完整、无针对性，或质量检验制度不具可行性，或质量检验的流程和计划、设备包装及物流运输方式的保障措施不详细、不合理，或未根据项目性质或采购需求列明可能会出现的风险，得0分。</w:t>
            </w:r>
          </w:p>
        </w:tc>
      </w:tr>
      <w:tr>
        <w:tc>
          <w:tcPr>
            <w:tcW w:type="dxa" w:w="922"/>
            <w:gridSpan w:val="2"/>
            <w:vMerge/>
          </w:tcPr>
          <w:p/>
        </w:tc>
        <w:tc>
          <w:tcPr>
            <w:tcW w:type="dxa" w:w="2307"/>
          </w:tcPr>
          <w:p>
            <w:pPr>
              <w:jc w:val="left"/>
            </w:pPr>
            <w:r>
              <w:rPr/>
              <w:t>安装与调试方案 (5.0分)</w:t>
            </w:r>
          </w:p>
        </w:tc>
        <w:tc>
          <w:tcPr>
            <w:tcW w:type="dxa" w:w="5076"/>
          </w:tcPr>
          <w:p>
            <w:pPr>
              <w:jc w:val="left"/>
            </w:pPr>
            <w:r>
              <w:rPr/>
              <w:t>根据投标人提供的安装与调试方案（包括但不限于：①针对人脸隐私保护的实现方案、②安装与调试的整体服务计划和流程设置、③安装与调试的人员安排、④对场地的其他货物、设施的保护措施、⑤技术培训方案）进行评审： 1.能提供针对本项目的安装与调试方案的，得1分；如未能提供安装与调试方案的，以下评分项均不得分。 2.提供的安装与调试方案包含上述内容的，得1分；未包含其中任意一项不得分，且以下评分项均不得分。 2.1针对人脸隐私保护的实现方案详细且符合现行政策法规，安装与调试方案完整详细、有针对性性，有明确的步骤和分工，能提供各项货物的安装调试计划安排表，体现专业性、及时性，能根据货物交付时间节点落实安装调试时间及相关人员安排，对安装调试场地的其他货物、设施有提出良好的保护措施和合理化建议，技术培训方案内容完整、详细、表述清晰、科学合理、切实可行，完全满足或优于采购需求，得3分； 2.2针对人脸隐私保护的实现方案完整、具有一定的可行性，整体安装与调试服务计划完整，详细性和针对性有所欠缺，有明确的步骤和分工，能提供各项货物的详细安装调试计划安排表，能根据货物交付时间节点落实人员安排，有提出对安装调试场地的其他货物、设施的保护措施，技术培训方案整体内容有所缺漏，部分满足采购需求，得1分； 2.3针对人脸隐私保护的实现方案不具可行性，或整体安装与调试服务计划不完整，无针对性，或无法提供各项货物的安装调试计划安排表，或未列明相关人员的安排，或缺乏对安装调试场地的其他货物、设施的保护措施，或技术培训方案表述不清晰、简单，可行性和合理性不足，得0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1、根据投标人对招标文件《第二章 采购需求》“主要商务要求”中的“服务响应时间”的响应程度进行评审（2分）： 优于采购需求的，得2分； 完全满足采购需求的，得1分； 对采购需求存在负偏离的，不得分。 2、根据投标人对招标文件《第二章 采购需求》“主要商务要求”中的“质量保证期”的响应程度进行评审（2分）： 质量保证期为3年的，得1分；在3年的基础上，每增加一年得1分，本项评审项最高得2分。</w:t>
            </w:r>
          </w:p>
        </w:tc>
      </w:tr>
      <w:tr>
        <w:tc>
          <w:tcPr>
            <w:tcW w:type="dxa" w:w="922"/>
            <w:gridSpan w:val="2"/>
            <w:vMerge/>
          </w:tcPr>
          <w:p/>
        </w:tc>
        <w:tc>
          <w:tcPr>
            <w:tcW w:type="dxa" w:w="2307"/>
          </w:tcPr>
          <w:p>
            <w:pPr>
              <w:jc w:val="left"/>
            </w:pPr>
            <w:r>
              <w:rPr/>
              <w:t>同类项目业绩 (6.0分)</w:t>
            </w:r>
          </w:p>
        </w:tc>
        <w:tc>
          <w:tcPr>
            <w:tcW w:type="dxa" w:w="5076"/>
          </w:tcPr>
          <w:p>
            <w:pPr>
              <w:jc w:val="left"/>
            </w:pPr>
            <w:r>
              <w:rPr/>
              <w:t>自2020年1月1日以来，投标人承担过同类（门禁或闸机类）项目经验，每提供一项得2分，最高得6分。 注：以合同签订时间为准，须提供合同关键页（包括但不限于合同双方的单位名称、合同项目名称、项目内容与含签订合同双方的落款盖章、签订日期的关键页）复印件，不提供不得分。</w:t>
            </w:r>
          </w:p>
        </w:tc>
      </w:tr>
      <w:tr>
        <w:tc>
          <w:tcPr>
            <w:tcW w:type="dxa" w:w="922"/>
            <w:gridSpan w:val="2"/>
            <w:vMerge/>
          </w:tcPr>
          <w:p/>
        </w:tc>
        <w:tc>
          <w:tcPr>
            <w:tcW w:type="dxa" w:w="2307"/>
          </w:tcPr>
          <w:p>
            <w:pPr>
              <w:jc w:val="left"/>
            </w:pPr>
            <w:r>
              <w:rPr/>
              <w:t>投标人管理体认证 (3.0分)</w:t>
            </w:r>
          </w:p>
        </w:tc>
        <w:tc>
          <w:tcPr>
            <w:tcW w:type="dxa" w:w="5076"/>
          </w:tcPr>
          <w:p>
            <w:pPr>
              <w:jc w:val="left"/>
            </w:pPr>
            <w:r>
              <w:rPr/>
              <w:t>投标人具有有效期内的： 1、质量管理体系认证证书； 2、环境管理体系认证证书； 3、职业健康安全管理体系认证证书。 每提供一类得1分，最高得3分。 注：须同时提供上述认证证书复印件及全国认证认可信息公共服务平台查询截图，否则不得分，已失效或撤销的不得分。公开信息中无法查询或与公开信息不一致的（如暂停的），投标人必须提供发证机构出具的证明函，否则该证书不得分。 （2）如因成立时间不满足认证时间要求且办理认证所需要合理时间不足导致未能获得认证证书的，投标人提供说明文件明确以上事项，说明合理且属实的，可对应得分。</w:t>
            </w:r>
          </w:p>
        </w:tc>
      </w:tr>
      <w:tr>
        <w:tc>
          <w:tcPr>
            <w:tcW w:type="dxa" w:w="922"/>
            <w:gridSpan w:val="2"/>
            <w:vMerge/>
          </w:tcPr>
          <w:p/>
        </w:tc>
        <w:tc>
          <w:tcPr>
            <w:tcW w:type="dxa" w:w="2307"/>
          </w:tcPr>
          <w:p>
            <w:pPr>
              <w:jc w:val="left"/>
            </w:pPr>
            <w:r>
              <w:rPr/>
              <w:t>拟投入本项目人员资质 (3.0分)</w:t>
            </w:r>
          </w:p>
        </w:tc>
        <w:tc>
          <w:tcPr>
            <w:tcW w:type="dxa" w:w="5076"/>
          </w:tcPr>
          <w:p>
            <w:pPr>
              <w:jc w:val="left"/>
            </w:pPr>
            <w:r>
              <w:rPr/>
              <w:t>拟投入本项目组人员需具备以下资质： 1、项目经理具有工业和信息化部、人力资源和社会保障部颁发的网络规划设计师证书； 2、本项目的人员具有系统集成项目管理工程师(中级)或以上级别证书； 每提供一项得1.5分，满分3分。 注：需同时提供上述人员有效的证书复印件及投标截止日前三个月内任意一个月内投标单位为其购买的社保证明材料复印件，否则不得分。同一人如同时获得上述不同证书的，不重复计算。</w:t>
            </w:r>
          </w:p>
        </w:tc>
      </w:tr>
      <w:tr>
        <w:tc>
          <w:tcPr>
            <w:tcW w:type="dxa" w:w="922"/>
            <w:gridSpan w:val="2"/>
            <w:vMerge/>
          </w:tcPr>
          <w:p/>
        </w:tc>
        <w:tc>
          <w:tcPr>
            <w:tcW w:type="dxa" w:w="2307"/>
          </w:tcPr>
          <w:p>
            <w:pPr>
              <w:jc w:val="left"/>
            </w:pPr>
            <w:r>
              <w:rPr/>
              <w:t>售后服务方案 (4.0分)</w:t>
            </w:r>
          </w:p>
        </w:tc>
        <w:tc>
          <w:tcPr>
            <w:tcW w:type="dxa" w:w="5076"/>
          </w:tcPr>
          <w:p>
            <w:pPr>
              <w:jc w:val="left"/>
            </w:pPr>
            <w:r>
              <w:rPr/>
              <w:t>根据投标人提供的售后服务方案（包括但不限于：①原厂或投标人上门保修服务计划、②产品及其配件的维修保养方式、③破损产品退换及备品备件的供货、④售后服务人员安排，不包括对采购需求中的服务响应时间和质量保证期的评审）进行评审： 1.能提供针对本项目的售后服务方案的，得1分；如未能提供售后服务方案的，以下评分项均不得分。 2.提供的售后服务方案包含上述内容的，得1分；未包含其中任意一项不得分，且以下评分项均不得分。 2.1保修服务计划的初步安排完整详细、有针对性，可提供原厂及投标人上门保修服务，针对产品及其配件的故障保修有详细的应对措施及相应的解决方案，备品备件的供货充足、及时，有专人提供售后服务，人员组织架构完善、专业技术力量投入充分、技术人员组织安排及跟进处理流程详细，完全满足或优于采购需求，得2分； 2.2保修服务计划的初步安排完整，可提供原厂及投标人上门保修服务，以及为采购人提供备品备件，同时有专人提供售后服务，但售后服务人员的技术力量投入不够充分，售后服务的整体方案的详细性和针对性有所欠缺，部分满足采购需求，得1分； 2.3保修服务计划的初步安排不完整，或无法提供原厂或投标人上门保修服务，维修保养方式有所缺漏，或备品备件的供货不充足，或未配置专人提供售后服务，或售后服务的整体方案简单、无针对性，得0分。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21"/>
        </w:rPr>
        <w:t>（注：合同格式为合同的参考文本，除实质性内容外，合同签订双方可根据项目的具体要求进行修订。）</w:t>
      </w:r>
    </w:p>
    <w:p/>
    <w:p/>
    <w:p/>
    <w:p/>
    <w:p>
      <w:pPr>
        <w:jc w:val="center"/>
      </w:pPr>
      <w:r>
        <w:rPr>
          <w:b/>
          <w:color w:val="000000"/>
          <w:sz w:val="56"/>
        </w:rPr>
        <w:t>华南师范大学货物采购合同书</w:t>
      </w:r>
    </w:p>
    <w:p>
      <w:pPr>
        <w:jc w:val="center"/>
      </w:pPr>
    </w:p>
    <w:p/>
    <w:p>
      <w:pPr>
        <w:ind w:firstLine="1968"/>
      </w:pPr>
    </w:p>
    <w:p>
      <w:pPr>
        <w:ind w:firstLine="1968"/>
      </w:pPr>
      <w:r>
        <w:rPr>
          <w:b/>
          <w:color w:val="000000"/>
          <w:sz w:val="28"/>
        </w:rPr>
        <w:t>甲方：</w:t>
      </w:r>
      <w:r>
        <w:rPr>
          <w:b/>
          <w:color w:val="000000"/>
          <w:sz w:val="28"/>
          <w:u w:val="single"/>
        </w:rPr>
        <w:t>华南师范大学</w:t>
      </w:r>
    </w:p>
    <w:p>
      <w:pPr>
        <w:ind w:firstLine="1968"/>
      </w:pPr>
      <w:r>
        <w:rPr>
          <w:b/>
          <w:color w:val="000000"/>
          <w:sz w:val="28"/>
        </w:rPr>
        <w:t>乙方：</w:t>
      </w:r>
    </w:p>
    <w:p>
      <w:pPr>
        <w:ind w:firstLine="1968"/>
      </w:pPr>
      <w:r>
        <w:rPr>
          <w:b/>
          <w:color w:val="000000"/>
          <w:sz w:val="28"/>
        </w:rPr>
        <w:t>签订地点：</w:t>
      </w:r>
      <w:r>
        <w:rPr>
          <w:b/>
          <w:color w:val="000000"/>
          <w:sz w:val="28"/>
          <w:u w:val="single"/>
        </w:rPr>
        <w:t>广州市天河区</w:t>
      </w:r>
    </w:p>
    <w:p>
      <w:pPr>
        <w:ind w:firstLine="1968"/>
      </w:pPr>
      <w:r>
        <w:rPr>
          <w:b/>
          <w:color w:val="000000"/>
          <w:sz w:val="28"/>
        </w:rPr>
        <w:t>合同名称：</w:t>
      </w:r>
    </w:p>
    <w:p>
      <w:pPr>
        <w:ind w:firstLine="1925"/>
      </w:pPr>
      <w:r>
        <w:rPr>
          <w:b/>
          <w:color w:val="000000"/>
          <w:sz w:val="28"/>
        </w:rPr>
        <w:t>合同编号：</w:t>
      </w:r>
    </w:p>
    <w:p>
      <w:pPr>
        <w:ind w:firstLine="1968"/>
      </w:pPr>
      <w:r>
        <w:rPr>
          <w:b/>
          <w:color w:val="000000"/>
          <w:sz w:val="28"/>
        </w:rPr>
        <w:t>采购编号：</w:t>
      </w:r>
    </w:p>
    <w:p>
      <w:pPr>
        <w:ind w:firstLine="1988"/>
      </w:pPr>
    </w:p>
    <w:p>
      <w:pPr>
        <w:ind w:firstLine="1546"/>
      </w:pPr>
    </w:p>
    <w:p>
      <w:pPr>
        <w:ind w:firstLine="1988"/>
      </w:pPr>
    </w:p>
    <w:p/>
    <w:p/>
    <w:p>
      <w:pPr>
        <w:jc w:val="center"/>
      </w:pPr>
      <w:r>
        <w:rPr>
          <w:b/>
          <w:color w:val="000000"/>
          <w:sz w:val="28"/>
        </w:rPr>
        <w:t>华南师范大学采购与招投标中心拟制</w:t>
      </w:r>
    </w:p>
    <w:p>
      <w:pPr>
        <w:ind w:firstLine="562"/>
        <w:jc w:val="center"/>
      </w:pPr>
    </w:p>
    <w:p/>
    <w:p>
      <w:r>
        <w:rPr>
          <w:b/>
          <w:color w:val="000000"/>
          <w:sz w:val="28"/>
        </w:rPr>
        <w:t>合同使用指引</w:t>
      </w:r>
    </w:p>
    <w:p>
      <w:r>
        <w:rPr/>
        <w:t xml:space="preserve"> </w:t>
      </w:r>
    </w:p>
    <w:p>
      <w:pPr>
        <w:ind w:firstLine="440"/>
      </w:pPr>
    </w:p>
    <w:p>
      <w:pPr>
        <w:ind w:firstLine="440"/>
      </w:pPr>
      <w:r>
        <w:rPr>
          <w:color w:val="000000"/>
          <w:sz w:val="22"/>
        </w:rPr>
        <w:t>一、本合同书为华南师范大学</w:t>
      </w:r>
      <w:r>
        <w:rPr>
          <w:b/>
          <w:color w:val="000000"/>
          <w:sz w:val="22"/>
        </w:rPr>
        <w:t>国内</w:t>
      </w:r>
      <w:r>
        <w:rPr>
          <w:color w:val="000000"/>
          <w:sz w:val="22"/>
        </w:rPr>
        <w:t>货物采购合同范本，</w:t>
      </w:r>
      <w:r>
        <w:rPr>
          <w:b/>
          <w:color w:val="000000"/>
          <w:sz w:val="22"/>
        </w:rPr>
        <w:t>适用于公开招标、邀请招标、单一来源、竞争性谈判、竞争性磋商、询价等采购方式产生的合同</w:t>
      </w:r>
      <w:r>
        <w:rPr>
          <w:color w:val="000000"/>
          <w:sz w:val="22"/>
        </w:rPr>
        <w:t>。</w:t>
      </w:r>
    </w:p>
    <w:p>
      <w:pPr>
        <w:ind w:firstLine="440"/>
      </w:pPr>
      <w:r>
        <w:rPr>
          <w:color w:val="000000"/>
          <w:sz w:val="22"/>
        </w:rPr>
        <w:t>二、</w:t>
      </w:r>
      <w:r>
        <w:rPr>
          <w:b/>
          <w:color w:val="000000"/>
          <w:sz w:val="22"/>
        </w:rPr>
        <w:t>本合同书原则上不得随意修改、删减</w:t>
      </w:r>
      <w:r>
        <w:rPr>
          <w:color w:val="000000"/>
          <w:sz w:val="22"/>
        </w:rPr>
        <w:t>，如有特殊约定可增加补充条款或附件，但所补充内容不得与已有条款内容相冲突。</w:t>
      </w:r>
    </w:p>
    <w:p>
      <w:pPr>
        <w:ind w:firstLine="440"/>
      </w:pPr>
      <w:r>
        <w:rPr>
          <w:color w:val="000000"/>
          <w:sz w:val="22"/>
        </w:rPr>
        <w:t>三、在使用本合同书时，</w:t>
      </w:r>
      <w:r>
        <w:rPr>
          <w:b/>
          <w:color w:val="000000"/>
          <w:sz w:val="22"/>
        </w:rPr>
        <w:t>应当结合具体情况正确选择文本中所提供的选择项条款；画横线处及空格的内容则由双方根据实际情况填写</w:t>
      </w:r>
      <w:r>
        <w:rPr>
          <w:color w:val="000000"/>
          <w:sz w:val="22"/>
        </w:rPr>
        <w:t>。对于无需填写的条款，应根据文本提示在该条款处注明</w:t>
      </w:r>
      <w:r>
        <w:rPr>
          <w:color w:val="000000"/>
          <w:sz w:val="22"/>
        </w:rPr>
        <w:t>“无”字样。</w:t>
      </w:r>
    </w:p>
    <w:p>
      <w:pPr>
        <w:ind w:firstLine="440"/>
      </w:pPr>
      <w:r>
        <w:rPr>
          <w:color w:val="000000"/>
          <w:sz w:val="22"/>
        </w:rPr>
        <w:t>四、甲乙双方信息应全部填写完整，合同结尾处的双方签名及签订日期</w:t>
      </w:r>
      <w:r>
        <w:rPr>
          <w:b/>
          <w:color w:val="000000"/>
          <w:sz w:val="22"/>
        </w:rPr>
        <w:t>均应为亲笔签名</w:t>
      </w:r>
      <w:r>
        <w:rPr>
          <w:color w:val="000000"/>
          <w:sz w:val="22"/>
        </w:rPr>
        <w:t>。</w:t>
      </w:r>
    </w:p>
    <w:p>
      <w:pPr>
        <w:ind w:firstLine="440"/>
      </w:pPr>
      <w:r>
        <w:rPr>
          <w:color w:val="000000"/>
          <w:sz w:val="22"/>
        </w:rPr>
        <w:t>五、</w:t>
      </w:r>
      <w:r>
        <w:rPr>
          <w:b/>
          <w:color w:val="000000"/>
          <w:sz w:val="22"/>
        </w:rPr>
        <w:t>本合同书应按规定格式双面打印，大小为</w:t>
      </w:r>
      <w:r>
        <w:rPr>
          <w:b/>
          <w:color w:val="000000"/>
          <w:sz w:val="22"/>
        </w:rPr>
        <w:t>A4幅面，正文内容所用字体应不小于5号字</w:t>
      </w:r>
      <w:r>
        <w:rPr>
          <w:color w:val="000000"/>
          <w:sz w:val="22"/>
        </w:rPr>
        <w:t>。合同附件应与合同书装订在一起，其规格大小应与合同书一致。</w:t>
      </w:r>
    </w:p>
    <w:p>
      <w:pPr>
        <w:ind w:firstLine="440"/>
      </w:pPr>
      <w:r>
        <w:rPr>
          <w:color w:val="000000"/>
          <w:sz w:val="22"/>
        </w:rPr>
        <w:t>六、本合同书经甲乙双方法定代表人或委托代理人签署、加盖单位公章后，送贰份至采购与招投标中心存档备案。</w:t>
      </w:r>
    </w:p>
    <w:p>
      <w:pPr>
        <w:ind w:firstLine="440"/>
      </w:pPr>
      <w:r>
        <w:rPr>
          <w:color w:val="000000"/>
          <w:sz w:val="22"/>
        </w:rPr>
        <w:t>七、甲乙双方应保管好合同书原件。</w:t>
      </w:r>
    </w:p>
    <w:p>
      <w:pPr>
        <w:ind w:firstLine="440"/>
      </w:pPr>
      <w:r>
        <w:rPr>
          <w:color w:val="000000"/>
          <w:sz w:val="22"/>
        </w:rPr>
        <w:t>八、如有疑问请与采购中心采购一部联系，联系电话：</w:t>
      </w:r>
      <w:r>
        <w:rPr>
          <w:color w:val="000000"/>
          <w:sz w:val="22"/>
        </w:rPr>
        <w:t>85211082。</w:t>
      </w:r>
    </w:p>
    <w:p>
      <w:pPr>
        <w:jc w:val="center"/>
      </w:pPr>
    </w:p>
    <w:p>
      <w:pPr>
        <w:ind w:firstLine="440"/>
      </w:pPr>
    </w:p>
    <w:p/>
    <w:p>
      <w:r>
        <w:rPr>
          <w:color w:val="000000"/>
          <w:sz w:val="22"/>
        </w:rPr>
        <w:t>根据《中华人民共和国政府采购法》、《中华人民共和国招标投标法》、《中华人民共和国民法典》等法律法规，以及甲方委托</w:t>
      </w:r>
      <w:r>
        <w:rPr>
          <w:u w:val="single"/>
        </w:rPr>
        <w:t xml:space="preserve">          </w:t>
      </w:r>
      <w:r>
        <w:rPr>
          <w:color w:val="000000"/>
          <w:sz w:val="22"/>
        </w:rPr>
        <w:t>（代理机构名称）组织的</w:t>
      </w:r>
      <w:r>
        <w:rPr>
          <w:u w:val="single"/>
        </w:rPr>
        <w:t xml:space="preserve">          </w:t>
      </w:r>
      <w:r>
        <w:rPr>
          <w:color w:val="000000"/>
          <w:sz w:val="22"/>
        </w:rPr>
        <w:t>项目（项目名称）</w:t>
      </w:r>
      <w:r>
        <w:rPr>
          <w:color w:val="000000"/>
          <w:sz w:val="22"/>
        </w:rPr>
        <w:t>(采购编号</w:t>
      </w:r>
      <w:r>
        <w:rPr>
          <w:u w:val="single"/>
        </w:rPr>
        <w:t xml:space="preserve">          </w:t>
      </w:r>
      <w:r>
        <w:rPr>
          <w:color w:val="000000"/>
          <w:sz w:val="22"/>
        </w:rPr>
        <w:t>)的成交结果，经甲乙双方协商一致，签订本合同，由双方共同恪守如下内容：</w:t>
      </w:r>
    </w:p>
    <w:p>
      <w:r>
        <w:rPr/>
        <w:t xml:space="preserve"> </w:t>
      </w:r>
    </w:p>
    <w:p>
      <w:pPr>
        <w:ind w:firstLine="442"/>
      </w:pPr>
      <w:r>
        <w:rPr>
          <w:b/>
          <w:color w:val="000000"/>
          <w:sz w:val="22"/>
        </w:rPr>
        <w:t>一、合同标的</w:t>
      </w:r>
    </w:p>
    <w:p>
      <w:pPr>
        <w:ind w:firstLine="440"/>
      </w:pPr>
      <w:r>
        <w:rPr>
          <w:color w:val="000000"/>
          <w:sz w:val="22"/>
        </w:rPr>
        <w:t>1.标的物明细</w:t>
      </w:r>
    </w:p>
    <w:p>
      <w:pPr>
        <w:ind w:firstLine="440"/>
      </w:pPr>
      <w:r>
        <w:rPr>
          <w:color w:val="000000"/>
          <w:sz w:val="22"/>
        </w:rPr>
        <w:t>本合同标的为</w:t>
      </w:r>
      <w:r>
        <w:rPr>
          <w:sz w:val="22"/>
          <w:u w:val="single"/>
        </w:rPr>
        <w:t xml:space="preserve">          </w:t>
      </w:r>
      <w:r>
        <w:rPr>
          <w:color w:val="000000"/>
          <w:sz w:val="22"/>
        </w:rPr>
        <w:t>（货物名称），包括设计、货物供货、安装、调试、培训、验收、技术服务、质保期保障等的全部内容，详细内容见下表：</w:t>
      </w:r>
    </w:p>
    <w:p>
      <w:pPr>
        <w:ind w:firstLine="440"/>
      </w:pPr>
      <w:r>
        <w:rPr>
          <w:color w:val="000000"/>
          <w:sz w:val="22"/>
        </w:rPr>
        <w:t>请选择填写方式：</w:t>
      </w:r>
      <w:r>
        <w:rPr>
          <w:sz w:val="22"/>
          <w:u w:val="single"/>
        </w:rPr>
        <w:t xml:space="preserve">          </w:t>
      </w:r>
      <w:r>
        <w:rPr>
          <w:color w:val="000000"/>
          <w:sz w:val="22"/>
        </w:rPr>
        <w:t>(</w:t>
      </w:r>
      <w:r>
        <w:rPr>
          <w:color w:val="000000"/>
          <w:sz w:val="22"/>
        </w:rPr>
        <w:t>1.</w:t>
      </w:r>
      <w:r>
        <w:rPr>
          <w:color w:val="000000"/>
          <w:sz w:val="22"/>
        </w:rPr>
        <w:t>在下方表格中填写；</w:t>
      </w:r>
      <w:r>
        <w:rPr>
          <w:color w:val="000000"/>
          <w:sz w:val="22"/>
        </w:rPr>
        <w:t>2.</w:t>
      </w:r>
      <w:r>
        <w:rPr>
          <w:color w:val="000000"/>
          <w:sz w:val="22"/>
        </w:rPr>
        <w:t>在合同附件</w:t>
      </w:r>
      <w:r>
        <w:rPr>
          <w:color w:val="000000"/>
          <w:sz w:val="22"/>
        </w:rPr>
        <w:t>1里填写）</w:t>
      </w:r>
    </w:p>
    <w:tbl>
      <w:tblPr>
        <w:tblW w:w="0" w:type="auto"/>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vAlign w:val="top"/>
          </w:tcPr>
          <w:p>
            <w:pPr>
              <w:jc w:val="center"/>
            </w:pPr>
            <w:r>
              <w:rPr>
                <w:sz w:val="22"/>
              </w:rPr>
              <w:t>项数</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货物名称</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品牌</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型号</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详细配置清单</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单位</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数量</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单价</w:t>
            </w:r>
          </w:p>
        </w:tc>
        <w:tc>
          <w:tcPr>
            <w:tcW w:type="dxa" w:w="923"/>
            <w:tcBorders>
              <w:top w:val="single" w:color="000000" w:sz="4"/>
              <w:left w:val="single" w:color="000000" w:sz="4"/>
              <w:bottom w:val="single" w:color="000000" w:sz="4"/>
              <w:right w:val="single" w:color="000000" w:sz="4"/>
            </w:tcBorders>
            <w:vAlign w:val="top"/>
          </w:tcPr>
          <w:p>
            <w:pPr>
              <w:jc w:val="center"/>
            </w:pPr>
            <w:r>
              <w:rPr>
                <w:sz w:val="22"/>
              </w:rPr>
              <w:t>总价</w:t>
            </w:r>
          </w:p>
        </w:tc>
      </w:tr>
      <w:tr>
        <w:tc>
          <w:tcPr>
            <w:tcW w:type="dxa" w:w="92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c>
          <w:tcPr>
            <w:tcW w:type="dxa" w:w="923"/>
            <w:tcBorders>
              <w:top w:val="none" w:color="000000" w:sz="4"/>
              <w:left w:val="single" w:color="000000" w:sz="4"/>
              <w:bottom w:val="single" w:color="000000" w:sz="4"/>
              <w:right w:val="single" w:color="000000" w:sz="4"/>
            </w:tcBorders>
            <w:vAlign w:val="top"/>
          </w:tcPr>
          <w:p>
            <w:pPr>
              <w:jc w:val="center"/>
            </w:pP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2"/>
              </w:rPr>
              <w:t>合同总价（人民币）：</w:t>
            </w:r>
            <w:r>
              <w:rPr>
                <w:sz w:val="22"/>
              </w:rPr>
              <w:t xml:space="preserve">  </w:t>
            </w:r>
            <w:r>
              <w:rPr>
                <w:sz w:val="22"/>
              </w:rPr>
              <w:t>佰</w:t>
            </w:r>
            <w:r>
              <w:rPr>
                <w:sz w:val="22"/>
              </w:rPr>
              <w:t xml:space="preserve">  </w:t>
            </w:r>
            <w:r>
              <w:rPr>
                <w:sz w:val="22"/>
              </w:rPr>
              <w:t>拾</w:t>
            </w:r>
            <w:r>
              <w:rPr>
                <w:sz w:val="22"/>
              </w:rPr>
              <w:t xml:space="preserve">  </w:t>
            </w:r>
            <w:r>
              <w:rPr>
                <w:sz w:val="22"/>
              </w:rPr>
              <w:t>万</w:t>
            </w:r>
            <w:r>
              <w:rPr>
                <w:sz w:val="22"/>
              </w:rPr>
              <w:t xml:space="preserve">  </w:t>
            </w:r>
            <w:r>
              <w:rPr>
                <w:sz w:val="22"/>
              </w:rPr>
              <w:t>仟</w:t>
            </w:r>
            <w:r>
              <w:rPr>
                <w:sz w:val="22"/>
              </w:rPr>
              <w:t xml:space="preserve">  </w:t>
            </w:r>
            <w:r>
              <w:rPr>
                <w:sz w:val="22"/>
              </w:rPr>
              <w:t>佰</w:t>
            </w:r>
            <w:r>
              <w:rPr>
                <w:sz w:val="22"/>
              </w:rPr>
              <w:t xml:space="preserve">  </w:t>
            </w:r>
            <w:r>
              <w:rPr>
                <w:sz w:val="22"/>
              </w:rPr>
              <w:t>拾</w:t>
            </w:r>
            <w:r>
              <w:rPr>
                <w:sz w:val="22"/>
              </w:rPr>
              <w:t xml:space="preserve">  </w:t>
            </w:r>
            <w:r>
              <w:rPr>
                <w:sz w:val="22"/>
              </w:rPr>
              <w:t>元</w:t>
            </w:r>
            <w:r>
              <w:rPr>
                <w:sz w:val="22"/>
              </w:rPr>
              <w:t xml:space="preserve">  </w:t>
            </w:r>
            <w:r>
              <w:rPr>
                <w:sz w:val="22"/>
              </w:rPr>
              <w:t>角</w:t>
            </w:r>
            <w:r>
              <w:rPr>
                <w:sz w:val="22"/>
              </w:rPr>
              <w:t xml:space="preserve">  </w:t>
            </w:r>
            <w:r>
              <w:rPr>
                <w:sz w:val="22"/>
              </w:rPr>
              <w:t>分（</w:t>
            </w:r>
            <w:r>
              <w:rPr>
                <w:sz w:val="22"/>
              </w:rPr>
              <w:t xml:space="preserve">  </w:t>
            </w:r>
            <w:r>
              <w:rPr>
                <w:sz w:val="22"/>
              </w:rPr>
              <w:t>）</w:t>
            </w:r>
          </w:p>
        </w:tc>
      </w:tr>
    </w:tbl>
    <w:p>
      <w:pPr>
        <w:ind w:firstLine="440"/>
      </w:pPr>
      <w:r>
        <w:rPr>
          <w:color w:val="000000"/>
          <w:sz w:val="22"/>
        </w:rPr>
        <w:t>2.上述合同总价为乙方按照合同约定完成合同全部义务后所适用的总价格，包括但不限于货物（包括备品备件）的设计、制造、包装、仓储、运输、保险、货物运输保险费、装卸费、安装、调试、试运行、验收、培训、技术服务（包括技术资料、图纸的提供）、质保期保障服务等的全部含税费用。除本合同明确约定的费用外，甲方无需支付任何额外费用和承担任何额外义务。</w:t>
      </w:r>
    </w:p>
    <w:p>
      <w:pPr>
        <w:ind w:firstLine="442"/>
      </w:pPr>
      <w:r>
        <w:rPr>
          <w:b/>
          <w:color w:val="000000"/>
          <w:sz w:val="22"/>
        </w:rPr>
        <w:t>二、货物要求</w:t>
      </w:r>
    </w:p>
    <w:p>
      <w:pPr>
        <w:ind w:firstLine="440"/>
      </w:pPr>
      <w:r>
        <w:rPr>
          <w:color w:val="000000"/>
          <w:sz w:val="22"/>
        </w:rPr>
        <w:t>1.质量要求：乙方提供的货物必须符合（1）中华人民共和国国家标准；（2）行业标准；（3）地方标准；（4）货物生产商的产品质量标准；（5）其他标准：</w:t>
      </w:r>
      <w:r>
        <w:rPr>
          <w:color w:val="000000"/>
          <w:sz w:val="22"/>
          <w:u w:val="single"/>
        </w:rPr>
        <w:t>（如有请补充，否则请填无）</w:t>
      </w:r>
      <w:r>
        <w:rPr>
          <w:color w:val="000000"/>
          <w:sz w:val="22"/>
        </w:rPr>
        <w:t>等质量标准，否则甲方有权作退货处理。</w:t>
      </w:r>
    </w:p>
    <w:p>
      <w:pPr>
        <w:ind w:firstLine="440"/>
      </w:pPr>
      <w:r>
        <w:rPr>
          <w:color w:val="000000"/>
          <w:sz w:val="22"/>
        </w:rPr>
        <w:t>2</w:t>
      </w:r>
      <w:r>
        <w:rPr>
          <w:color w:val="000000"/>
          <w:sz w:val="22"/>
        </w:rPr>
        <w:t>．</w:t>
      </w:r>
      <w:r>
        <w:rPr>
          <w:color w:val="000000"/>
          <w:sz w:val="22"/>
        </w:rPr>
        <w:t>技术要求：乙方承诺提供的货物完全符合招投标文件中作出的承诺，否则甲方有权作退货处理。</w:t>
      </w:r>
    </w:p>
    <w:p>
      <w:pPr>
        <w:ind w:firstLine="440"/>
      </w:pPr>
      <w:r>
        <w:rPr>
          <w:color w:val="000000"/>
          <w:sz w:val="22"/>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w:t>
      </w:r>
      <w:r>
        <w:rPr>
          <w:sz w:val="22"/>
        </w:rPr>
        <w:t>不限于商品损坏、损失、锈蚀、费用增长等），概由乙方负责赔偿。</w:t>
      </w:r>
      <w:r>
        <w:rPr>
          <w:sz w:val="22"/>
        </w:rPr>
        <w:t>所有</w:t>
      </w:r>
      <w:r>
        <w:rPr>
          <w:sz w:val="22"/>
        </w:rPr>
        <w:t>货物</w:t>
      </w:r>
      <w:r>
        <w:rPr>
          <w:sz w:val="22"/>
        </w:rPr>
        <w:t>由</w:t>
      </w:r>
      <w:r>
        <w:rPr>
          <w:sz w:val="22"/>
        </w:rPr>
        <w:t>中标人负责</w:t>
      </w:r>
      <w:r>
        <w:rPr>
          <w:sz w:val="22"/>
        </w:rPr>
        <w:t>运输。</w:t>
      </w:r>
    </w:p>
    <w:p>
      <w:pPr>
        <w:ind w:firstLine="440"/>
      </w:pPr>
      <w:r>
        <w:rPr>
          <w:sz w:val="22"/>
        </w:rPr>
        <w:t>4.乙方应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ind w:firstLine="442"/>
      </w:pPr>
      <w:r>
        <w:rPr>
          <w:b/>
          <w:color w:val="000000"/>
          <w:sz w:val="22"/>
        </w:rPr>
        <w:t>三、货物交付</w:t>
      </w:r>
    </w:p>
    <w:p>
      <w:pPr>
        <w:ind w:firstLine="440"/>
      </w:pPr>
      <w:r>
        <w:rPr>
          <w:color w:val="000000"/>
          <w:sz w:val="22"/>
        </w:rPr>
        <w:t>1.交货地点：甲方指定交付地点。（联系人：</w:t>
      </w:r>
      <w:r>
        <w:rPr>
          <w:sz w:val="22"/>
          <w:u w:val="single"/>
        </w:rPr>
        <w:t xml:space="preserve">          </w:t>
      </w:r>
      <w:r>
        <w:rPr>
          <w:color w:val="000000"/>
          <w:sz w:val="22"/>
        </w:rPr>
        <w:t>电话：</w:t>
      </w:r>
      <w:r>
        <w:rPr>
          <w:sz w:val="22"/>
          <w:u w:val="single"/>
        </w:rPr>
        <w:t xml:space="preserve">          </w:t>
      </w:r>
      <w:r>
        <w:rPr>
          <w:color w:val="000000"/>
          <w:sz w:val="22"/>
        </w:rPr>
        <w:t>）；</w:t>
      </w:r>
    </w:p>
    <w:p>
      <w:pPr>
        <w:ind w:firstLine="440"/>
      </w:pPr>
      <w:r>
        <w:rPr>
          <w:color w:val="000000"/>
          <w:sz w:val="22"/>
        </w:rPr>
        <w:t>2.交货时间：</w:t>
      </w:r>
      <w:r>
        <w:rPr>
          <w:sz w:val="22"/>
          <w:u w:val="single"/>
        </w:rPr>
        <w:t xml:space="preserve">          </w:t>
      </w:r>
      <w:r>
        <w:rPr>
          <w:color w:val="000000"/>
          <w:sz w:val="22"/>
        </w:rPr>
        <w:t>。</w:t>
      </w:r>
    </w:p>
    <w:p>
      <w:pPr>
        <w:ind w:firstLine="442"/>
      </w:pPr>
      <w:r>
        <w:rPr>
          <w:b/>
          <w:color w:val="000000"/>
          <w:sz w:val="22"/>
        </w:rPr>
        <w:t>四、货物安装及验收</w:t>
      </w:r>
    </w:p>
    <w:p>
      <w:pPr>
        <w:ind w:firstLine="440"/>
      </w:pPr>
      <w:r>
        <w:rPr>
          <w:sz w:val="22"/>
        </w:rPr>
        <w:t>1.乙方负责合同项下货物的安装、调试，一切费用由乙方负责。如果合同货物运输和调试过程中因事故造成货物短缺、损坏，乙方应及时安排换装，以保证合同货物调试的成功完成。换货的相关费用由乙方承担。</w:t>
      </w:r>
    </w:p>
    <w:p>
      <w:pPr>
        <w:ind w:firstLine="440"/>
      </w:pPr>
      <w:r>
        <w:rPr>
          <w:sz w:val="22"/>
        </w:rPr>
        <w:t>2.货物到达甲方指定地点后，乙方应派有资质的技术人员到甲方指定地完成调试工作。</w:t>
      </w:r>
    </w:p>
    <w:p>
      <w:pPr>
        <w:ind w:firstLine="440"/>
      </w:pPr>
      <w:r>
        <w:rPr>
          <w:sz w:val="22"/>
        </w:rPr>
        <w:t>3.货物调试过程中，乙方技术人员应负责对甲方人员进行维护保养及相关培训。</w:t>
      </w:r>
    </w:p>
    <w:p>
      <w:pPr>
        <w:ind w:firstLine="440"/>
      </w:pPr>
      <w:r>
        <w:rPr>
          <w:sz w:val="22"/>
        </w:rPr>
        <w:t>4.乙方技术人员在甲方现场进行调试期间所产生的费用由乙方负责；如因乙方责任造成的延期，所有因调试延期而产生的费用由乙方负责。</w:t>
      </w:r>
    </w:p>
    <w:p>
      <w:pPr>
        <w:ind w:firstLine="440"/>
      </w:pPr>
      <w:r>
        <w:rPr>
          <w:sz w:val="22"/>
        </w:rPr>
        <w:t>5.乙方须将货物安装并调试至正常运行的最佳状态。</w:t>
      </w:r>
    </w:p>
    <w:p>
      <w:pPr>
        <w:ind w:firstLine="440"/>
      </w:pPr>
      <w:r>
        <w:rPr>
          <w:sz w:val="22"/>
        </w:rPr>
        <w:t>6.乙方进行调试时须对各调试场地内的其他货物、设施有良好保护措施。</w:t>
      </w:r>
    </w:p>
    <w:p>
      <w:pPr>
        <w:ind w:firstLine="440"/>
      </w:pPr>
      <w:r>
        <w:rPr>
          <w:color w:val="000000"/>
          <w:sz w:val="22"/>
        </w:rPr>
        <w:t>7.验收：</w:t>
      </w:r>
    </w:p>
    <w:p>
      <w:pPr>
        <w:ind w:firstLine="440"/>
      </w:pPr>
      <w:r>
        <w:rPr>
          <w:sz w:val="22"/>
        </w:rPr>
        <w:t>（</w:t>
      </w:r>
      <w:r>
        <w:rPr>
          <w:sz w:val="22"/>
        </w:rPr>
        <w:t>1）乙方对合同货物安装、调试和培训完成后，认为达到使用要求的，应向甲方提出书面验收申请，甲方无异议的，由甲方安排组织验收，验收应在甲乙双方共同参加下进行。</w:t>
      </w:r>
    </w:p>
    <w:p>
      <w:pPr>
        <w:ind w:firstLine="440"/>
      </w:pPr>
      <w:r>
        <w:rPr>
          <w:sz w:val="22"/>
        </w:rPr>
        <w:t>（</w:t>
      </w:r>
      <w:r>
        <w:rPr>
          <w:sz w:val="22"/>
        </w:rPr>
        <w:t>2）货物的验收按合同规定的技术要求和国家有关的规定、规范进行，质量需符合国家对相关产品的质量标准。</w:t>
      </w:r>
    </w:p>
    <w:p>
      <w:pPr>
        <w:ind w:firstLine="440"/>
      </w:pPr>
      <w:r>
        <w:rPr>
          <w:sz w:val="22"/>
        </w:rPr>
        <w:t>（</w:t>
      </w:r>
      <w:r>
        <w:rPr>
          <w:sz w:val="22"/>
        </w:rPr>
        <w:t>3）乙方应负责在项目验收时将系统的全部有关产品说明书、原厂家安装手册、技术文件、资料、及安装、验收报告等文档汇集成册交付设备使用单位。</w:t>
      </w:r>
    </w:p>
    <w:p>
      <w:pPr>
        <w:ind w:firstLine="440"/>
      </w:pPr>
      <w:r>
        <w:rPr>
          <w:sz w:val="22"/>
        </w:rPr>
        <w:t>（</w:t>
      </w:r>
      <w:r>
        <w:rPr>
          <w:sz w:val="22"/>
        </w:rPr>
        <w:t>4）验收时如发现所交付的货物有短装、次品、损坏或其它不符合本合同规定之情形者，甲方应作出详尽的现场记录，并交由乙方签字确认，或由甲乙双方签署备忘录。此现场记录或备忘录可用作补充、缺失和更换损坏部件的有效证据。由此产生的有关费用由乙方承担。</w:t>
      </w:r>
    </w:p>
    <w:p>
      <w:pPr>
        <w:ind w:firstLine="440"/>
      </w:pPr>
      <w:r>
        <w:rPr>
          <w:sz w:val="22"/>
        </w:rPr>
        <w:t>（</w:t>
      </w:r>
      <w:r>
        <w:rPr>
          <w:sz w:val="22"/>
        </w:rPr>
        <w:t>5）提供内容完整、详细、表述清晰、科学合理、切实可行技术培训方案，培训后方可验收。</w:t>
      </w:r>
    </w:p>
    <w:p>
      <w:pPr>
        <w:ind w:firstLine="442"/>
      </w:pPr>
      <w:r>
        <w:rPr>
          <w:b/>
          <w:color w:val="000000"/>
          <w:sz w:val="22"/>
        </w:rPr>
        <w:t>五、付款方式</w:t>
      </w:r>
    </w:p>
    <w:p>
      <w:pPr>
        <w:ind w:firstLine="440"/>
      </w:pPr>
      <w:r>
        <w:rPr>
          <w:sz w:val="22"/>
        </w:rPr>
        <w:t>1.第一期：签订合同且甲方收到乙方开具的等额增值税专用发票后15日内，甲方向乙方支付合同总金额的30%。</w:t>
      </w:r>
    </w:p>
    <w:p>
      <w:pPr>
        <w:ind w:firstLine="440"/>
      </w:pPr>
      <w:r>
        <w:rPr>
          <w:sz w:val="22"/>
        </w:rPr>
        <w:t>2.</w:t>
      </w:r>
      <w:r>
        <w:rPr>
          <w:sz w:val="22"/>
        </w:rPr>
        <w:t>第二期：货到交货地点、验收合格且</w:t>
      </w:r>
      <w:r>
        <w:rPr>
          <w:sz w:val="22"/>
        </w:rPr>
        <w:t>甲方收到乙方</w:t>
      </w:r>
      <w:r>
        <w:rPr>
          <w:sz w:val="22"/>
        </w:rPr>
        <w:t>开具的等额增值税专用发票后</w:t>
      </w:r>
      <w:r>
        <w:rPr>
          <w:sz w:val="22"/>
        </w:rPr>
        <w:t>15日内，</w:t>
      </w:r>
      <w:r>
        <w:rPr>
          <w:sz w:val="22"/>
        </w:rPr>
        <w:t>甲方向乙方</w:t>
      </w:r>
      <w:r>
        <w:rPr>
          <w:sz w:val="22"/>
        </w:rPr>
        <w:t>支付合同总金额的</w:t>
      </w:r>
      <w:r>
        <w:rPr>
          <w:sz w:val="22"/>
        </w:rPr>
        <w:t>70%。</w:t>
      </w:r>
    </w:p>
    <w:p>
      <w:pPr>
        <w:ind w:firstLine="440"/>
      </w:pPr>
      <w:r>
        <w:rPr>
          <w:sz w:val="22"/>
        </w:rPr>
        <w:t>3.履约保证金：</w:t>
      </w:r>
    </w:p>
    <w:p>
      <w:pPr>
        <w:ind w:firstLine="440"/>
      </w:pPr>
      <w:r>
        <w:rPr>
          <w:sz w:val="22"/>
        </w:rPr>
        <w:t>（</w:t>
      </w:r>
      <w:r>
        <w:rPr>
          <w:sz w:val="22"/>
        </w:rPr>
        <w:t>1）乙方在合同签订后</w:t>
      </w:r>
      <w:r>
        <w:rPr>
          <w:sz w:val="22"/>
          <w:u w:val="single"/>
        </w:rPr>
        <w:t xml:space="preserve">   </w:t>
      </w:r>
      <w:r>
        <w:rPr>
          <w:sz w:val="22"/>
        </w:rPr>
        <w:t>日内，以支票、汇票、本票、保函或转账方式向甲方提交合同总额的</w:t>
      </w:r>
      <w:r>
        <w:rPr>
          <w:sz w:val="22"/>
        </w:rPr>
        <w:t>5%作为履约保证金。</w:t>
      </w:r>
    </w:p>
    <w:p>
      <w:pPr>
        <w:ind w:firstLine="440"/>
      </w:pPr>
      <w:r>
        <w:rPr>
          <w:sz w:val="22"/>
        </w:rPr>
        <w:t>（</w:t>
      </w:r>
      <w:r>
        <w:rPr>
          <w:sz w:val="22"/>
        </w:rPr>
        <w:t>2）自验收合格后2个月内，乙方凭履约保证金收据向甲方申请退还履约保证金，甲方在收到乙方申请单据之日起15日内将履约保证金无息退还给乙方。</w:t>
      </w:r>
    </w:p>
    <w:p>
      <w:r>
        <w:rPr>
          <w:sz w:val="22"/>
        </w:rPr>
        <w:t>（</w:t>
      </w:r>
      <w:r>
        <w:rPr>
          <w:sz w:val="22"/>
        </w:rPr>
        <w:t>3）不予退还的情形：</w:t>
      </w:r>
    </w:p>
    <w:p>
      <w:pPr>
        <w:ind w:firstLine="440"/>
      </w:pPr>
      <w:r>
        <w:rPr>
          <w:sz w:val="22"/>
        </w:rPr>
        <w:t>a、质量保证期内如设备发生非人为故障，乙方须提供上门检修、更换零件（费用包含在合同总价中），设备经维修后一个月内出现相同故障，乙方须将整机更换为同一档次设备，否则不予退还履约保证金；</w:t>
      </w:r>
    </w:p>
    <w:p>
      <w:pPr>
        <w:ind w:firstLine="440"/>
      </w:pPr>
      <w:r>
        <w:rPr>
          <w:sz w:val="22"/>
        </w:rPr>
        <w:t>b、未经甲方同意，乙方将本项目进行分包或转包给他人；</w:t>
      </w:r>
    </w:p>
    <w:p>
      <w:pPr>
        <w:ind w:firstLine="440"/>
      </w:pPr>
      <w:r>
        <w:rPr>
          <w:sz w:val="22"/>
        </w:rPr>
        <w:t>c、在履行合同期间，乙方提前终止本项目合同；</w:t>
      </w:r>
    </w:p>
    <w:p>
      <w:pPr>
        <w:ind w:firstLine="440"/>
      </w:pPr>
      <w:r>
        <w:rPr>
          <w:sz w:val="22"/>
        </w:rPr>
        <w:t>d、在履行合同期间，乙方因在经营活动中存在违法被吊销营业执照或相关许可，导致本项目合同无法继续履行的。</w:t>
      </w:r>
    </w:p>
    <w:p>
      <w:pPr>
        <w:ind w:firstLine="442"/>
      </w:pPr>
      <w:r>
        <w:rPr>
          <w:b/>
          <w:color w:val="000000"/>
          <w:sz w:val="22"/>
        </w:rPr>
        <w:t>六、质保期保障服务</w:t>
      </w:r>
    </w:p>
    <w:p>
      <w:pPr>
        <w:ind w:firstLine="440"/>
      </w:pPr>
      <w:r>
        <w:rPr>
          <w:color w:val="000000"/>
          <w:sz w:val="22"/>
        </w:rPr>
        <w:t>1.除特别说明的设备外，所有产品均需提供</w:t>
      </w:r>
      <w:r>
        <w:rPr>
          <w:sz w:val="22"/>
          <w:u w:val="single"/>
        </w:rPr>
        <w:t xml:space="preserve">   </w:t>
      </w:r>
      <w:r>
        <w:rPr>
          <w:color w:val="000000"/>
          <w:sz w:val="22"/>
        </w:rPr>
        <w:t>年质量保证期和原厂上门保修服务（费用包含在合同总价中）。</w:t>
      </w:r>
    </w:p>
    <w:p>
      <w:pPr>
        <w:ind w:firstLine="440"/>
      </w:pPr>
      <w:r>
        <w:rPr>
          <w:color w:val="000000"/>
          <w:sz w:val="22"/>
        </w:rPr>
        <w:t>2.质量保证期内，所有硬件设备及其配件的维修均包含在合同总价中。</w:t>
      </w:r>
    </w:p>
    <w:p>
      <w:pPr>
        <w:ind w:firstLine="440"/>
      </w:pPr>
      <w:r>
        <w:rPr>
          <w:color w:val="000000"/>
          <w:sz w:val="22"/>
        </w:rPr>
        <w:t>3.服务响应时间：乙方须在接到甲方的维修需求后</w:t>
      </w:r>
      <w:r>
        <w:rPr>
          <w:sz w:val="22"/>
          <w:u w:val="single"/>
        </w:rPr>
        <w:t xml:space="preserve">   </w:t>
      </w:r>
      <w:r>
        <w:rPr>
          <w:color w:val="000000"/>
          <w:sz w:val="22"/>
        </w:rPr>
        <w:t>分钟内响应，</w:t>
      </w:r>
      <w:r>
        <w:rPr>
          <w:sz w:val="22"/>
          <w:u w:val="single"/>
        </w:rPr>
        <w:t xml:space="preserve">   </w:t>
      </w:r>
      <w:r>
        <w:rPr>
          <w:color w:val="000000"/>
          <w:sz w:val="22"/>
        </w:rPr>
        <w:t>个小时内到达用户使用现场，</w:t>
      </w:r>
      <w:r>
        <w:rPr>
          <w:sz w:val="22"/>
          <w:u w:val="single"/>
        </w:rPr>
        <w:t xml:space="preserve">   </w:t>
      </w:r>
      <w:r>
        <w:rPr>
          <w:color w:val="000000"/>
          <w:sz w:val="22"/>
        </w:rPr>
        <w:t>小时内无法修复的提供不低于同档次的备用机供用户使用。</w:t>
      </w:r>
      <w:r>
        <w:rPr>
          <w:sz w:val="22"/>
        </w:rPr>
        <w:t>货物的</w:t>
      </w:r>
      <w:r>
        <w:rPr>
          <w:color w:val="000000"/>
          <w:sz w:val="22"/>
        </w:rPr>
        <w:t>质量保证期</w:t>
      </w:r>
      <w:r>
        <w:rPr>
          <w:sz w:val="22"/>
        </w:rPr>
        <w:t>随着检修期的出现而延长，以检修期相应计算延长</w:t>
      </w:r>
      <w:r>
        <w:rPr>
          <w:color w:val="000000"/>
          <w:sz w:val="22"/>
        </w:rPr>
        <w:t>质量保证期</w:t>
      </w:r>
      <w:r>
        <w:rPr>
          <w:sz w:val="22"/>
        </w:rPr>
        <w:t>。</w:t>
      </w:r>
    </w:p>
    <w:p>
      <w:pPr>
        <w:ind w:firstLine="440"/>
      </w:pPr>
      <w:r>
        <w:rPr>
          <w:color w:val="000000"/>
          <w:sz w:val="22"/>
        </w:rPr>
        <w:t>4.质量保证期内，乙方对所有设备提供7*24小时上门维护服务。</w:t>
      </w:r>
    </w:p>
    <w:p>
      <w:pPr>
        <w:ind w:firstLine="440"/>
      </w:pPr>
      <w:r>
        <w:rPr>
          <w:sz w:val="22"/>
        </w:rPr>
        <w:t>5.</w:t>
      </w:r>
      <w:r>
        <w:rPr>
          <w:color w:val="000000"/>
          <w:sz w:val="22"/>
        </w:rPr>
        <w:t>质量保证期</w:t>
      </w:r>
      <w:r>
        <w:rPr>
          <w:sz w:val="22"/>
        </w:rPr>
        <w:t>满后，若有零部件出现故障，经权威部门鉴定属于寿命异常问题（明显短于该零部件正常寿命）时，则由乙方负责更换及维修（费用已含在合同总价中）。</w:t>
      </w:r>
    </w:p>
    <w:p>
      <w:pPr>
        <w:ind w:firstLine="440"/>
      </w:pPr>
      <w:r>
        <w:rPr>
          <w:sz w:val="22"/>
        </w:rPr>
        <w:t>6.其他条款</w:t>
      </w:r>
      <w:r>
        <w:rPr>
          <w:sz w:val="22"/>
        </w:rPr>
        <w:t>以乙方投标文件为准。</w:t>
      </w:r>
    </w:p>
    <w:p>
      <w:pPr>
        <w:ind w:firstLine="442"/>
      </w:pPr>
      <w:r>
        <w:rPr>
          <w:b/>
          <w:color w:val="000000"/>
          <w:sz w:val="22"/>
        </w:rPr>
        <w:t>七、培训</w:t>
      </w:r>
    </w:p>
    <w:p>
      <w:pPr>
        <w:ind w:firstLine="440"/>
      </w:pPr>
      <w:r>
        <w:rPr>
          <w:color w:val="000000"/>
          <w:sz w:val="22"/>
        </w:rPr>
        <w:t>乙方负责提供合同标的的培训方案及必需的培训资料，并对受训人员进行培训，直至能熟练操作为止。培训内容包括设备原理、设备结构、设备操作以及设备简单故障排除等方面。</w:t>
      </w:r>
    </w:p>
    <w:p>
      <w:pPr>
        <w:ind w:firstLine="442"/>
      </w:pPr>
      <w:r>
        <w:rPr>
          <w:b/>
          <w:color w:val="000000"/>
          <w:sz w:val="22"/>
        </w:rPr>
        <w:t>八、知识产权、风险转移</w:t>
      </w:r>
    </w:p>
    <w:p>
      <w:pPr>
        <w:ind w:firstLine="440"/>
      </w:pPr>
      <w:r>
        <w:rPr>
          <w:color w:val="000000"/>
          <w:sz w:val="22"/>
        </w:rPr>
        <w:t>1.乙方保证，甲方在中华人民共和国使用该货物或货物的任何一部分时，如受第三方提出的侵犯其知识产权、肖像权、技术秘密、商业秘密或其他任何权益的起诉，由乙方承担一切责任。</w:t>
      </w:r>
    </w:p>
    <w:p>
      <w:pPr>
        <w:ind w:firstLine="440"/>
      </w:pPr>
      <w:r>
        <w:rPr>
          <w:color w:val="000000"/>
          <w:sz w:val="22"/>
        </w:rPr>
        <w:t>2.乙方为执行本合同而提供的技术资料、软件的使用权归甲方所有。</w:t>
      </w:r>
    </w:p>
    <w:p>
      <w:pPr>
        <w:ind w:firstLine="440"/>
      </w:pPr>
      <w:r>
        <w:rPr>
          <w:color w:val="000000"/>
          <w:sz w:val="22"/>
        </w:rPr>
        <w:t>3.乙方交由承运人运输的在途货物，毁损、灭失的风险由乙方承担。货物的产权，损坏、灭失的风险，在货物通过甲方验收合格交付使用时起，由乙方转移至甲方。</w:t>
      </w:r>
    </w:p>
    <w:p>
      <w:pPr>
        <w:ind w:firstLine="440"/>
      </w:pPr>
      <w:r>
        <w:rPr>
          <w:color w:val="000000"/>
          <w:sz w:val="22"/>
        </w:rPr>
        <w:t>4.因货物验收不合格甲方拒收，或者双方解除合同的，合同标的物毁损、丢失的风险由乙方承担。</w:t>
      </w:r>
    </w:p>
    <w:p>
      <w:pPr>
        <w:ind w:firstLine="440"/>
      </w:pPr>
      <w:r>
        <w:rPr>
          <w:color w:val="000000"/>
          <w:sz w:val="22"/>
        </w:rPr>
        <w:t>5.产权和风险的转移，不影响因乙方履行合同义务不符合约定，甲方要求其承担违约责任的权利。</w:t>
      </w:r>
    </w:p>
    <w:p>
      <w:pPr>
        <w:ind w:firstLine="442"/>
      </w:pPr>
      <w:r>
        <w:rPr>
          <w:b/>
          <w:color w:val="000000"/>
          <w:sz w:val="22"/>
        </w:rPr>
        <w:t>九、保密责任</w:t>
      </w:r>
    </w:p>
    <w:p>
      <w:pPr>
        <w:ind w:firstLine="440"/>
      </w:pPr>
      <w:r>
        <w:rPr>
          <w:color w:val="000000"/>
          <w:sz w:val="22"/>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ind w:firstLine="442"/>
      </w:pPr>
      <w:r>
        <w:rPr>
          <w:b/>
          <w:color w:val="000000"/>
          <w:sz w:val="22"/>
        </w:rPr>
        <w:t>十、违约责任</w:t>
      </w:r>
    </w:p>
    <w:p>
      <w:pPr>
        <w:ind w:firstLine="440"/>
      </w:pPr>
      <w:r>
        <w:rPr>
          <w:color w:val="000000"/>
          <w:sz w:val="22"/>
        </w:rPr>
        <w:t>1.乙方交付的货物不符合合同规定的，甲方有权拒收并解除合同，乙方需向甲方支付合同总价</w:t>
      </w:r>
      <w:r>
        <w:rPr>
          <w:color w:val="000000"/>
          <w:sz w:val="22"/>
        </w:rPr>
        <w:t>10%的违约金。如甲方同意更换的，乙方应于</w:t>
      </w:r>
      <w:r>
        <w:rPr>
          <w:color w:val="000000"/>
          <w:sz w:val="22"/>
        </w:rPr>
        <w:t>5天内重新提供符合合同约定的货物，乙方未能按期调换的，按逾期交付货物处理，逾期时点自最初约定的交付日期起计。</w:t>
      </w:r>
    </w:p>
    <w:p>
      <w:pPr>
        <w:ind w:firstLine="440"/>
      </w:pPr>
      <w:r>
        <w:rPr>
          <w:color w:val="000000"/>
          <w:sz w:val="22"/>
        </w:rPr>
        <w:t>2</w:t>
      </w:r>
      <w:r>
        <w:rPr>
          <w:color w:val="000000"/>
          <w:sz w:val="22"/>
        </w:rPr>
        <w:t>.乙方逾期交付货物的，每逾期一天，按合同总价的</w:t>
      </w:r>
      <w:r>
        <w:rPr>
          <w:color w:val="000000"/>
          <w:sz w:val="22"/>
        </w:rPr>
        <w:t>0.8</w:t>
      </w:r>
      <w:r>
        <w:rPr>
          <w:color w:val="000000"/>
          <w:sz w:val="22"/>
        </w:rPr>
        <w:t>‰向甲方支付违约金，甲方有权直接从应付给乙方的合同款项中扣除该违约金，且甲方有权要求乙方继续向甲方交付直至符合要求。误期超过</w:t>
      </w:r>
      <w:r>
        <w:rPr>
          <w:color w:val="000000"/>
          <w:sz w:val="22"/>
        </w:rPr>
        <w:t>15</w:t>
      </w:r>
      <w:r>
        <w:rPr>
          <w:color w:val="000000"/>
          <w:sz w:val="22"/>
        </w:rPr>
        <w:t>天，甲方有权解除合同，乙方需退还甲方已支付的所有款项，并按合同总价的</w:t>
      </w:r>
      <w:r>
        <w:rPr>
          <w:color w:val="000000"/>
          <w:sz w:val="22"/>
        </w:rPr>
        <w:t>10%向甲方支付违约金，违约金不足以弥补甲方损失的，乙方应另行赔偿。</w:t>
      </w:r>
    </w:p>
    <w:p>
      <w:pPr>
        <w:ind w:firstLine="440"/>
      </w:pPr>
      <w:r>
        <w:rPr>
          <w:color w:val="000000"/>
          <w:sz w:val="22"/>
        </w:rPr>
        <w:t>3</w:t>
      </w:r>
      <w:r>
        <w:rPr>
          <w:color w:val="000000"/>
          <w:sz w:val="22"/>
        </w:rPr>
        <w:t>.若乙方未按本合同的约定提供质保期保障服务，甲方有权自行委托第三方提供甲方所需要的技术支持和售后服务，由此造成的包括但不限于第三方维保费用、甲方其他经济损失等均由乙方承担赔偿。</w:t>
      </w:r>
    </w:p>
    <w:p>
      <w:pPr>
        <w:ind w:firstLine="440"/>
      </w:pPr>
      <w:r>
        <w:rPr>
          <w:color w:val="000000"/>
          <w:sz w:val="22"/>
        </w:rPr>
        <w:t>4.乙方有以下情形之一的，甲方有权解除合同，乙方需退还甲方已支付的所有款项，并按合同总价的10%向甲方支付违约金，违约金不足以弥补甲方损失的，乙方应另行赔偿，具体情形如下：</w:t>
      </w:r>
    </w:p>
    <w:p>
      <w:pPr>
        <w:ind w:firstLine="440"/>
      </w:pPr>
      <w:r>
        <w:rPr>
          <w:color w:val="000000"/>
          <w:sz w:val="22"/>
        </w:rPr>
        <w:t>（</w:t>
      </w:r>
      <w:r>
        <w:rPr>
          <w:color w:val="000000"/>
          <w:sz w:val="22"/>
        </w:rPr>
        <w:t>1）乙方交付的货物存在侵犯他人知识产权、肖像权、技术秘密、商业秘密或其他任何权益的；</w:t>
      </w:r>
    </w:p>
    <w:p>
      <w:pPr>
        <w:ind w:firstLine="440"/>
      </w:pPr>
      <w:r>
        <w:rPr>
          <w:color w:val="000000"/>
          <w:sz w:val="22"/>
        </w:rPr>
        <w:t>（</w:t>
      </w:r>
      <w:r>
        <w:rPr>
          <w:color w:val="000000"/>
          <w:sz w:val="22"/>
        </w:rPr>
        <w:t>2）乙方履行义务不符合约定，经甲方提出后在合理期限内仍未改正的；</w:t>
      </w:r>
    </w:p>
    <w:p>
      <w:pPr>
        <w:ind w:firstLine="440"/>
      </w:pPr>
      <w:r>
        <w:rPr>
          <w:color w:val="000000"/>
          <w:sz w:val="22"/>
        </w:rPr>
        <w:t>（</w:t>
      </w:r>
      <w:r>
        <w:rPr>
          <w:color w:val="000000"/>
          <w:sz w:val="22"/>
        </w:rPr>
        <w:t>3）未经甲方书面同意，乙方将本合同项下的权利或义务转让，或将本合同项下服务转包或分包的；</w:t>
      </w:r>
    </w:p>
    <w:p>
      <w:pPr>
        <w:ind w:firstLine="440"/>
      </w:pPr>
      <w:r>
        <w:rPr>
          <w:color w:val="000000"/>
          <w:sz w:val="22"/>
        </w:rPr>
        <w:t>（</w:t>
      </w:r>
      <w:r>
        <w:rPr>
          <w:color w:val="000000"/>
          <w:sz w:val="22"/>
        </w:rPr>
        <w:t>4）乙方无正当理由逾期交货超过15日的；</w:t>
      </w:r>
    </w:p>
    <w:p>
      <w:pPr>
        <w:ind w:firstLine="440"/>
      </w:pPr>
      <w:r>
        <w:rPr>
          <w:color w:val="000000"/>
          <w:sz w:val="22"/>
        </w:rPr>
        <w:t>（</w:t>
      </w:r>
      <w:r>
        <w:rPr>
          <w:color w:val="000000"/>
          <w:sz w:val="22"/>
        </w:rPr>
        <w:t>5）国家法律规定的其他合同解除情形。</w:t>
      </w:r>
    </w:p>
    <w:p>
      <w:pPr>
        <w:ind w:firstLine="440"/>
      </w:pPr>
      <w:r>
        <w:rPr>
          <w:color w:val="000000"/>
          <w:sz w:val="22"/>
        </w:rPr>
        <w:t>5.甲方逾期支付货款，经乙方催告后无正当理由仍不支付的，自催告后每逾期一日，应按逾期付款金额每日0.8‰向乙方支付违约金。</w:t>
      </w:r>
    </w:p>
    <w:p>
      <w:pPr>
        <w:ind w:firstLine="440"/>
      </w:pPr>
      <w:r>
        <w:rPr>
          <w:color w:val="000000"/>
          <w:sz w:val="22"/>
        </w:rPr>
        <w:t>6.本合同所称之损失，包括守约方的直接经济损失和合同履行后可以获得的利益及合理的调查费、评估费、公证费、诉讼费、交通费、律师费等相关法律费用。</w:t>
      </w:r>
    </w:p>
    <w:p>
      <w:pPr>
        <w:ind w:firstLine="442"/>
      </w:pPr>
      <w:r>
        <w:rPr>
          <w:b/>
          <w:color w:val="000000"/>
          <w:sz w:val="22"/>
        </w:rPr>
        <w:t>十一、不可抗力</w:t>
      </w:r>
    </w:p>
    <w:p>
      <w:pPr>
        <w:ind w:firstLine="440"/>
      </w:pPr>
      <w:r>
        <w:rPr>
          <w:color w:val="000000"/>
          <w:sz w:val="22"/>
        </w:rPr>
        <w:t>一方由于</w:t>
      </w:r>
      <w:r>
        <w:rPr>
          <w:color w:val="000000"/>
          <w:sz w:val="22"/>
        </w:rPr>
        <w:t>不能预见、不能避免并不能克服的客观情况（也即法定不可抗力事由），且该情况是在合同生效后发生的，</w:t>
      </w:r>
      <w:r>
        <w:rPr>
          <w:color w:val="000000"/>
          <w:sz w:val="22"/>
        </w:rPr>
        <w:t>导致不能或暂时不能全部或部分履行本合同，该方可以免责。但是，受不可抗力事件影响的一方须尽快将事件发生状况通知另一方，并在不可抗力事件影响消除之日起</w:t>
      </w:r>
      <w:r>
        <w:rPr>
          <w:color w:val="000000"/>
          <w:sz w:val="22"/>
        </w:rPr>
        <w:t>10</w:t>
      </w:r>
      <w:r>
        <w:rPr>
          <w:color w:val="000000"/>
          <w:sz w:val="22"/>
        </w:rPr>
        <w:t>日内将有关机构出具的不可抗力事件证明寄交对方。逾期未提供以上证明的，不能免除违约责任。</w:t>
      </w:r>
    </w:p>
    <w:p>
      <w:pPr>
        <w:ind w:firstLine="442"/>
      </w:pPr>
      <w:r>
        <w:rPr>
          <w:b/>
          <w:color w:val="000000"/>
          <w:sz w:val="22"/>
        </w:rPr>
        <w:t>十二、法律适用与争议解决</w:t>
      </w:r>
    </w:p>
    <w:p>
      <w:pPr>
        <w:ind w:firstLine="440"/>
      </w:pPr>
      <w:r>
        <w:rPr>
          <w:color w:val="000000"/>
          <w:sz w:val="22"/>
        </w:rPr>
        <w:t>1</w:t>
      </w:r>
      <w:r>
        <w:rPr>
          <w:color w:val="000000"/>
          <w:sz w:val="22"/>
        </w:rPr>
        <w:t>.本合同的成立、有效性、解释、履行、签署、修订和终止以及争议的解决等均应适用中华人民共和国法律。</w:t>
      </w:r>
    </w:p>
    <w:p>
      <w:pPr>
        <w:ind w:firstLine="440"/>
      </w:pPr>
      <w:r>
        <w:rPr>
          <w:color w:val="000000"/>
          <w:sz w:val="22"/>
        </w:rPr>
        <w:t>2</w:t>
      </w:r>
      <w:r>
        <w:rPr>
          <w:color w:val="000000"/>
          <w:sz w:val="22"/>
        </w:rPr>
        <w:t>.</w:t>
      </w:r>
      <w:r>
        <w:rPr>
          <w:color w:val="000000"/>
          <w:sz w:val="22"/>
        </w:rPr>
        <w:t>甲乙双方在履行本合同时发生的争议</w:t>
      </w:r>
      <w:r>
        <w:rPr>
          <w:color w:val="000000"/>
          <w:sz w:val="22"/>
        </w:rPr>
        <w:t>，都应首先由双方通过友好协商解决。双方通过协商仍不能解决争议，双方一致同意向甲方所在地（即广州市天河区）人民法院提起诉讼。</w:t>
      </w:r>
    </w:p>
    <w:p>
      <w:pPr>
        <w:ind w:firstLine="442"/>
      </w:pPr>
      <w:r>
        <w:rPr>
          <w:b/>
          <w:color w:val="000000"/>
          <w:sz w:val="22"/>
        </w:rPr>
        <w:t>十三、通知与送达</w:t>
      </w:r>
    </w:p>
    <w:p>
      <w:pPr>
        <w:ind w:firstLine="440"/>
      </w:pPr>
      <w:r>
        <w:rPr>
          <w:color w:val="000000"/>
          <w:sz w:val="22"/>
        </w:rPr>
        <w:t>一方在本合同履行过程中向对方发出或者提供的所有通知、文件、文书、资料等，均以本合同所列明的地址送达。一方如果迁址、变更电话，应当在变更之日起</w:t>
      </w:r>
      <w:r>
        <w:rPr>
          <w:color w:val="000000"/>
          <w:sz w:val="22"/>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ind w:firstLine="442"/>
      </w:pPr>
      <w:r>
        <w:rPr>
          <w:b/>
          <w:color w:val="000000"/>
          <w:sz w:val="22"/>
        </w:rPr>
        <w:t>十四、其他约定</w:t>
      </w:r>
    </w:p>
    <w:p>
      <w:pPr>
        <w:ind w:firstLine="440"/>
      </w:pPr>
      <w:r>
        <w:rPr>
          <w:color w:val="000000"/>
          <w:sz w:val="22"/>
        </w:rPr>
        <w:t>1.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ind w:firstLine="440"/>
      </w:pPr>
      <w:r>
        <w:rPr>
          <w:color w:val="000000"/>
          <w:sz w:val="22"/>
        </w:rPr>
        <w:t>2.</w:t>
      </w:r>
      <w:r>
        <w:rPr>
          <w:color w:val="000000"/>
          <w:sz w:val="22"/>
        </w:rPr>
        <w:t>组成本合同的材料包括</w:t>
      </w:r>
      <w:r>
        <w:rPr>
          <w:sz w:val="22"/>
          <w:u w:val="single"/>
        </w:rPr>
        <w:t xml:space="preserve">         </w:t>
      </w:r>
      <w:r>
        <w:rPr>
          <w:color w:val="000000"/>
          <w:sz w:val="22"/>
        </w:rPr>
        <w:t>采购项目</w:t>
      </w:r>
      <w:r>
        <w:rPr>
          <w:color w:val="000000"/>
          <w:sz w:val="22"/>
        </w:rPr>
        <w:t>(</w:t>
      </w:r>
      <w:r>
        <w:rPr>
          <w:color w:val="000000"/>
          <w:sz w:val="22"/>
        </w:rPr>
        <w:t>采购编号</w:t>
      </w:r>
      <w:r>
        <w:rPr>
          <w:color w:val="000000"/>
          <w:sz w:val="22"/>
        </w:rPr>
        <w:t>：</w:t>
      </w:r>
      <w:r>
        <w:rPr>
          <w:sz w:val="22"/>
          <w:u w:val="single"/>
        </w:rPr>
        <w:t xml:space="preserve">         </w:t>
      </w:r>
      <w:r>
        <w:rPr>
          <w:color w:val="000000"/>
          <w:sz w:val="22"/>
        </w:rPr>
        <w:t>）的招标文件、乙方投标文件、承诺以及本项目经双方确认的相关材料</w:t>
      </w:r>
      <w:r>
        <w:rPr>
          <w:color w:val="000000"/>
          <w:sz w:val="22"/>
        </w:rPr>
        <w:t>，合同附件为本合同不可分割的部分。若附件与合同正文有任何不一致，以合同正文为准。</w:t>
      </w:r>
    </w:p>
    <w:p>
      <w:pPr>
        <w:ind w:firstLine="440"/>
      </w:pPr>
      <w:r>
        <w:rPr>
          <w:color w:val="000000"/>
          <w:sz w:val="22"/>
        </w:rPr>
        <w:t>3.本合同经甲乙双方签字盖章后正式生效。一式</w:t>
      </w:r>
      <w:r>
        <w:rPr>
          <w:color w:val="000000"/>
          <w:sz w:val="22"/>
        </w:rPr>
        <w:t>6</w:t>
      </w:r>
      <w:r>
        <w:rPr>
          <w:color w:val="000000"/>
          <w:sz w:val="22"/>
        </w:rPr>
        <w:t>份，甲方持</w:t>
      </w:r>
      <w:r>
        <w:rPr>
          <w:color w:val="000000"/>
          <w:sz w:val="22"/>
        </w:rPr>
        <w:t>4</w:t>
      </w:r>
      <w:r>
        <w:rPr>
          <w:color w:val="000000"/>
          <w:sz w:val="22"/>
        </w:rPr>
        <w:t>份，乙方持</w:t>
      </w:r>
      <w:r>
        <w:rPr>
          <w:color w:val="000000"/>
          <w:sz w:val="22"/>
        </w:rPr>
        <w:t>2</w:t>
      </w:r>
      <w:r>
        <w:rPr>
          <w:color w:val="000000"/>
          <w:sz w:val="22"/>
        </w:rPr>
        <w:t>份，均为正本，具有同等法律效力。</w:t>
      </w:r>
    </w:p>
    <w:p>
      <w:pPr>
        <w:ind w:firstLine="442"/>
      </w:pPr>
      <w:r>
        <w:rPr>
          <w:b/>
          <w:color w:val="000000"/>
          <w:sz w:val="22"/>
        </w:rPr>
        <w:t>甲乙双方在此确认，本合同为甲乙双方合法之授权代表于广州市天河区签订。</w:t>
      </w:r>
    </w:p>
    <w:p>
      <w:r>
        <w:rPr>
          <w:b/>
          <w:color w:val="000000"/>
          <w:sz w:val="22"/>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single" w:color="000000" w:sz="4"/>
              <w:right w:val="single" w:color="000000" w:sz="4"/>
            </w:tcBorders>
            <w:vAlign w:val="top"/>
          </w:tcPr>
          <w:p>
            <w:pPr>
              <w:jc w:val="center"/>
            </w:pPr>
            <w:r>
              <w:rPr>
                <w:color w:val="000000"/>
                <w:sz w:val="22"/>
              </w:rPr>
              <w:t>甲方</w:t>
            </w:r>
            <w:r>
              <w:br/>
            </w:r>
            <w:r>
              <w:rPr>
                <w:color w:val="000000"/>
                <w:sz w:val="22"/>
              </w:rPr>
              <w:t>名称</w:t>
            </w:r>
          </w:p>
        </w:tc>
        <w:tc>
          <w:tcPr>
            <w:tcW w:type="dxa" w:w="3192"/>
            <w:gridSpan w:val="3"/>
            <w:tcBorders>
              <w:top w:val="single" w:color="000000" w:sz="4"/>
              <w:left w:val="single" w:color="000000" w:sz="4"/>
              <w:bottom w:val="single" w:color="000000" w:sz="4"/>
              <w:right w:val="single" w:color="000000" w:sz="4"/>
            </w:tcBorders>
            <w:vAlign w:val="top"/>
          </w:tcPr>
          <w:p>
            <w:pPr>
              <w:ind w:firstLine="110"/>
            </w:pPr>
            <w:r>
              <w:rPr>
                <w:color w:val="000000"/>
                <w:sz w:val="22"/>
              </w:rPr>
              <w:t>华南师范大学</w:t>
            </w:r>
          </w:p>
        </w:tc>
        <w:tc>
          <w:tcPr>
            <w:tcW w:type="dxa" w:w="667"/>
            <w:tcBorders>
              <w:top w:val="single" w:color="000000" w:sz="4"/>
              <w:left w:val="single" w:color="000000" w:sz="4"/>
              <w:bottom w:val="single" w:color="000000" w:sz="4"/>
              <w:right w:val="single" w:color="000000" w:sz="4"/>
            </w:tcBorders>
            <w:vAlign w:val="top"/>
          </w:tcPr>
          <w:p>
            <w:pPr>
              <w:jc w:val="center"/>
            </w:pPr>
            <w:r>
              <w:rPr>
                <w:color w:val="000000"/>
                <w:sz w:val="22"/>
              </w:rPr>
              <w:t>乙方</w:t>
            </w:r>
            <w:r>
              <w:br/>
            </w:r>
            <w:r>
              <w:rPr>
                <w:color w:val="000000"/>
                <w:sz w:val="22"/>
              </w:rPr>
              <w:t>名称</w:t>
            </w:r>
          </w:p>
        </w:tc>
        <w:tc>
          <w:tcPr>
            <w:tcW w:type="dxa" w:w="3606"/>
            <w:gridSpan w:val="3"/>
            <w:tcBorders>
              <w:top w:val="single" w:color="000000" w:sz="4"/>
              <w:left w:val="single" w:color="000000" w:sz="4"/>
              <w:bottom w:val="single" w:color="000000" w:sz="4"/>
              <w:right w:val="single" w:color="000000" w:sz="4"/>
            </w:tcBorders>
            <w:vAlign w:val="top"/>
          </w:tcPr>
          <w:p>
            <w:pPr>
              <w:ind w:firstLine="110"/>
            </w:pPr>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单位</w:t>
            </w:r>
            <w:r>
              <w:br/>
            </w:r>
            <w:r>
              <w:rPr>
                <w:color w:val="000000"/>
                <w:sz w:val="22"/>
              </w:rPr>
              <w:t>地址</w:t>
            </w:r>
          </w:p>
        </w:tc>
        <w:tc>
          <w:tcPr>
            <w:tcW w:type="dxa" w:w="3192"/>
            <w:gridSpan w:val="3"/>
            <w:tcBorders>
              <w:top w:val="none" w:color="000000" w:sz="4"/>
              <w:left w:val="single" w:color="000000" w:sz="4"/>
              <w:bottom w:val="single" w:color="000000" w:sz="4"/>
              <w:right w:val="single" w:color="000000" w:sz="4"/>
            </w:tcBorders>
            <w:vAlign w:val="top"/>
          </w:tcPr>
          <w:p>
            <w:pPr>
              <w:ind w:firstLine="110"/>
            </w:pPr>
            <w:r>
              <w:rPr>
                <w:color w:val="000000"/>
                <w:sz w:val="22"/>
              </w:rPr>
              <w:t>广州市中山大道西</w:t>
            </w:r>
            <w:r>
              <w:rPr>
                <w:color w:val="000000"/>
                <w:sz w:val="22"/>
              </w:rPr>
              <w:t>55号</w:t>
            </w:r>
          </w:p>
        </w:tc>
        <w:tc>
          <w:tcPr>
            <w:tcW w:type="dxa" w:w="667"/>
            <w:tcBorders>
              <w:top w:val="none" w:color="000000" w:sz="4"/>
              <w:left w:val="single" w:color="000000" w:sz="4"/>
              <w:bottom w:val="single" w:color="000000" w:sz="4"/>
              <w:right w:val="single" w:color="000000" w:sz="4"/>
            </w:tcBorders>
            <w:vAlign w:val="top"/>
          </w:tcPr>
          <w:p>
            <w:pPr>
              <w:jc w:val="center"/>
            </w:pPr>
            <w:r>
              <w:rPr>
                <w:color w:val="000000"/>
                <w:sz w:val="22"/>
              </w:rPr>
              <w:t>单位</w:t>
            </w:r>
            <w:r>
              <w:br/>
            </w:r>
            <w:r>
              <w:rPr>
                <w:color w:val="000000"/>
                <w:sz w:val="22"/>
              </w:rPr>
              <w:t>地址</w:t>
            </w:r>
          </w:p>
        </w:tc>
        <w:tc>
          <w:tcPr>
            <w:tcW w:type="dxa" w:w="3606"/>
            <w:gridSpan w:val="3"/>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联系人</w:t>
            </w:r>
          </w:p>
        </w:tc>
        <w:tc>
          <w:tcPr>
            <w:tcW w:type="dxa" w:w="1206"/>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c>
          <w:tcPr>
            <w:tcW w:type="dxa" w:w="780"/>
            <w:tcBorders>
              <w:top w:val="none" w:color="000000" w:sz="4"/>
              <w:left w:val="single" w:color="000000" w:sz="4"/>
              <w:bottom w:val="single" w:color="000000" w:sz="4"/>
              <w:right w:val="single" w:color="000000" w:sz="4"/>
            </w:tcBorders>
            <w:vAlign w:val="top"/>
          </w:tcPr>
          <w:p>
            <w:pPr>
              <w:ind w:firstLine="110"/>
            </w:pPr>
            <w:r>
              <w:rPr>
                <w:color w:val="000000"/>
                <w:sz w:val="22"/>
              </w:rPr>
              <w:t>电话</w:t>
            </w:r>
          </w:p>
        </w:tc>
        <w:tc>
          <w:tcPr>
            <w:tcW w:type="dxa" w:w="1206"/>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c>
          <w:tcPr>
            <w:tcW w:type="dxa" w:w="667"/>
            <w:tcBorders>
              <w:top w:val="single" w:color="000000" w:sz="4"/>
              <w:left w:val="single" w:color="000000" w:sz="4"/>
              <w:bottom w:val="single" w:color="000000" w:sz="4"/>
              <w:right w:val="single" w:color="000000" w:sz="4"/>
            </w:tcBorders>
            <w:vAlign w:val="top"/>
          </w:tcPr>
          <w:p>
            <w:pPr>
              <w:jc w:val="center"/>
            </w:pPr>
            <w:r>
              <w:rPr>
                <w:color w:val="000000"/>
                <w:sz w:val="22"/>
              </w:rPr>
              <w:t>联系人</w:t>
            </w:r>
          </w:p>
        </w:tc>
        <w:tc>
          <w:tcPr>
            <w:tcW w:type="dxa" w:w="1235"/>
            <w:tcBorders>
              <w:top w:val="single" w:color="000000" w:sz="4"/>
              <w:left w:val="single" w:color="000000" w:sz="4"/>
              <w:bottom w:val="single" w:color="000000" w:sz="4"/>
              <w:right w:val="single" w:color="000000" w:sz="4"/>
            </w:tcBorders>
            <w:vAlign w:val="top"/>
          </w:tcPr>
          <w:p>
            <w:pPr>
              <w:ind w:firstLine="110"/>
            </w:pPr>
            <w:r>
              <w:rPr>
                <w:color w:val="000000"/>
                <w:sz w:val="22"/>
              </w:rPr>
              <w:t>（必填项）</w:t>
            </w:r>
          </w:p>
        </w:tc>
        <w:tc>
          <w:tcPr>
            <w:tcW w:type="dxa" w:w="866"/>
            <w:tcBorders>
              <w:top w:val="single" w:color="000000" w:sz="4"/>
              <w:left w:val="single" w:color="000000" w:sz="4"/>
              <w:bottom w:val="single" w:color="000000" w:sz="4"/>
              <w:right w:val="single" w:color="000000" w:sz="4"/>
            </w:tcBorders>
            <w:vAlign w:val="top"/>
          </w:tcPr>
          <w:p>
            <w:pPr>
              <w:ind w:firstLine="110"/>
            </w:pPr>
            <w:r>
              <w:rPr>
                <w:color w:val="000000"/>
                <w:sz w:val="22"/>
              </w:rPr>
              <w:t>电话</w:t>
            </w:r>
          </w:p>
        </w:tc>
        <w:tc>
          <w:tcPr>
            <w:tcW w:type="dxa" w:w="1505"/>
            <w:tcBorders>
              <w:top w:val="single" w:color="000000" w:sz="4"/>
              <w:left w:val="single" w:color="000000" w:sz="4"/>
              <w:bottom w:val="single" w:color="000000" w:sz="4"/>
              <w:right w:val="single" w:color="000000" w:sz="4"/>
            </w:tcBorders>
            <w:vAlign w:val="top"/>
          </w:tcPr>
          <w:p>
            <w:pPr>
              <w:ind w:firstLine="110"/>
            </w:pPr>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传真</w:t>
            </w:r>
          </w:p>
        </w:tc>
        <w:tc>
          <w:tcPr>
            <w:tcW w:type="dxa" w:w="1206"/>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c>
          <w:tcPr>
            <w:tcW w:type="dxa" w:w="780"/>
            <w:tcBorders>
              <w:top w:val="none" w:color="000000" w:sz="4"/>
              <w:left w:val="single" w:color="000000" w:sz="4"/>
              <w:bottom w:val="single" w:color="000000" w:sz="4"/>
              <w:right w:val="single" w:color="000000" w:sz="4"/>
            </w:tcBorders>
            <w:vAlign w:val="top"/>
          </w:tcPr>
          <w:p>
            <w:pPr>
              <w:ind w:firstLine="110"/>
            </w:pPr>
            <w:r>
              <w:rPr>
                <w:color w:val="000000"/>
                <w:sz w:val="22"/>
              </w:rPr>
              <w:t>邮编</w:t>
            </w:r>
          </w:p>
        </w:tc>
        <w:tc>
          <w:tcPr>
            <w:tcW w:type="dxa" w:w="1206"/>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c>
          <w:tcPr>
            <w:tcW w:type="dxa" w:w="667"/>
            <w:tcBorders>
              <w:top w:val="none" w:color="000000" w:sz="4"/>
              <w:left w:val="single" w:color="000000" w:sz="4"/>
              <w:bottom w:val="single" w:color="000000" w:sz="4"/>
              <w:right w:val="single" w:color="000000" w:sz="4"/>
            </w:tcBorders>
            <w:vAlign w:val="top"/>
          </w:tcPr>
          <w:p>
            <w:pPr>
              <w:jc w:val="center"/>
            </w:pPr>
            <w:r>
              <w:rPr>
                <w:color w:val="000000"/>
                <w:sz w:val="22"/>
              </w:rPr>
              <w:t>传真</w:t>
            </w:r>
          </w:p>
        </w:tc>
        <w:tc>
          <w:tcPr>
            <w:tcW w:type="dxa" w:w="1235"/>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c>
          <w:tcPr>
            <w:tcW w:type="dxa" w:w="866"/>
            <w:tcBorders>
              <w:top w:val="none" w:color="000000" w:sz="4"/>
              <w:left w:val="single" w:color="000000" w:sz="4"/>
              <w:bottom w:val="single" w:color="000000" w:sz="4"/>
              <w:right w:val="single" w:color="000000" w:sz="4"/>
            </w:tcBorders>
            <w:vAlign w:val="top"/>
          </w:tcPr>
          <w:p>
            <w:pPr>
              <w:ind w:firstLine="110"/>
            </w:pPr>
            <w:r>
              <w:rPr>
                <w:color w:val="000000"/>
                <w:sz w:val="22"/>
              </w:rPr>
              <w:t>邮编</w:t>
            </w:r>
          </w:p>
        </w:tc>
        <w:tc>
          <w:tcPr>
            <w:tcW w:type="dxa" w:w="1505"/>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开户</w:t>
            </w:r>
            <w:r>
              <w:br/>
            </w:r>
            <w:r>
              <w:rPr>
                <w:color w:val="000000"/>
                <w:sz w:val="22"/>
              </w:rPr>
              <w:t>银行</w:t>
            </w:r>
          </w:p>
        </w:tc>
        <w:tc>
          <w:tcPr>
            <w:tcW w:type="dxa" w:w="3192"/>
            <w:gridSpan w:val="3"/>
            <w:tcBorders>
              <w:top w:val="none" w:color="000000" w:sz="4"/>
              <w:left w:val="single" w:color="000000" w:sz="4"/>
              <w:bottom w:val="single" w:color="000000" w:sz="4"/>
              <w:right w:val="single" w:color="000000" w:sz="4"/>
            </w:tcBorders>
            <w:vAlign w:val="top"/>
          </w:tcPr>
          <w:p>
            <w:pPr>
              <w:ind w:firstLine="110"/>
            </w:pPr>
            <w:r>
              <w:rPr>
                <w:color w:val="000000"/>
                <w:sz w:val="22"/>
              </w:rPr>
              <w:t>工商银行广州市高新区支行</w:t>
            </w:r>
          </w:p>
        </w:tc>
        <w:tc>
          <w:tcPr>
            <w:tcW w:type="dxa" w:w="667"/>
            <w:tcBorders>
              <w:top w:val="none" w:color="000000" w:sz="4"/>
              <w:left w:val="single" w:color="000000" w:sz="4"/>
              <w:bottom w:val="single" w:color="000000" w:sz="4"/>
              <w:right w:val="single" w:color="000000" w:sz="4"/>
            </w:tcBorders>
            <w:vAlign w:val="top"/>
          </w:tcPr>
          <w:p>
            <w:pPr>
              <w:jc w:val="center"/>
            </w:pPr>
            <w:r>
              <w:rPr>
                <w:color w:val="000000"/>
                <w:sz w:val="22"/>
              </w:rPr>
              <w:t>开户</w:t>
            </w:r>
          </w:p>
          <w:p>
            <w:pPr>
              <w:jc w:val="center"/>
            </w:pPr>
            <w:r>
              <w:rPr>
                <w:color w:val="000000"/>
                <w:sz w:val="22"/>
              </w:rPr>
              <w:t>银行</w:t>
            </w:r>
          </w:p>
        </w:tc>
        <w:tc>
          <w:tcPr>
            <w:tcW w:type="dxa" w:w="3606"/>
            <w:gridSpan w:val="3"/>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银行</w:t>
            </w:r>
            <w:r>
              <w:br/>
            </w:r>
            <w:r>
              <w:rPr>
                <w:color w:val="000000"/>
                <w:sz w:val="22"/>
              </w:rPr>
              <w:t>账号</w:t>
            </w:r>
          </w:p>
        </w:tc>
        <w:tc>
          <w:tcPr>
            <w:tcW w:type="dxa" w:w="3192"/>
            <w:gridSpan w:val="3"/>
            <w:tcBorders>
              <w:top w:val="none" w:color="000000" w:sz="4"/>
              <w:left w:val="single" w:color="000000" w:sz="4"/>
              <w:bottom w:val="single" w:color="000000" w:sz="4"/>
              <w:right w:val="single" w:color="000000" w:sz="4"/>
            </w:tcBorders>
            <w:vAlign w:val="top"/>
          </w:tcPr>
          <w:p>
            <w:pPr>
              <w:ind w:firstLine="110"/>
            </w:pPr>
            <w:r>
              <w:rPr>
                <w:color w:val="000000"/>
                <w:sz w:val="22"/>
              </w:rPr>
              <w:t>3602008109000386071</w:t>
            </w:r>
          </w:p>
        </w:tc>
        <w:tc>
          <w:tcPr>
            <w:tcW w:type="dxa" w:w="667"/>
            <w:tcBorders>
              <w:top w:val="none" w:color="000000" w:sz="4"/>
              <w:left w:val="single" w:color="000000" w:sz="4"/>
              <w:bottom w:val="single" w:color="000000" w:sz="4"/>
              <w:right w:val="single" w:color="000000" w:sz="4"/>
            </w:tcBorders>
            <w:vAlign w:val="top"/>
          </w:tcPr>
          <w:p>
            <w:pPr>
              <w:jc w:val="center"/>
            </w:pPr>
            <w:r>
              <w:rPr>
                <w:color w:val="000000"/>
                <w:sz w:val="22"/>
              </w:rPr>
              <w:t>银行</w:t>
            </w:r>
            <w:r>
              <w:br/>
            </w:r>
            <w:r>
              <w:rPr>
                <w:color w:val="000000"/>
                <w:sz w:val="22"/>
              </w:rPr>
              <w:t>账号</w:t>
            </w:r>
          </w:p>
        </w:tc>
        <w:tc>
          <w:tcPr>
            <w:tcW w:type="dxa" w:w="3606"/>
            <w:gridSpan w:val="3"/>
            <w:tcBorders>
              <w:top w:val="none" w:color="000000" w:sz="4"/>
              <w:left w:val="single" w:color="000000" w:sz="4"/>
              <w:bottom w:val="single" w:color="000000" w:sz="4"/>
              <w:right w:val="single" w:color="000000" w:sz="4"/>
            </w:tcBorders>
            <w:vAlign w:val="top"/>
          </w:tcPr>
          <w:p>
            <w:pPr>
              <w:ind w:firstLine="110"/>
            </w:pPr>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法定代表人</w:t>
            </w:r>
            <w:r>
              <w:rPr>
                <w:color w:val="000000"/>
                <w:sz w:val="22"/>
              </w:rPr>
              <w:t>/委托代理人</w:t>
            </w:r>
          </w:p>
        </w:tc>
        <w:tc>
          <w:tcPr>
            <w:tcW w:type="dxa" w:w="3192"/>
            <w:gridSpan w:val="3"/>
            <w:vMerge w:val="restart"/>
            <w:tcBorders>
              <w:top w:val="none" w:color="000000" w:sz="4"/>
              <w:left w:val="single" w:color="000000" w:sz="4"/>
              <w:bottom w:val="single" w:color="000000" w:sz="4"/>
              <w:right w:val="single" w:color="000000" w:sz="4"/>
            </w:tcBorders>
            <w:vAlign w:val="top"/>
          </w:tcPr>
          <w:p>
            <w:r>
              <w:rPr>
                <w:color w:val="000000"/>
                <w:sz w:val="22"/>
              </w:rPr>
              <w:t>（必填项）</w:t>
            </w:r>
          </w:p>
        </w:tc>
        <w:tc>
          <w:tcPr>
            <w:tcW w:type="dxa" w:w="667"/>
            <w:tcBorders>
              <w:top w:val="none" w:color="000000" w:sz="4"/>
              <w:left w:val="single" w:color="000000" w:sz="4"/>
              <w:bottom w:val="single" w:color="000000" w:sz="4"/>
              <w:right w:val="single" w:color="000000" w:sz="4"/>
            </w:tcBorders>
            <w:vAlign w:val="top"/>
          </w:tcPr>
          <w:p>
            <w:pPr>
              <w:jc w:val="center"/>
            </w:pPr>
            <w:r>
              <w:rPr>
                <w:color w:val="000000"/>
                <w:sz w:val="22"/>
              </w:rPr>
              <w:t>法定代表人</w:t>
            </w:r>
            <w:r>
              <w:rPr>
                <w:color w:val="000000"/>
                <w:sz w:val="22"/>
              </w:rPr>
              <w:t>/委托代理人</w:t>
            </w:r>
          </w:p>
        </w:tc>
        <w:tc>
          <w:tcPr>
            <w:tcW w:type="dxa" w:w="3606"/>
            <w:gridSpan w:val="3"/>
            <w:vMerge w:val="restart"/>
            <w:tcBorders>
              <w:top w:val="none" w:color="000000" w:sz="4"/>
              <w:left w:val="single" w:color="000000" w:sz="4"/>
              <w:bottom w:val="single" w:color="000000" w:sz="4"/>
              <w:right w:val="single" w:color="000000" w:sz="4"/>
            </w:tcBorders>
            <w:vAlign w:val="top"/>
          </w:tcPr>
          <w:p>
            <w:r>
              <w:rPr>
                <w:color w:val="000000"/>
                <w:sz w:val="22"/>
              </w:rPr>
              <w:t>（必填项）</w:t>
            </w:r>
          </w:p>
        </w:tc>
      </w:tr>
      <w:tr>
        <w:tc>
          <w:tcPr>
            <w:tcW w:type="dxa" w:w="795"/>
            <w:tcBorders>
              <w:top w:val="none" w:color="000000" w:sz="4"/>
              <w:left w:val="single" w:color="000000" w:sz="4"/>
              <w:bottom w:val="single" w:color="000000" w:sz="4"/>
              <w:right w:val="single" w:color="000000" w:sz="4"/>
            </w:tcBorders>
            <w:vAlign w:val="top"/>
          </w:tcPr>
          <w:p>
            <w:pPr>
              <w:jc w:val="center"/>
            </w:pPr>
            <w:r>
              <w:rPr>
                <w:color w:val="000000"/>
                <w:sz w:val="22"/>
              </w:rPr>
              <w:t>签订日期、甲方盖章</w:t>
            </w:r>
          </w:p>
        </w:tc>
        <w:tc>
          <w:tcPr>
            <w:tcW w:type="dxa" w:w="3192"/>
            <w:gridSpan w:val="3"/>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vAlign w:val="top"/>
          </w:tcPr>
          <w:p>
            <w:pPr>
              <w:jc w:val="center"/>
            </w:pPr>
            <w:r>
              <w:rPr>
                <w:color w:val="000000"/>
                <w:sz w:val="22"/>
              </w:rPr>
              <w:t>签订日期、乙方盖章</w:t>
            </w:r>
          </w:p>
        </w:tc>
      </w:tr>
    </w:tbl>
    <w:p/>
    <w:p/>
    <w:p>
      <w:r>
        <w:rPr>
          <w:b/>
          <w:color w:val="000000"/>
          <w:sz w:val="22"/>
        </w:rPr>
        <w:t>附件</w:t>
      </w:r>
      <w:r>
        <w:rPr>
          <w:b/>
          <w:color w:val="000000"/>
          <w:sz w:val="22"/>
        </w:rPr>
        <w:t>1</w:t>
      </w:r>
      <w:r>
        <w:rPr>
          <w:b/>
          <w:color w:val="000000"/>
          <w:sz w:val="22"/>
        </w:rPr>
        <w:t>：</w:t>
      </w:r>
    </w:p>
    <w:p>
      <w:r>
        <w:rPr/>
        <w:t xml:space="preserve"> </w:t>
      </w:r>
    </w:p>
    <w:p>
      <w:pPr>
        <w:jc w:val="center"/>
      </w:pPr>
      <w:r>
        <w:rPr>
          <w:b/>
          <w:color w:val="000000"/>
          <w:sz w:val="28"/>
        </w:rPr>
        <w:t>合同标的</w:t>
      </w:r>
    </w:p>
    <w:p>
      <w:r>
        <w:rPr>
          <w:color w:val="000000"/>
          <w:sz w:val="22"/>
        </w:rPr>
        <w:t>货币单位：人民币元</w:t>
      </w:r>
    </w:p>
    <w:tbl>
      <w:tblPr>
        <w:tblW w:w="0" w:type="auto"/>
        <w:tblBorders>
          <w:top w:val="none" w:color="000000" w:sz="4"/>
          <w:left w:val="none" w:color="000000" w:sz="4"/>
          <w:bottom w:val="none" w:color="000000" w:sz="4"/>
          <w:right w:val="none" w:color="000000" w:sz="4"/>
          <w:insideH w:val="none"/>
          <w:insideV w:val="none"/>
        </w:tblBorders>
      </w:tblPr>
      <w:tblGrid>
        <w:gridCol w:w="371"/>
        <w:gridCol w:w="1139"/>
        <w:gridCol w:w="844"/>
        <w:gridCol w:w="1407"/>
        <w:gridCol w:w="1766"/>
        <w:gridCol w:w="575"/>
        <w:gridCol w:w="511"/>
        <w:gridCol w:w="844"/>
        <w:gridCol w:w="806"/>
      </w:tblGrid>
      <w:tr>
        <w:tc>
          <w:tcPr>
            <w:tcW w:type="dxa" w:w="371"/>
            <w:tcBorders>
              <w:top w:val="single" w:color="000000" w:sz="4"/>
              <w:left w:val="single" w:color="000000" w:sz="4"/>
              <w:bottom w:val="single" w:color="000000" w:sz="4"/>
              <w:right w:val="single" w:color="000000" w:sz="4"/>
            </w:tcBorders>
            <w:vAlign w:val="top"/>
          </w:tcPr>
          <w:p>
            <w:pPr>
              <w:jc w:val="center"/>
            </w:pPr>
            <w:r>
              <w:rPr>
                <w:color w:val="000000"/>
                <w:sz w:val="22"/>
              </w:rPr>
              <w:t>项数</w:t>
            </w:r>
          </w:p>
        </w:tc>
        <w:tc>
          <w:tcPr>
            <w:tcW w:type="dxa" w:w="1139"/>
            <w:tcBorders>
              <w:top w:val="single" w:color="000000" w:sz="4"/>
              <w:left w:val="single" w:color="000000" w:sz="4"/>
              <w:bottom w:val="single" w:color="000000" w:sz="4"/>
              <w:right w:val="single" w:color="000000" w:sz="4"/>
            </w:tcBorders>
            <w:vAlign w:val="top"/>
          </w:tcPr>
          <w:p>
            <w:pPr>
              <w:jc w:val="center"/>
            </w:pPr>
            <w:r>
              <w:rPr>
                <w:color w:val="000000"/>
                <w:sz w:val="22"/>
              </w:rPr>
              <w:t>货物</w:t>
            </w:r>
            <w:r>
              <w:rPr>
                <w:color w:val="000000"/>
                <w:sz w:val="22"/>
              </w:rPr>
              <w:t>名称</w:t>
            </w:r>
          </w:p>
        </w:tc>
        <w:tc>
          <w:tcPr>
            <w:tcW w:type="dxa" w:w="844"/>
            <w:tcBorders>
              <w:top w:val="single" w:color="000000" w:sz="4"/>
              <w:left w:val="single" w:color="000000" w:sz="4"/>
              <w:bottom w:val="single" w:color="000000" w:sz="4"/>
              <w:right w:val="single" w:color="000000" w:sz="4"/>
            </w:tcBorders>
            <w:vAlign w:val="top"/>
          </w:tcPr>
          <w:p>
            <w:pPr>
              <w:jc w:val="center"/>
            </w:pPr>
            <w:r>
              <w:rPr>
                <w:color w:val="000000"/>
                <w:sz w:val="22"/>
              </w:rPr>
              <w:t>品牌</w:t>
            </w:r>
          </w:p>
        </w:tc>
        <w:tc>
          <w:tcPr>
            <w:tcW w:type="dxa" w:w="1407"/>
            <w:tcBorders>
              <w:top w:val="single" w:color="000000" w:sz="4"/>
              <w:left w:val="single" w:color="000000" w:sz="4"/>
              <w:bottom w:val="single" w:color="000000" w:sz="4"/>
              <w:right w:val="single" w:color="000000" w:sz="4"/>
            </w:tcBorders>
            <w:vAlign w:val="top"/>
          </w:tcPr>
          <w:p>
            <w:pPr>
              <w:jc w:val="center"/>
            </w:pPr>
            <w:r>
              <w:rPr>
                <w:color w:val="000000"/>
                <w:sz w:val="22"/>
              </w:rPr>
              <w:t>型号</w:t>
            </w:r>
          </w:p>
        </w:tc>
        <w:tc>
          <w:tcPr>
            <w:tcW w:type="dxa" w:w="1766"/>
            <w:tcBorders>
              <w:top w:val="single" w:color="000000" w:sz="4"/>
              <w:left w:val="single" w:color="000000" w:sz="4"/>
              <w:bottom w:val="single" w:color="000000" w:sz="4"/>
              <w:right w:val="single" w:color="000000" w:sz="4"/>
            </w:tcBorders>
            <w:vAlign w:val="top"/>
          </w:tcPr>
          <w:p>
            <w:pPr>
              <w:jc w:val="center"/>
            </w:pPr>
            <w:r>
              <w:rPr>
                <w:color w:val="000000"/>
                <w:sz w:val="22"/>
              </w:rPr>
              <w:t>详细配置清单</w:t>
            </w:r>
          </w:p>
        </w:tc>
        <w:tc>
          <w:tcPr>
            <w:tcW w:type="dxa" w:w="575"/>
            <w:tcBorders>
              <w:top w:val="single" w:color="000000" w:sz="4"/>
              <w:left w:val="single" w:color="000000" w:sz="4"/>
              <w:bottom w:val="single" w:color="000000" w:sz="4"/>
              <w:right w:val="single" w:color="000000" w:sz="4"/>
            </w:tcBorders>
            <w:vAlign w:val="top"/>
          </w:tcPr>
          <w:p>
            <w:pPr>
              <w:jc w:val="center"/>
            </w:pPr>
            <w:r>
              <w:rPr>
                <w:color w:val="000000"/>
                <w:sz w:val="22"/>
              </w:rPr>
              <w:t>单位</w:t>
            </w:r>
          </w:p>
        </w:tc>
        <w:tc>
          <w:tcPr>
            <w:tcW w:type="dxa" w:w="511"/>
            <w:tcBorders>
              <w:top w:val="single" w:color="000000" w:sz="4"/>
              <w:left w:val="single" w:color="000000" w:sz="4"/>
              <w:bottom w:val="single" w:color="000000" w:sz="4"/>
              <w:right w:val="single" w:color="000000" w:sz="4"/>
            </w:tcBorders>
            <w:vAlign w:val="top"/>
          </w:tcPr>
          <w:p>
            <w:pPr>
              <w:jc w:val="center"/>
            </w:pPr>
            <w:r>
              <w:rPr>
                <w:color w:val="000000"/>
                <w:sz w:val="22"/>
              </w:rPr>
              <w:t>数量</w:t>
            </w:r>
          </w:p>
        </w:tc>
        <w:tc>
          <w:tcPr>
            <w:tcW w:type="dxa" w:w="844"/>
            <w:tcBorders>
              <w:top w:val="single" w:color="000000" w:sz="4"/>
              <w:left w:val="single" w:color="000000" w:sz="4"/>
              <w:bottom w:val="single" w:color="000000" w:sz="4"/>
              <w:right w:val="single" w:color="000000" w:sz="4"/>
            </w:tcBorders>
            <w:vAlign w:val="top"/>
          </w:tcPr>
          <w:p>
            <w:pPr>
              <w:jc w:val="center"/>
            </w:pPr>
            <w:r>
              <w:rPr>
                <w:color w:val="000000"/>
                <w:sz w:val="22"/>
              </w:rPr>
              <w:t>单价</w:t>
            </w:r>
          </w:p>
        </w:tc>
        <w:tc>
          <w:tcPr>
            <w:tcW w:type="dxa" w:w="806"/>
            <w:tcBorders>
              <w:top w:val="single" w:color="000000" w:sz="4"/>
              <w:left w:val="single" w:color="000000" w:sz="4"/>
              <w:bottom w:val="single" w:color="000000" w:sz="4"/>
              <w:right w:val="single" w:color="000000" w:sz="4"/>
            </w:tcBorders>
            <w:vAlign w:val="top"/>
          </w:tcPr>
          <w:p>
            <w:pPr>
              <w:jc w:val="center"/>
            </w:pPr>
            <w:r>
              <w:rPr>
                <w:color w:val="000000"/>
                <w:sz w:val="22"/>
              </w:rPr>
              <w:t>总价</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139"/>
            <w:tcBorders>
              <w:top w:val="none" w:color="000000" w:sz="4"/>
              <w:left w:val="single" w:color="000000" w:sz="4"/>
              <w:bottom w:val="single" w:color="000000" w:sz="4"/>
              <w:right w:val="single" w:color="000000" w:sz="4"/>
            </w:tcBorders>
            <w:vAlign w:val="top"/>
          </w:tcPr>
          <w:p>
            <w:pPr>
              <w:jc w:val="center"/>
            </w:pPr>
          </w:p>
        </w:tc>
        <w:tc>
          <w:tcPr>
            <w:tcW w:type="dxa" w:w="844"/>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p>
        </w:tc>
        <w:tc>
          <w:tcPr>
            <w:tcW w:type="dxa" w:w="1766"/>
            <w:tcBorders>
              <w:top w:val="none" w:color="000000" w:sz="4"/>
              <w:left w:val="single" w:color="000000" w:sz="4"/>
              <w:bottom w:val="single" w:color="000000" w:sz="4"/>
              <w:right w:val="single" w:color="000000" w:sz="4"/>
            </w:tcBorders>
            <w:vAlign w:val="top"/>
          </w:tcPr>
          <w:p>
            <w:pPr>
              <w:jc w:val="center"/>
            </w:pPr>
          </w:p>
        </w:tc>
        <w:tc>
          <w:tcPr>
            <w:tcW w:type="dxa" w:w="575"/>
            <w:tcBorders>
              <w:top w:val="none" w:color="000000" w:sz="4"/>
              <w:left w:val="single" w:color="000000" w:sz="4"/>
              <w:bottom w:val="single" w:color="000000" w:sz="4"/>
              <w:right w:val="single" w:color="000000" w:sz="4"/>
            </w:tcBorders>
            <w:vAlign w:val="top"/>
          </w:tcPr>
          <w:p>
            <w:pPr>
              <w:jc w:val="center"/>
            </w:pPr>
          </w:p>
        </w:tc>
        <w:tc>
          <w:tcPr>
            <w:tcW w:type="dxa" w:w="511"/>
            <w:tcBorders>
              <w:top w:val="none" w:color="000000" w:sz="4"/>
              <w:left w:val="single" w:color="000000" w:sz="4"/>
              <w:bottom w:val="single" w:color="000000" w:sz="4"/>
              <w:right w:val="single" w:color="000000" w:sz="4"/>
            </w:tcBorders>
            <w:vAlign w:val="top"/>
          </w:tcPr>
          <w:p>
            <w:pPr>
              <w:jc w:val="center"/>
            </w:pPr>
          </w:p>
        </w:tc>
        <w:tc>
          <w:tcPr>
            <w:tcW w:type="dxa" w:w="844"/>
            <w:tcBorders>
              <w:top w:val="none" w:color="000000" w:sz="4"/>
              <w:left w:val="single" w:color="000000" w:sz="4"/>
              <w:bottom w:val="single" w:color="000000" w:sz="4"/>
              <w:right w:val="single" w:color="000000" w:sz="4"/>
            </w:tcBorders>
            <w:vAlign w:val="top"/>
          </w:tcPr>
          <w:p>
            <w:pPr>
              <w:jc w:val="center"/>
            </w:pPr>
          </w:p>
        </w:tc>
        <w:tc>
          <w:tcPr>
            <w:tcW w:type="dxa" w:w="806"/>
            <w:tcBorders>
              <w:top w:val="none" w:color="000000" w:sz="4"/>
              <w:left w:val="single" w:color="000000" w:sz="4"/>
              <w:bottom w:val="single" w:color="000000" w:sz="4"/>
              <w:right w:val="single" w:color="000000" w:sz="4"/>
            </w:tcBorders>
            <w:vAlign w:val="top"/>
          </w:tcPr>
          <w:p>
            <w:pPr>
              <w:jc w:val="center"/>
            </w:pP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139"/>
            <w:tcBorders>
              <w:top w:val="none" w:color="000000" w:sz="4"/>
              <w:left w:val="single" w:color="000000" w:sz="4"/>
              <w:bottom w:val="single" w:color="000000" w:sz="4"/>
              <w:right w:val="single" w:color="000000" w:sz="4"/>
            </w:tcBorders>
            <w:vAlign w:val="top"/>
          </w:tcPr>
          <w:p>
            <w:pPr>
              <w:jc w:val="center"/>
            </w:pPr>
          </w:p>
        </w:tc>
        <w:tc>
          <w:tcPr>
            <w:tcW w:type="dxa" w:w="844"/>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p>
        </w:tc>
        <w:tc>
          <w:tcPr>
            <w:tcW w:type="dxa" w:w="1766"/>
            <w:tcBorders>
              <w:top w:val="none" w:color="000000" w:sz="4"/>
              <w:left w:val="single" w:color="000000" w:sz="4"/>
              <w:bottom w:val="single" w:color="000000" w:sz="4"/>
              <w:right w:val="single" w:color="000000" w:sz="4"/>
            </w:tcBorders>
            <w:vAlign w:val="top"/>
          </w:tcPr>
          <w:p>
            <w:pPr>
              <w:jc w:val="center"/>
            </w:pPr>
          </w:p>
        </w:tc>
        <w:tc>
          <w:tcPr>
            <w:tcW w:type="dxa" w:w="575"/>
            <w:tcBorders>
              <w:top w:val="none" w:color="000000" w:sz="4"/>
              <w:left w:val="single" w:color="000000" w:sz="4"/>
              <w:bottom w:val="single" w:color="000000" w:sz="4"/>
              <w:right w:val="single" w:color="000000" w:sz="4"/>
            </w:tcBorders>
            <w:vAlign w:val="top"/>
          </w:tcPr>
          <w:p>
            <w:pPr>
              <w:jc w:val="center"/>
            </w:pPr>
          </w:p>
        </w:tc>
        <w:tc>
          <w:tcPr>
            <w:tcW w:type="dxa" w:w="511"/>
            <w:tcBorders>
              <w:top w:val="none" w:color="000000" w:sz="4"/>
              <w:left w:val="single" w:color="000000" w:sz="4"/>
              <w:bottom w:val="single" w:color="000000" w:sz="4"/>
              <w:right w:val="single" w:color="000000" w:sz="4"/>
            </w:tcBorders>
            <w:vAlign w:val="top"/>
          </w:tcPr>
          <w:p>
            <w:pPr>
              <w:jc w:val="center"/>
            </w:pPr>
          </w:p>
        </w:tc>
        <w:tc>
          <w:tcPr>
            <w:tcW w:type="dxa" w:w="844"/>
            <w:tcBorders>
              <w:top w:val="none" w:color="000000" w:sz="4"/>
              <w:left w:val="single" w:color="000000" w:sz="4"/>
              <w:bottom w:val="single" w:color="000000" w:sz="4"/>
              <w:right w:val="single" w:color="000000" w:sz="4"/>
            </w:tcBorders>
            <w:vAlign w:val="top"/>
          </w:tcPr>
          <w:p>
            <w:pPr>
              <w:jc w:val="center"/>
            </w:pPr>
          </w:p>
        </w:tc>
        <w:tc>
          <w:tcPr>
            <w:tcW w:type="dxa" w:w="806"/>
            <w:tcBorders>
              <w:top w:val="none" w:color="000000" w:sz="4"/>
              <w:left w:val="single" w:color="000000" w:sz="4"/>
              <w:bottom w:val="single" w:color="000000" w:sz="4"/>
              <w:right w:val="single" w:color="000000" w:sz="4"/>
            </w:tcBorders>
            <w:vAlign w:val="top"/>
          </w:tcPr>
          <w:p>
            <w:pPr>
              <w:jc w:val="center"/>
            </w:pPr>
          </w:p>
        </w:tc>
      </w:tr>
      <w:tr>
        <w:tc>
          <w:tcPr>
            <w:tcW w:type="dxa" w:w="1510"/>
            <w:gridSpan w:val="2"/>
            <w:tcBorders>
              <w:top w:val="none" w:color="000000" w:sz="4"/>
              <w:left w:val="single" w:color="000000" w:sz="4"/>
              <w:bottom w:val="single" w:color="000000" w:sz="4"/>
              <w:right w:val="single" w:color="000000" w:sz="4"/>
            </w:tcBorders>
            <w:vAlign w:val="top"/>
          </w:tcPr>
          <w:p>
            <w:pPr>
              <w:jc w:val="center"/>
            </w:pPr>
            <w:r>
              <w:rPr>
                <w:color w:val="000000"/>
                <w:sz w:val="22"/>
              </w:rPr>
              <w:t>合同总价</w:t>
            </w:r>
          </w:p>
        </w:tc>
        <w:tc>
          <w:tcPr>
            <w:tcW w:type="dxa" w:w="6753"/>
            <w:gridSpan w:val="7"/>
            <w:tcBorders>
              <w:top w:val="none" w:color="000000" w:sz="4"/>
              <w:left w:val="single" w:color="000000" w:sz="4"/>
              <w:bottom w:val="single" w:color="000000" w:sz="4"/>
              <w:right w:val="single" w:color="000000" w:sz="4"/>
            </w:tcBorders>
            <w:vAlign w:val="top"/>
          </w:tcPr>
          <w:p>
            <w:r>
              <w:rPr>
                <w:color w:val="000000"/>
                <w:sz w:val="22"/>
              </w:rPr>
              <w:t>（人民币）：</w:t>
            </w:r>
            <w:r>
              <w:rPr>
                <w:color w:val="000000"/>
                <w:sz w:val="22"/>
              </w:rPr>
              <w:t xml:space="preserve"> </w:t>
            </w:r>
            <w:r>
              <w:rPr>
                <w:color w:val="000000"/>
                <w:sz w:val="22"/>
              </w:rPr>
              <w:t>佰</w:t>
            </w:r>
            <w:r>
              <w:rPr>
                <w:color w:val="000000"/>
                <w:sz w:val="22"/>
              </w:rPr>
              <w:t xml:space="preserve"> </w:t>
            </w:r>
            <w:r>
              <w:rPr>
                <w:color w:val="000000"/>
                <w:sz w:val="22"/>
              </w:rPr>
              <w:t>拾</w:t>
            </w:r>
            <w:r>
              <w:rPr>
                <w:color w:val="000000"/>
                <w:sz w:val="22"/>
              </w:rPr>
              <w:t xml:space="preserve"> </w:t>
            </w:r>
            <w:r>
              <w:rPr>
                <w:color w:val="000000"/>
                <w:sz w:val="22"/>
              </w:rPr>
              <w:t>万</w:t>
            </w:r>
            <w:r>
              <w:rPr>
                <w:color w:val="000000"/>
                <w:sz w:val="22"/>
              </w:rPr>
              <w:t xml:space="preserve"> </w:t>
            </w:r>
            <w:r>
              <w:rPr>
                <w:color w:val="000000"/>
                <w:sz w:val="22"/>
              </w:rPr>
              <w:t>仟</w:t>
            </w:r>
            <w:r>
              <w:rPr>
                <w:color w:val="000000"/>
                <w:sz w:val="22"/>
              </w:rPr>
              <w:t xml:space="preserve"> </w:t>
            </w:r>
            <w:r>
              <w:rPr>
                <w:color w:val="000000"/>
                <w:sz w:val="22"/>
              </w:rPr>
              <w:t>佰</w:t>
            </w:r>
            <w:r>
              <w:rPr>
                <w:color w:val="000000"/>
                <w:sz w:val="22"/>
              </w:rPr>
              <w:t xml:space="preserve"> </w:t>
            </w:r>
            <w:r>
              <w:rPr>
                <w:color w:val="000000"/>
                <w:sz w:val="22"/>
              </w:rPr>
              <w:t>拾</w:t>
            </w:r>
            <w:r>
              <w:rPr>
                <w:color w:val="000000"/>
                <w:sz w:val="22"/>
              </w:rPr>
              <w:t xml:space="preserve"> </w:t>
            </w:r>
            <w:r>
              <w:rPr>
                <w:color w:val="000000"/>
                <w:sz w:val="22"/>
              </w:rPr>
              <w:t>元</w:t>
            </w:r>
            <w:r>
              <w:rPr>
                <w:color w:val="000000"/>
                <w:sz w:val="22"/>
              </w:rPr>
              <w:t xml:space="preserve"> </w:t>
            </w:r>
            <w:r>
              <w:rPr>
                <w:color w:val="000000"/>
                <w:sz w:val="22"/>
              </w:rPr>
              <w:t>角</w:t>
            </w:r>
            <w:r>
              <w:rPr>
                <w:color w:val="000000"/>
                <w:sz w:val="22"/>
              </w:rPr>
              <w:t xml:space="preserve"> </w:t>
            </w:r>
            <w:r>
              <w:rPr>
                <w:color w:val="000000"/>
                <w:sz w:val="22"/>
              </w:rPr>
              <w:t>分（￥</w:t>
            </w:r>
            <w:r>
              <w:rPr>
                <w:color w:val="000000"/>
                <w:sz w:val="22"/>
              </w:rPr>
              <w:t xml:space="preserve">     </w:t>
            </w:r>
            <w:r>
              <w:rPr>
                <w:color w:val="000000"/>
                <w:sz w:val="22"/>
              </w:rPr>
              <w:t>），（</w:t>
            </w:r>
            <w:r>
              <w:rPr>
                <w:color w:val="000000"/>
                <w:sz w:val="22"/>
              </w:rPr>
              <w:t>CNY）</w:t>
            </w:r>
          </w:p>
        </w:tc>
      </w:tr>
    </w:tbl>
    <w:p>
      <w:r>
        <w:rPr>
          <w:color w:val="000000"/>
          <w:sz w:val="22"/>
        </w:rPr>
        <w:t>注：此表由双方的法定代表人或委托代理人手写签名确认。如果多页的，则每页均需手写签名确认。</w:t>
      </w:r>
    </w:p>
    <w:p>
      <w:r>
        <w:rPr>
          <w:b/>
          <w:color w:val="000000"/>
          <w:sz w:val="28"/>
        </w:rPr>
        <w:t>甲方：</w:t>
      </w:r>
      <w:r>
        <w:rPr>
          <w:b/>
          <w:sz w:val="22"/>
        </w:rPr>
        <w:t xml:space="preserve">        </w:t>
      </w:r>
      <w:r>
        <w:rPr>
          <w:b/>
          <w:color w:val="000000"/>
          <w:sz w:val="28"/>
        </w:rPr>
        <w:t>乙方：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440001-2023-54282</w:t>
      </w:r>
    </w:p>
    <w:p>
      <w:pPr>
        <w:jc w:val="center"/>
      </w:pPr>
      <w:r>
        <w:rPr>
          <w:b/>
          <w:sz w:val="24"/>
        </w:rPr>
        <w:t>采购项目编号：</w:t>
      </w:r>
      <w:r>
        <w:rPr>
          <w:b/>
          <w:sz w:val="24"/>
        </w:rPr>
        <w:t>0809-2341GDG12204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华南师范大学汕尾校区场馆楼宇通行门禁采购项目</w:t>
      </w:r>
      <w:r>
        <w:rPr>
          <w:u w:val="single"/>
        </w:rPr>
        <w:t>”</w:t>
      </w:r>
      <w:r>
        <w:rPr/>
        <w:t>项目的招标[采购项目编号为：</w:t>
      </w:r>
      <w:r>
        <w:rPr>
          <w:u w:val="single"/>
        </w:rPr>
        <w:t>0809-2341GDG12204</w:t>
      </w:r>
      <w:r>
        <w:rPr/>
        <w:t>]，我方愿参与投标。</w:t>
      </w:r>
    </w:p>
    <w:p>
      <w:pPr>
        <w:ind w:firstLine="480"/>
      </w:pPr>
      <w:r>
        <w:rPr/>
        <w:t>我方确认收到贵方提供的</w:t>
      </w:r>
      <w:r>
        <w:rPr>
          <w:u w:val="single"/>
        </w:rPr>
        <w:t>“</w:t>
      </w:r>
      <w:r>
        <w:rPr>
          <w:u w:val="single"/>
        </w:rPr>
        <w:t>华南师范大学汕尾校区场馆楼宇通行门禁采购项目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华南师范大学汕尾校区场馆楼宇通行门禁采购项目</w:t>
      </w:r>
      <w:r>
        <w:rPr/>
        <w:t>”项目采购[采购项目编号为</w:t>
      </w:r>
      <w:r>
        <w:rPr/>
        <w:t>0809-2341GDG12204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华南师范大学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华南师范大学汕尾校区场馆楼宇通行门禁采购项目</w:t>
      </w:r>
      <w:r>
        <w:rPr/>
        <w:t>招标中获中标（采购项目编号：</w:t>
      </w:r>
      <w:r>
        <w:rPr/>
        <w:t>0809-2341GDG12204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华南师范大学汕尾校区场馆楼宇通行门禁采购项目</w:t>
      </w:r>
      <w:r>
        <w:rPr/>
        <w:t>”项目（采购项目编号：</w:t>
      </w:r>
      <w:r>
        <w:rPr/>
        <w:t>0809-2341GDG12204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