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440001-2024-56637</w:t>
      </w:r>
    </w:p>
    <w:p>
      <w:pPr>
        <w:pStyle w:val="null3"/>
        <w:jc w:val="center"/>
        <w:outlineLvl w:val="3"/>
      </w:pPr>
      <w:r>
        <w:rPr>
          <w:sz w:val="24"/>
          <w:b/>
        </w:rPr>
        <w:t>采购项目编号：</w:t>
      </w:r>
      <w:r>
        <w:rPr>
          <w:sz w:val="24"/>
          <w:b/>
        </w:rPr>
        <w:t>0809-24411GDG102020201</w:t>
      </w:r>
    </w:p>
    <w:p>
      <w:pPr>
        <w:pStyle w:val="null3"/>
        <w:jc w:val="center"/>
        <w:outlineLvl w:val="3"/>
      </w:pPr>
      <w:r>
        <w:rPr>
          <w:sz w:val="24"/>
          <w:b/>
        </w:rPr>
        <w:t>项目名称：</w:t>
      </w:r>
      <w:r>
        <w:rPr>
          <w:sz w:val="24"/>
          <w:b/>
        </w:rPr>
        <w:t>华南师范大学南海校园学生公寓学生组合床采购</w:t>
      </w:r>
    </w:p>
    <w:p>
      <w:pPr>
        <w:pStyle w:val="null3"/>
        <w:jc w:val="center"/>
        <w:outlineLvl w:val="3"/>
      </w:pPr>
      <w:r>
        <w:rPr>
          <w:sz w:val="24"/>
          <w:b/>
        </w:rPr>
        <w:t>采购人：</w:t>
      </w:r>
      <w:r>
        <w:rPr>
          <w:sz w:val="24"/>
          <w:b/>
        </w:rPr>
        <w:t>华南师范大学</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广东华伦招标有限公司</w:t>
      </w:r>
      <w:r>
        <w:rPr/>
        <w:t>受</w:t>
      </w:r>
      <w:r>
        <w:rPr/>
        <w:t>华南师范大学</w:t>
      </w:r>
      <w:r>
        <w:rPr/>
        <w:t>的委托，采用</w:t>
      </w:r>
      <w:r>
        <w:rPr/>
        <w:t>公开招标</w:t>
      </w:r>
      <w:r>
        <w:rPr/>
        <w:t>方式组织采购</w:t>
      </w:r>
      <w:r>
        <w:rPr/>
        <w:t>华南师范大学南海校园学生公寓学生组合床采购</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华南师范大学南海校园学生公寓学生组合床采购</w:t>
      </w:r>
    </w:p>
    <w:p>
      <w:pPr>
        <w:pStyle w:val="null3"/>
        <w:ind w:firstLine="480"/>
      </w:pPr>
      <w:r>
        <w:rPr/>
        <w:t>采购计划编号：</w:t>
      </w:r>
      <w:r>
        <w:rPr/>
        <w:t>440001-2024-56637</w:t>
      </w:r>
    </w:p>
    <w:p>
      <w:pPr>
        <w:pStyle w:val="null3"/>
        <w:ind w:firstLine="480"/>
      </w:pPr>
      <w:r>
        <w:rPr/>
        <w:t>采购项目编号：</w:t>
      </w:r>
      <w:r>
        <w:rPr/>
        <w:t>0809-24411GDG102020201</w:t>
      </w:r>
    </w:p>
    <w:p>
      <w:pPr>
        <w:pStyle w:val="null3"/>
        <w:ind w:firstLine="480"/>
      </w:pPr>
      <w:r>
        <w:rPr/>
        <w:t>采购方式：</w:t>
      </w:r>
      <w:r>
        <w:rPr/>
        <w:t>公开招标</w:t>
      </w:r>
    </w:p>
    <w:p>
      <w:pPr>
        <w:pStyle w:val="null3"/>
        <w:ind w:firstLine="480"/>
      </w:pPr>
      <w:r>
        <w:rPr/>
        <w:t>预算金额：</w:t>
      </w:r>
      <w:r>
        <w:rPr/>
        <w:t>6,711,033.00</w:t>
      </w:r>
      <w:r>
        <w:rPr/>
        <w:t>元</w:t>
      </w:r>
    </w:p>
    <w:p>
      <w:pPr>
        <w:pStyle w:val="null3"/>
        <w:outlineLvl w:val="3"/>
      </w:pPr>
      <w:r>
        <w:rPr>
          <w:sz w:val="24"/>
          <w:b/>
        </w:rPr>
        <w:t>2.项目内容及需求情况（采购项目技术规格、参数及要求）</w:t>
      </w:r>
    </w:p>
    <w:p>
      <w:pPr>
        <w:pStyle w:val="null3"/>
      </w:pPr>
      <w:r>
        <w:rPr/>
        <w:t>采购包1(华南师范大学南海校园学生公寓学生组合床采购):</w:t>
      </w:r>
    </w:p>
    <w:p>
      <w:pPr>
        <w:pStyle w:val="null3"/>
      </w:pPr>
      <w:r>
        <w:rPr/>
        <w:t>采购包预算金额：6,711,033.00元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其他床类</w:t>
            </w:r>
          </w:p>
        </w:tc>
        <w:tc>
          <w:tcPr>
            <w:tcW w:type="dxa" w:w="2136"/>
          </w:tcPr>
          <w:p>
            <w:pPr>
              <w:pStyle w:val="null3"/>
            </w:pPr>
            <w:r>
              <w:rPr/>
              <w:t>学生组合床</w:t>
            </w:r>
          </w:p>
        </w:tc>
        <w:tc>
          <w:tcPr>
            <w:tcW w:type="dxa" w:w="1187"/>
          </w:tcPr>
          <w:p>
            <w:pPr>
              <w:pStyle w:val="null3"/>
            </w:pPr>
            <w:r>
              <w:rPr/>
              <w:t>3,063(套)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2025年2月17日前，完成1457套旧家具拆除、搬运（板材搬走、金属材质搬到指定位置，拆卸搬运费含在投标报价中）到学校指定位置及货物的生产、供货、安装及调试，并达到验收合格标准。2025年8月10日前，完成1606套旧家具拆除、搬运（板材搬走、金属材质搬到指定位置，拆卸搬运费含在投标报价中）到学校指定位置及货物的生产、供货、安装及调试，并达到验收合格标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2）有依法缴纳税收和社会保障资金的良好记录：提供投标截止日前12个月内任意1个月依法缴纳税收和社会保障资金的相关材料。如依法免税或不需要缴纳社会保障资金的，提供相应证明材料。</w:t>
      </w:r>
    </w:p>
    <w:p>
      <w:pPr>
        <w:pStyle w:val="null3"/>
      </w:pPr>
      <w:r>
        <w:rPr/>
        <w:t>3）具有良好的商业信誉和健全的财务会计制度：提供2023年度财务状况报告或基本开户行（或基本存款账户行）出具的资信证明，或最近一期财务报表（适用在上一年度或本财务年度成立的法人或其他组织），或人民银行出具的个人信用报告（适用于自然人）。</w:t>
      </w:r>
    </w:p>
    <w:p>
      <w:pPr>
        <w:pStyle w:val="null3"/>
      </w:pPr>
      <w:r>
        <w:rPr/>
        <w:t>4）履行合同所必需的设备和专业技术能力：提供承诺函（格式自拟）。</w:t>
      </w:r>
    </w:p>
    <w:p>
      <w:pPr>
        <w:pStyle w:val="null3"/>
      </w:pPr>
      <w:r>
        <w:rPr/>
        <w:t>5）参加采购活动前3年内，在经营活动中没有重大违法记录：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按投标（响应）文件格式和相关承诺要求内容提供《投标函》。</w:t>
      </w:r>
    </w:p>
    <w:p>
      <w:pPr>
        <w:pStyle w:val="null3"/>
        <w:outlineLvl w:val="3"/>
      </w:pPr>
      <w:r>
        <w:rPr>
          <w:sz w:val="24"/>
          <w:b/>
        </w:rPr>
        <w:t>2.落实政府采购政策需满足的资格要求：</w:t>
      </w:r>
    </w:p>
    <w:p>
      <w:pPr>
        <w:pStyle w:val="null3"/>
        <w:jc w:val="left"/>
      </w:pPr>
      <w:r>
        <w:rPr/>
        <w:t>采购包1（华南师范大学南海校园学生公寓学生组合床采购）：</w:t>
      </w:r>
      <w:r>
        <w:rPr/>
        <w:t>本项目整体预留专门面向中小企业，全部货物的制造商应为中小微企业。提供供应商出具的《中小企业声明函（货物）》，若货物制造商属于残疾人福利性单位或监狱企业的，还须提供货物制造商的《残疾人福利性单位声明函》或属于监狱企业的证明文件。格式见投标（响应）文件格式。</w:t>
      </w:r>
    </w:p>
    <w:p>
      <w:pPr>
        <w:pStyle w:val="null3"/>
        <w:outlineLvl w:val="3"/>
      </w:pPr>
      <w:r>
        <w:rPr>
          <w:sz w:val="24"/>
          <w:b/>
        </w:rPr>
        <w:t>3.本项目特定的资格要求：</w:t>
      </w:r>
    </w:p>
    <w:p>
      <w:pPr>
        <w:pStyle w:val="null3"/>
      </w:pPr>
      <w:r>
        <w:rPr/>
        <w:t>采购包1（华南师范大学南海校园学生公寓学生组合床采购）：</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记录名单”中的禁止参加政府采购活动期间。（以采购代理机构于投标（响应）截止时间当天在“信用中国”网站（www.creditchina.gov.cn）及中国政府采购网（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按投标（响应）文件格式和相关承诺要求内容提供《投标函》。</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广东华伦招标有限公司（https://www.gdhualun.com.cn/）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华南师范大学</w:t>
      </w:r>
    </w:p>
    <w:p>
      <w:pPr>
        <w:pStyle w:val="null3"/>
        <w:ind w:firstLine="480"/>
      </w:pPr>
      <w:r>
        <w:rPr/>
        <w:t xml:space="preserve"> 地址：</w:t>
      </w:r>
      <w:r>
        <w:rPr/>
        <w:t>广州市天河区中山大道西55号</w:t>
      </w:r>
    </w:p>
    <w:p>
      <w:pPr>
        <w:pStyle w:val="null3"/>
        <w:ind w:firstLine="480"/>
      </w:pPr>
      <w:r>
        <w:rPr/>
        <w:t xml:space="preserve"> 联系方式：</w:t>
      </w:r>
      <w:r>
        <w:rPr/>
        <w:t>020-85210853</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广东省广州市越秀区北京街道</w:t>
      </w:r>
    </w:p>
    <w:p>
      <w:pPr>
        <w:pStyle w:val="null3"/>
        <w:ind w:firstLine="480"/>
      </w:pPr>
      <w:r>
        <w:rPr/>
        <w:t xml:space="preserve"> 联系方式：</w:t>
      </w:r>
      <w:r>
        <w:rPr/>
        <w:t>020-83172166</w:t>
      </w:r>
    </w:p>
    <w:p>
      <w:pPr>
        <w:pStyle w:val="null3"/>
        <w:outlineLvl w:val="3"/>
      </w:pPr>
      <w:r>
        <w:rPr>
          <w:sz w:val="24"/>
          <w:b/>
        </w:rPr>
        <w:t xml:space="preserve"> 3.项目联系方式</w:t>
      </w:r>
    </w:p>
    <w:p>
      <w:pPr>
        <w:pStyle w:val="null3"/>
        <w:ind w:firstLine="480"/>
      </w:pPr>
      <w:r>
        <w:rPr/>
        <w:t xml:space="preserve"> 项目联系人：</w:t>
      </w:r>
      <w:r>
        <w:rPr/>
        <w:t>广东华伦</w:t>
      </w:r>
    </w:p>
    <w:p>
      <w:pPr>
        <w:pStyle w:val="null3"/>
        <w:ind w:firstLine="480"/>
      </w:pPr>
      <w:r>
        <w:rPr/>
        <w:t xml:space="preserve"> 电话：</w:t>
      </w:r>
      <w:r>
        <w:rPr/>
        <w:t>020-83172166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color w:val="000000"/>
        </w:rPr>
        <w:t>（一）有关说明</w:t>
      </w:r>
    </w:p>
    <w:p>
      <w:pPr>
        <w:pStyle w:val="null3"/>
        <w:ind w:firstLine="380"/>
        <w:jc w:val="both"/>
      </w:pPr>
      <w:r>
        <w:rPr>
          <w:sz w:val="21"/>
          <w:color w:val="000000"/>
        </w:rPr>
        <w:t>1、项目名称：</w:t>
      </w:r>
      <w:r>
        <w:rPr>
          <w:sz w:val="21"/>
          <w:color w:val="000000"/>
        </w:rPr>
        <w:t>华南师范大学南海校园学生公寓学生组合床采购</w:t>
      </w:r>
      <w:r>
        <w:rPr>
          <w:sz w:val="21"/>
          <w:color w:val="000000"/>
        </w:rPr>
        <w:t>。</w:t>
      </w:r>
    </w:p>
    <w:p>
      <w:pPr>
        <w:pStyle w:val="null3"/>
        <w:ind w:firstLine="380"/>
        <w:jc w:val="both"/>
      </w:pPr>
      <w:r>
        <w:rPr>
          <w:sz w:val="21"/>
          <w:color w:val="000000"/>
        </w:rPr>
        <w:t>2、项目属性：本项目为货物类政府采购项目。</w:t>
      </w:r>
    </w:p>
    <w:p>
      <w:pPr>
        <w:pStyle w:val="null3"/>
        <w:ind w:firstLine="380"/>
        <w:jc w:val="both"/>
      </w:pPr>
      <w:r>
        <w:rPr>
          <w:sz w:val="21"/>
          <w:color w:val="000000"/>
        </w:rPr>
        <w:t>3、根据《关于印发中小企业划型标准规定的通知》（工信部联企业〔2011〕300号）规定，本项目采购标的对应的中小企业划分标准所属行业为：</w:t>
      </w:r>
      <w:r>
        <w:rPr>
          <w:sz w:val="21"/>
          <w:b/>
          <w:color w:val="000000"/>
          <w:u w:val="single"/>
        </w:rPr>
        <w:t>工业</w:t>
      </w:r>
      <w:r>
        <w:rPr>
          <w:sz w:val="21"/>
          <w:color w:val="000000"/>
        </w:rPr>
        <w:t>。</w:t>
      </w:r>
    </w:p>
    <w:p>
      <w:pPr>
        <w:pStyle w:val="null3"/>
        <w:ind w:firstLine="380"/>
        <w:jc w:val="both"/>
      </w:pPr>
      <w:r>
        <w:rPr>
          <w:sz w:val="21"/>
          <w:color w:val="000000"/>
        </w:rPr>
        <w:t>4</w:t>
      </w:r>
      <w:r>
        <w:rPr>
          <w:sz w:val="21"/>
          <w:color w:val="000000"/>
        </w:rPr>
        <w:t>、投标人必须对本项目的所有采购内容或服务进行整体响应，任何只对其中部分内容进行响应都被视为无效投标。</w:t>
      </w:r>
    </w:p>
    <w:p>
      <w:pPr>
        <w:pStyle w:val="null3"/>
        <w:ind w:firstLine="380"/>
        <w:jc w:val="both"/>
      </w:pPr>
      <w:r>
        <w:rPr>
          <w:sz w:val="21"/>
          <w:color w:val="000000"/>
        </w:rPr>
        <w:t>5</w:t>
      </w:r>
      <w:r>
        <w:rPr>
          <w:sz w:val="21"/>
          <w:color w:val="000000"/>
        </w:rPr>
        <w:t>、需求书中加注</w:t>
      </w:r>
      <w:r>
        <w:rPr>
          <w:sz w:val="21"/>
          <w:color w:val="000000"/>
        </w:rPr>
        <w:t>“★”的条款均被视为不可偏离条款，投标人要特别加以注意，必须对此响应并完全满足或优于这些条款，否则若有一项加注“★”的条款未响应或不满足，投标都将被视为无效投标。打“▲”号条款为重要条款（如有），若有部分“▲”条款未响应或不满足，将根据评审要求影响其得分，但不作为无效投标条款。</w:t>
      </w:r>
    </w:p>
    <w:p>
      <w:pPr>
        <w:pStyle w:val="null3"/>
        <w:ind w:firstLine="380"/>
        <w:jc w:val="both"/>
      </w:pPr>
      <w:r>
        <w:rPr>
          <w:sz w:val="21"/>
          <w:color w:val="000000"/>
        </w:rPr>
        <w:t>6</w:t>
      </w:r>
      <w:r>
        <w:rPr>
          <w:sz w:val="21"/>
          <w:color w:val="000000"/>
        </w:rPr>
        <w:t>、需要落实的政府采购政策：《政府采购促进中小企业发展管理办法》的通知（财库〔</w:t>
      </w:r>
      <w:r>
        <w:rPr>
          <w:sz w:val="21"/>
          <w:color w:val="000000"/>
        </w:rPr>
        <w:t>2020〕46号）、《关于政府采购支持监狱企业发展有关问题的通知》（财库〔2014〕68号）、《关于促进残疾人就业政府采购政策的通知》（财库〔2017〕141号）、《关于调整优化节能产品、环境标志产品政府采购执行机制的通知》（财库〔2019〕9号）、《关于印发节能产品政府采购品目清单的通知》（财库〔2019〕19号）、《关于印发环境标志产品政府采购品目清单的通知》（财库〔2019〕18号）、《商品包装政府采购需求标准（试行）》及《快递包装政府采购需求标准（试行）》（财办库〔2020〕123号）等。</w:t>
      </w:r>
    </w:p>
    <w:p>
      <w:pPr>
        <w:pStyle w:val="null3"/>
        <w:ind w:firstLine="380"/>
        <w:jc w:val="both"/>
      </w:pPr>
      <w:r>
        <w:rPr>
          <w:sz w:val="21"/>
          <w:color w:val="000000"/>
        </w:rPr>
        <w:t>7</w:t>
      </w:r>
      <w:r>
        <w:rPr>
          <w:sz w:val="21"/>
          <w:color w:val="000000"/>
        </w:rPr>
        <w:t>、节能产品的优先采购和强制采购以财政部、发展改革委、生态环境部等部门公布的最新《节能产品政府采购品目清单》中所列产品及相关规定为准。属于《节能产品政府采购品目清单》范围产品类别的，投标人应填写《政策适用性说明》（见投标（响应）文件格式）明确列明具体产品的名称并提交相关证明材料。证明材料包括：</w:t>
      </w:r>
      <w:r>
        <w:rPr>
          <w:sz w:val="21"/>
          <w:color w:val="000000"/>
        </w:rPr>
        <w:t>①该产品属于《节能产品政府采购品目清单》范围的相关内容页，并对相关内容作圈记；②市场监管总局公布的参与实施政府采购节能产品认证机构名录截图；③该产品获得的由国家确定的认证机构出具的、处于有效期之内的节能产品认证证书，作为评审的依据。投标人可查询中国政府采购网（网址www.ccgp.gov.cn）了解《节能产品政府采购品目清单》，属于《节能产品政府采购品目清单》范围中政府强制采购产品类别的，为实质性条款，若有负偏离或不满足则导致投标（响应）无效。强制采购节能产品在价格评审中不作价格扣除。</w:t>
      </w:r>
    </w:p>
    <w:p>
      <w:pPr>
        <w:pStyle w:val="null3"/>
        <w:ind w:firstLine="380"/>
        <w:jc w:val="both"/>
      </w:pPr>
      <w:r>
        <w:rPr>
          <w:sz w:val="21"/>
          <w:color w:val="000000"/>
        </w:rPr>
        <w:t>8</w:t>
      </w:r>
      <w:r>
        <w:rPr>
          <w:sz w:val="21"/>
          <w:color w:val="000000"/>
        </w:rPr>
        <w:t>、环境标志产品采购以财政部、发展改革委、生态环境部等部门公布的最新《环境标志产品政府采购品目清单》中所列产品及相关规定为准，属于《环境标志产品政府采购品目清单》范围产品类别的，投标人应填写《政策适用性说明》（见投标（响应）文件格式）明确列明具体产品的名称并提交相关证明材料。证明材料包括：</w:t>
      </w:r>
      <w:r>
        <w:rPr>
          <w:sz w:val="21"/>
          <w:color w:val="000000"/>
        </w:rPr>
        <w:t>①该产品属于《环境标志产品政府采购品目清单》范围的相关内容页，并对相关内容作圈记；②市场监管总局公布的参与实施政府采购环境标志产品认证机构名录截图；③该产品获得的由国家确定的认证机构出具的、处于有效期之内的环境标志产品认证证书），作为评审的依据。投标人可查询中国政府采购网（网址http://www.ccgp.gov.cn）了解《环境标志产品政府采购品目清单》。</w:t>
      </w:r>
    </w:p>
    <w:p>
      <w:pPr>
        <w:pStyle w:val="null3"/>
        <w:ind w:firstLine="380"/>
        <w:jc w:val="both"/>
      </w:pPr>
      <w:r>
        <w:rPr>
          <w:sz w:val="21"/>
          <w:color w:val="000000"/>
        </w:rPr>
        <w:t>9</w:t>
      </w:r>
      <w:r>
        <w:rPr>
          <w:sz w:val="21"/>
          <w:color w:val="000000"/>
        </w:rPr>
        <w:t>、本项目的采购预算</w:t>
      </w:r>
      <w:r>
        <w:rPr>
          <w:sz w:val="21"/>
          <w:color w:val="000000"/>
        </w:rPr>
        <w:t>/最高限价为人民币</w:t>
      </w:r>
      <w:r>
        <w:rPr>
          <w:sz w:val="21"/>
          <w:color w:val="000000"/>
        </w:rPr>
        <w:t>671</w:t>
      </w:r>
      <w:r>
        <w:rPr>
          <w:sz w:val="21"/>
          <w:color w:val="000000"/>
        </w:rPr>
        <w:t>.</w:t>
      </w:r>
      <w:r>
        <w:rPr>
          <w:sz w:val="21"/>
          <w:color w:val="000000"/>
        </w:rPr>
        <w:t>1033</w:t>
      </w:r>
      <w:r>
        <w:rPr>
          <w:sz w:val="21"/>
          <w:color w:val="000000"/>
        </w:rPr>
        <w:t>万元。投标人的投标（响应）报价（含单项</w:t>
      </w:r>
      <w:r>
        <w:rPr>
          <w:sz w:val="21"/>
          <w:color w:val="000000"/>
        </w:rPr>
        <w:t>/单价报价，如有要求）确定且未超过采购文件中相应的预算金额或者最高限价，否则作无效投标处理。</w:t>
      </w:r>
    </w:p>
    <w:p>
      <w:pPr>
        <w:pStyle w:val="null3"/>
        <w:ind w:firstLine="380"/>
        <w:jc w:val="both"/>
      </w:pPr>
      <w:r>
        <w:rPr>
          <w:sz w:val="21"/>
          <w:color w:val="000000"/>
        </w:rPr>
        <w:t>1</w:t>
      </w:r>
      <w:r>
        <w:rPr>
          <w:sz w:val="21"/>
          <w:color w:val="000000"/>
        </w:rPr>
        <w:t>0</w:t>
      </w:r>
      <w:r>
        <w:rPr>
          <w:sz w:val="21"/>
          <w:color w:val="000000"/>
        </w:rPr>
        <w:t>、投标报价为按照合同约定完成合同全部义务后所适用的总价格，包括但不限于货物（含备品备件）及</w:t>
      </w:r>
      <w:r>
        <w:rPr>
          <w:sz w:val="21"/>
          <w:color w:val="000000"/>
        </w:rPr>
        <w:t>25</w:t>
      </w:r>
      <w:r>
        <w:rPr>
          <w:sz w:val="21"/>
          <w:color w:val="000000"/>
        </w:rPr>
        <w:t>套特殊人群（已包含在</w:t>
      </w:r>
      <w:r>
        <w:rPr>
          <w:sz w:val="21"/>
          <w:color w:val="000000"/>
        </w:rPr>
        <w:t>3063</w:t>
      </w:r>
      <w:r>
        <w:rPr>
          <w:sz w:val="21"/>
          <w:color w:val="000000"/>
        </w:rPr>
        <w:t>套内</w:t>
      </w:r>
      <w:r>
        <w:rPr>
          <w:sz w:val="21"/>
          <w:color w:val="000000"/>
        </w:rPr>
        <w:t>，</w:t>
      </w:r>
      <w:r>
        <w:rPr>
          <w:sz w:val="21"/>
          <w:color w:val="000000"/>
        </w:rPr>
        <w:t>其中</w:t>
      </w:r>
      <w:r>
        <w:rPr>
          <w:sz w:val="21"/>
          <w:color w:val="000000"/>
        </w:rPr>
        <w:t>10套于2025年2月17日前提供，另外15套于2025年8月10日前提供</w:t>
      </w:r>
      <w:r>
        <w:rPr>
          <w:sz w:val="21"/>
          <w:color w:val="000000"/>
        </w:rPr>
        <w:t>）加长款改造家具的设计、制造、改造、包装、仓储、运输、保险、货物运输保险费、装卸费、安装、调试、试运行、验收、培训、技术服务（包括技术资料、图纸的提供）、质保期保障服务等的全部含税费用。除本合同明确约定的费用外，采购人无需支付任何额外费用和承担任何额外义务。</w:t>
      </w:r>
    </w:p>
    <w:p>
      <w:pPr>
        <w:pStyle w:val="null3"/>
        <w:ind w:firstLine="380"/>
        <w:jc w:val="both"/>
      </w:pPr>
      <w:r>
        <w:rPr>
          <w:sz w:val="21"/>
          <w:b/>
          <w:color w:val="000000"/>
        </w:rPr>
        <w:t>1</w:t>
      </w:r>
      <w:r>
        <w:rPr>
          <w:sz w:val="21"/>
          <w:b/>
          <w:color w:val="000000"/>
        </w:rPr>
        <w:t>1</w:t>
      </w:r>
      <w:r>
        <w:rPr>
          <w:sz w:val="21"/>
          <w:b/>
          <w:color w:val="000000"/>
        </w:rPr>
        <w:t>、《采购需求》主要商务要求中的</w:t>
      </w:r>
      <w:r>
        <w:rPr>
          <w:sz w:val="21"/>
          <w:b/>
          <w:color w:val="000000"/>
        </w:rPr>
        <w:t>“标的提供的时间”、“标的提供的地点”、“付款方式”、“验收要求”、“履约保证金”、“其他：</w:t>
      </w:r>
      <w:r>
        <w:rPr>
          <w:sz w:val="21"/>
          <w:b/>
          <w:color w:val="000000"/>
        </w:rPr>
        <w:t>（二）</w:t>
      </w:r>
      <w:r>
        <w:rPr>
          <w:sz w:val="21"/>
          <w:b/>
          <w:color w:val="000000"/>
        </w:rPr>
        <w:t>投标报价</w:t>
      </w:r>
      <w:r>
        <w:rPr>
          <w:sz w:val="21"/>
          <w:b/>
          <w:color w:val="000000"/>
        </w:rPr>
        <w:t>”均为实质性条款，投标人须对此响应并完全满足或优于这些条款，否则将被视为无效投标。</w:t>
      </w:r>
    </w:p>
    <w:p>
      <w:pPr>
        <w:pStyle w:val="null3"/>
        <w:ind w:firstLine="380"/>
        <w:jc w:val="both"/>
      </w:pPr>
      <w:r>
        <w:rPr>
          <w:sz w:val="21"/>
          <w:b/>
          <w:color w:val="000000"/>
        </w:rPr>
        <w:t>1</w:t>
      </w:r>
      <w:r>
        <w:rPr>
          <w:sz w:val="21"/>
          <w:b/>
          <w:color w:val="000000"/>
        </w:rPr>
        <w:t>2</w:t>
      </w:r>
      <w:r>
        <w:rPr>
          <w:sz w:val="21"/>
          <w:b/>
          <w:color w:val="000000"/>
        </w:rPr>
        <w:t>、提供有关证明材料的提醒：</w:t>
      </w:r>
    </w:p>
    <w:p>
      <w:pPr>
        <w:pStyle w:val="null3"/>
        <w:ind w:firstLine="380"/>
        <w:jc w:val="both"/>
      </w:pPr>
      <w:r>
        <w:rPr>
          <w:sz w:val="21"/>
          <w:color w:val="000000"/>
        </w:rPr>
        <w:t>填写《中小企业声明函》时，请注意：</w:t>
      </w:r>
    </w:p>
    <w:p>
      <w:pPr>
        <w:pStyle w:val="null3"/>
        <w:ind w:firstLine="380"/>
        <w:jc w:val="both"/>
      </w:pPr>
      <w:r>
        <w:rPr>
          <w:sz w:val="21"/>
          <w:color w:val="000000"/>
        </w:rPr>
        <w:t>①“</w:t>
      </w:r>
      <w:r>
        <w:rPr>
          <w:sz w:val="21"/>
          <w:b/>
          <w:color w:val="000000"/>
        </w:rPr>
        <w:t>单位名称</w:t>
      </w:r>
      <w:r>
        <w:rPr>
          <w:sz w:val="21"/>
          <w:color w:val="000000"/>
        </w:rPr>
        <w:t>”：指本项目采购人单位名称全称；</w:t>
      </w:r>
    </w:p>
    <w:p>
      <w:pPr>
        <w:pStyle w:val="null3"/>
        <w:ind w:firstLine="380"/>
        <w:jc w:val="both"/>
      </w:pPr>
      <w:r>
        <w:rPr>
          <w:sz w:val="21"/>
          <w:color w:val="000000"/>
        </w:rPr>
        <w:t>②“</w:t>
      </w:r>
      <w:r>
        <w:rPr>
          <w:sz w:val="21"/>
          <w:b/>
          <w:color w:val="000000"/>
        </w:rPr>
        <w:t>项目名称</w:t>
      </w:r>
      <w:r>
        <w:rPr>
          <w:sz w:val="21"/>
          <w:color w:val="000000"/>
        </w:rPr>
        <w:t>”：指本项目的项目名称；</w:t>
      </w:r>
    </w:p>
    <w:p>
      <w:pPr>
        <w:pStyle w:val="null3"/>
        <w:ind w:firstLine="380"/>
        <w:jc w:val="both"/>
      </w:pPr>
      <w:r>
        <w:rPr>
          <w:sz w:val="21"/>
          <w:color w:val="000000"/>
        </w:rPr>
        <w:t>③“</w:t>
      </w:r>
      <w:r>
        <w:rPr>
          <w:sz w:val="21"/>
          <w:b/>
          <w:color w:val="000000"/>
        </w:rPr>
        <w:t>标的名称</w:t>
      </w:r>
      <w:r>
        <w:rPr>
          <w:sz w:val="21"/>
          <w:color w:val="000000"/>
        </w:rPr>
        <w:t>”：指本项目对应采购包的“采购标的”；（详见本项目采购文件“第二部分 采购需求”中“2.技术标准与要求”下“标的名称”）</w:t>
      </w:r>
    </w:p>
    <w:p>
      <w:pPr>
        <w:pStyle w:val="null3"/>
        <w:ind w:firstLine="380"/>
        <w:jc w:val="both"/>
      </w:pPr>
      <w:r>
        <w:rPr>
          <w:sz w:val="21"/>
          <w:color w:val="000000"/>
        </w:rPr>
        <w:t>④</w:t>
      </w:r>
      <w:r>
        <w:rPr>
          <w:sz w:val="21"/>
          <w:color w:val="000000"/>
        </w:rPr>
        <w:t>正文中的</w:t>
      </w:r>
      <w:r>
        <w:rPr>
          <w:sz w:val="21"/>
          <w:color w:val="000000"/>
        </w:rPr>
        <w:t>“</w:t>
      </w:r>
      <w:r>
        <w:rPr>
          <w:sz w:val="21"/>
          <w:b/>
          <w:color w:val="000000"/>
        </w:rPr>
        <w:t>企业名称</w:t>
      </w:r>
      <w:r>
        <w:rPr>
          <w:sz w:val="21"/>
          <w:color w:val="000000"/>
        </w:rPr>
        <w:t>”：指承接本项目的单位（服务类项目，指投标人；货物类项目，指所投产品制造商）</w:t>
      </w:r>
      <w:r>
        <w:rPr>
          <w:sz w:val="21"/>
          <w:color w:val="000000"/>
        </w:rPr>
        <w:t>；落款的</w:t>
      </w:r>
      <w:r>
        <w:rPr>
          <w:sz w:val="21"/>
          <w:color w:val="000000"/>
        </w:rPr>
        <w:t>“企业名称”（盖章）指投标（响应）供应商。</w:t>
      </w:r>
    </w:p>
    <w:p>
      <w:pPr>
        <w:pStyle w:val="null3"/>
        <w:ind w:firstLine="380"/>
        <w:jc w:val="both"/>
      </w:pPr>
      <w:r>
        <w:rPr>
          <w:sz w:val="21"/>
          <w:color w:val="000000"/>
        </w:rPr>
        <w:t>13、投标人根据本项目的采购需求，在投标文件中提供安装与调试方案（包括但不限于：①安装与调试的方案②调试场地内的货物、设施的保护措施）、培训方案（包括但不限于：①培训内容的设置②培训课程和培训时间的安排③培训人员安排等）、售后服务方案（包括但不限于：①投标人上门保修服务计划②产品退换货方案③修理、更换零部件或退换）。</w:t>
      </w:r>
    </w:p>
    <w:p>
      <w:pPr>
        <w:pStyle w:val="null3"/>
        <w:ind w:firstLine="380"/>
        <w:jc w:val="both"/>
      </w:pPr>
      <w:r>
        <w:rPr>
          <w:sz w:val="21"/>
          <w:b/>
          <w:color w:val="000000"/>
        </w:rPr>
        <w:t>（二）项目整体要求</w:t>
      </w:r>
    </w:p>
    <w:p>
      <w:pPr>
        <w:pStyle w:val="null3"/>
        <w:ind w:firstLine="380"/>
        <w:jc w:val="both"/>
      </w:pPr>
      <w:r>
        <w:rPr>
          <w:sz w:val="21"/>
          <w:color w:val="000000"/>
        </w:rPr>
        <w:t>本项目拟采购、安装学生宿舍组合家具床（含桌椅柜）</w:t>
      </w:r>
      <w:r>
        <w:rPr>
          <w:sz w:val="21"/>
          <w:color w:val="000000"/>
        </w:rPr>
        <w:t>3063</w:t>
      </w:r>
      <w:r>
        <w:rPr>
          <w:sz w:val="21"/>
          <w:color w:val="000000"/>
        </w:rPr>
        <w:t>套，以满足华南师范大学南海校园</w:t>
      </w:r>
      <w:r>
        <w:rPr>
          <w:sz w:val="21"/>
          <w:color w:val="000000"/>
        </w:rPr>
        <w:t>3063</w:t>
      </w:r>
      <w:r>
        <w:rPr>
          <w:sz w:val="21"/>
          <w:color w:val="000000"/>
        </w:rPr>
        <w:t>名学生入住，包含旧家具拆卸到校内指定地点，要求如下：</w:t>
      </w:r>
    </w:p>
    <w:tbl>
      <w:tblPr>
        <w:tblW w:w="0" w:type="auto"/>
        <w:tblBorders>
          <w:top w:val="none" w:color="000000" w:sz="4"/>
          <w:left w:val="none" w:color="000000" w:sz="4"/>
          <w:bottom w:val="none" w:color="000000" w:sz="4"/>
          <w:right w:val="none" w:color="000000" w:sz="4"/>
          <w:insideH w:val="none"/>
          <w:insideV w:val="none"/>
        </w:tblBorders>
      </w:tblPr>
      <w:tblGrid>
        <w:gridCol w:w="1088"/>
        <w:gridCol w:w="2276"/>
        <w:gridCol w:w="1311"/>
        <w:gridCol w:w="2590"/>
        <w:gridCol w:w="987"/>
      </w:tblGrid>
      <w:tr>
        <w:tc>
          <w:tcPr>
            <w:tcW w:type="dxa" w:w="10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采购项目名称</w:t>
            </w:r>
          </w:p>
        </w:tc>
        <w:tc>
          <w:tcPr>
            <w:tcW w:type="dxa" w:w="2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采购需求概况</w:t>
            </w:r>
          </w:p>
        </w:tc>
        <w:tc>
          <w:tcPr>
            <w:tcW w:type="dxa" w:w="390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w:t>
            </w:r>
          </w:p>
        </w:tc>
        <w:tc>
          <w:tcPr>
            <w:tcW w:type="dxa" w:w="9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华南师范大学南海校园学生公寓学生组合床采购</w:t>
            </w:r>
          </w:p>
        </w:tc>
        <w:tc>
          <w:tcPr>
            <w:tcW w:type="dxa" w:w="2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主要功能或目标：采购安装学生组合家具（含组合书桌柜、衣柜、椅子），共需满足</w:t>
            </w:r>
            <w:r>
              <w:rPr>
                <w:sz w:val="21"/>
              </w:rPr>
              <w:t>3063</w:t>
            </w:r>
            <w:r>
              <w:rPr>
                <w:sz w:val="21"/>
              </w:rPr>
              <w:t>个学生床位，包含旧家具拆卸并运到校内指定地点。</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学生公寓单人位学生组合床（含组合书桌柜、衣柜和椅子）</w:t>
            </w:r>
          </w:p>
        </w:tc>
        <w:tc>
          <w:tcPr>
            <w:tcW w:type="dxa" w:w="2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组合床：</w:t>
            </w:r>
            <w:r>
              <w:rPr>
                <w:sz w:val="21"/>
              </w:rPr>
              <w:t>2000*920*2100mm</w:t>
            </w:r>
          </w:p>
          <w:p>
            <w:pPr>
              <w:pStyle w:val="null3"/>
              <w:ind w:firstLine="210"/>
              <w:jc w:val="both"/>
            </w:pPr>
            <w:r>
              <w:rPr>
                <w:sz w:val="21"/>
              </w:rPr>
              <w:t>椅子：</w:t>
            </w:r>
            <w:r>
              <w:rPr>
                <w:sz w:val="21"/>
              </w:rPr>
              <w:t>380*370*750mm</w:t>
            </w:r>
          </w:p>
        </w:tc>
        <w:tc>
          <w:tcPr>
            <w:tcW w:type="dxa" w:w="9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3063</w:t>
            </w:r>
            <w:r>
              <w:rPr>
                <w:sz w:val="21"/>
              </w:rPr>
              <w:t>套</w:t>
            </w:r>
          </w:p>
        </w:tc>
      </w:tr>
    </w:tbl>
    <w:p>
      <w:pPr>
        <w:pStyle w:val="null3"/>
        <w:ind w:firstLine="380"/>
        <w:jc w:val="both"/>
      </w:pPr>
      <w:r>
        <w:rPr>
          <w:sz w:val="21"/>
          <w:color w:val="000000"/>
        </w:rPr>
        <w:t>注：本项目技术（参数）中，凡涉及规格尺寸的，均为约数，准确数值以中标人现场复核后，报经采购人核准的结果为准。</w:t>
      </w:r>
    </w:p>
    <w:p>
      <w:pPr>
        <w:pStyle w:val="null3"/>
        <w:ind w:firstLine="380"/>
        <w:jc w:val="both"/>
      </w:pPr>
      <w:r>
        <w:rPr>
          <w:sz w:val="21"/>
          <w:b/>
          <w:color w:val="000000"/>
        </w:rPr>
        <w:t>（三）样品要求</w:t>
      </w:r>
    </w:p>
    <w:p>
      <w:pPr>
        <w:pStyle w:val="null3"/>
        <w:ind w:firstLine="380"/>
        <w:jc w:val="both"/>
      </w:pPr>
      <w:r>
        <w:rPr>
          <w:sz w:val="21"/>
          <w:color w:val="000000"/>
        </w:rPr>
        <w:t>1.投标人按招标文件中技术参数要求制作实物样品（上床下桌款式床位及其配套桌、柜、椅子）一套，材质、尺寸应符合招标文件技术参数的要求</w:t>
      </w:r>
      <w:r>
        <w:rPr>
          <w:sz w:val="21"/>
          <w:color w:val="000000"/>
        </w:rPr>
        <w:t>，</w:t>
      </w:r>
      <w:r>
        <w:rPr>
          <w:sz w:val="21"/>
          <w:color w:val="000000"/>
        </w:rPr>
        <w:t>组合书桌柜及衣柜的颜色在生产前经采购人确认后方可进行生产</w:t>
      </w:r>
      <w:r>
        <w:rPr>
          <w:sz w:val="21"/>
          <w:color w:val="000000"/>
        </w:rPr>
        <w:t>。</w:t>
      </w:r>
    </w:p>
    <w:p>
      <w:pPr>
        <w:pStyle w:val="null3"/>
        <w:ind w:firstLine="380"/>
        <w:jc w:val="both"/>
      </w:pPr>
      <w:r>
        <w:rPr>
          <w:sz w:val="21"/>
          <w:color w:val="000000"/>
        </w:rPr>
        <w:t>2.提供以下主要材质（带截面）的小样样板：</w:t>
      </w:r>
    </w:p>
    <w:tbl>
      <w:tblPr>
        <w:tblW w:w="0" w:type="auto"/>
        <w:tblBorders>
          <w:top w:val="none" w:color="000000" w:sz="4"/>
          <w:left w:val="none" w:color="000000" w:sz="4"/>
          <w:bottom w:val="none" w:color="000000" w:sz="4"/>
          <w:right w:val="none" w:color="000000" w:sz="4"/>
          <w:insideH w:val="none"/>
          <w:insideV w:val="none"/>
        </w:tblBorders>
      </w:tblPr>
      <w:tblGrid>
        <w:gridCol w:w="1465"/>
        <w:gridCol w:w="4299"/>
        <w:gridCol w:w="1140"/>
        <w:gridCol w:w="1296"/>
      </w:tblGrid>
      <w:tr>
        <w:tc>
          <w:tcPr>
            <w:tcW w:type="dxa" w:w="1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样品名称</w:t>
            </w:r>
          </w:p>
        </w:tc>
        <w:tc>
          <w:tcPr>
            <w:tcW w:type="dxa" w:w="42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参考</w:t>
            </w:r>
            <w:r>
              <w:rPr>
                <w:sz w:val="21"/>
              </w:rPr>
              <w:t>规格</w:t>
            </w:r>
          </w:p>
        </w:tc>
        <w:tc>
          <w:tcPr>
            <w:tcW w:type="dxa" w:w="1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2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要求</w:t>
            </w:r>
          </w:p>
        </w:tc>
      </w:tr>
      <w:tr>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基材部分</w:t>
            </w:r>
          </w:p>
        </w:tc>
        <w:tc>
          <w:tcPr>
            <w:tcW w:type="dxa" w:w="4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100×200×30mm 中空吹塑桌面板；</w:t>
            </w:r>
          </w:p>
          <w:p>
            <w:pPr>
              <w:pStyle w:val="null3"/>
              <w:jc w:val="center"/>
            </w:pPr>
            <w:r>
              <w:rPr>
                <w:sz w:val="21"/>
              </w:rPr>
              <w:t>100×200×18mm 杉木床板；</w:t>
            </w:r>
          </w:p>
          <w:p>
            <w:pPr>
              <w:pStyle w:val="null3"/>
              <w:jc w:val="center"/>
            </w:pPr>
            <w:r>
              <w:rPr>
                <w:sz w:val="21"/>
              </w:rPr>
              <w:t>100×200×12mm 学生椅面板；</w:t>
            </w:r>
          </w:p>
          <w:p>
            <w:pPr>
              <w:pStyle w:val="null3"/>
              <w:jc w:val="center"/>
            </w:pPr>
            <w:r>
              <w:rPr>
                <w:sz w:val="21"/>
              </w:rPr>
              <w:t>100×200×1.2mm 异形边立柱镀锌冷轧钢板；</w:t>
            </w:r>
          </w:p>
          <w:p>
            <w:pPr>
              <w:pStyle w:val="null3"/>
              <w:jc w:val="center"/>
            </w:pPr>
            <w:r>
              <w:rPr>
                <w:sz w:val="21"/>
              </w:rPr>
              <w:t>100×200×1.2mm 衣柜冷轧钢板；</w:t>
            </w:r>
          </w:p>
        </w:tc>
        <w:tc>
          <w:tcPr>
            <w:tcW w:type="dxa" w:w="11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每件小样样品提供数量为</w:t>
            </w:r>
            <w:r>
              <w:rPr>
                <w:sz w:val="21"/>
              </w:rPr>
              <w:t>1件</w:t>
            </w:r>
          </w:p>
        </w:tc>
        <w:tc>
          <w:tcPr>
            <w:tcW w:type="dxa" w:w="1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满足技术标准与要求中技术参数要求</w:t>
            </w:r>
          </w:p>
        </w:tc>
      </w:tr>
      <w:tr>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钢管部分</w:t>
            </w:r>
          </w:p>
        </w:tc>
        <w:tc>
          <w:tcPr>
            <w:tcW w:type="dxa" w:w="4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65×65×1.2mm异形管；</w:t>
            </w:r>
          </w:p>
          <w:p>
            <w:pPr>
              <w:pStyle w:val="null3"/>
              <w:jc w:val="center"/>
            </w:pPr>
            <w:r>
              <w:rPr>
                <w:sz w:val="21"/>
              </w:rPr>
              <w:t>90×40×1.2mm异形管；</w:t>
            </w:r>
          </w:p>
          <w:p>
            <w:pPr>
              <w:pStyle w:val="null3"/>
              <w:jc w:val="center"/>
            </w:pPr>
            <w:r>
              <w:rPr>
                <w:sz w:val="21"/>
              </w:rPr>
              <w:t>60×27×1.1mm异形管；</w:t>
            </w:r>
          </w:p>
          <w:p>
            <w:pPr>
              <w:pStyle w:val="null3"/>
              <w:jc w:val="center"/>
            </w:pPr>
            <w:r>
              <w:rPr>
                <w:sz w:val="21"/>
              </w:rPr>
              <w:t>30×30×1.2mm 方管；</w:t>
            </w:r>
          </w:p>
          <w:p>
            <w:pPr>
              <w:pStyle w:val="null3"/>
              <w:jc w:val="center"/>
            </w:pPr>
            <w:r>
              <w:rPr>
                <w:sz w:val="21"/>
              </w:rPr>
              <w:t>20×20×1.0mm 方管；</w:t>
            </w:r>
          </w:p>
          <w:p>
            <w:pPr>
              <w:pStyle w:val="null3"/>
              <w:jc w:val="center"/>
            </w:pPr>
            <w:r>
              <w:rPr>
                <w:sz w:val="21"/>
              </w:rPr>
              <w:t>φ25×1.0mm圆管；</w:t>
            </w:r>
          </w:p>
          <w:p>
            <w:pPr>
              <w:pStyle w:val="null3"/>
              <w:jc w:val="center"/>
            </w:pPr>
            <w:r>
              <w:rPr>
                <w:sz w:val="21"/>
              </w:rPr>
              <w:t>φ22×1.0mm圆管；</w:t>
            </w:r>
          </w:p>
          <w:p>
            <w:pPr>
              <w:pStyle w:val="null3"/>
              <w:jc w:val="center"/>
            </w:pPr>
            <w:r>
              <w:rPr>
                <w:sz w:val="21"/>
              </w:rPr>
              <w:t>φ16×1.0mm圆管；</w:t>
            </w:r>
          </w:p>
          <w:p>
            <w:pPr>
              <w:pStyle w:val="null3"/>
              <w:jc w:val="center"/>
            </w:pPr>
            <w:r>
              <w:rPr>
                <w:sz w:val="21"/>
              </w:rPr>
              <w:t>198×27×27mm 卡扣挂件；</w:t>
            </w:r>
          </w:p>
          <w:p>
            <w:pPr>
              <w:pStyle w:val="null3"/>
              <w:jc w:val="center"/>
            </w:pPr>
            <w:r>
              <w:rPr>
                <w:sz w:val="21"/>
              </w:rPr>
              <w:t>50×25×1.2mm钢管；</w:t>
            </w:r>
          </w:p>
          <w:p>
            <w:pPr>
              <w:pStyle w:val="null3"/>
              <w:jc w:val="both"/>
            </w:pPr>
            <w:r>
              <w:rPr>
                <w:sz w:val="24"/>
              </w:rPr>
              <w:t>钢管部分均需提供长度不短于</w:t>
            </w:r>
            <w:r>
              <w:rPr>
                <w:sz w:val="24"/>
              </w:rPr>
              <w:t>10cm</w:t>
            </w:r>
            <w:r>
              <w:rPr>
                <w:sz w:val="24"/>
              </w:rPr>
              <w:t>的</w:t>
            </w:r>
            <w:r>
              <w:rPr>
                <w:sz w:val="24"/>
              </w:rPr>
              <w:t>样品</w:t>
            </w:r>
          </w:p>
        </w:tc>
        <w:tc>
          <w:tcPr>
            <w:tcW w:type="dxa" w:w="1140"/>
            <w:vMerge/>
            <w:tcBorders>
              <w:top w:val="none" w:color="000000" w:sz="4"/>
              <w:left w:val="single" w:color="000000" w:sz="4"/>
              <w:bottom w:val="single" w:color="000000" w:sz="4"/>
              <w:right w:val="single" w:color="000000" w:sz="4"/>
            </w:tcBorders>
          </w:tcPr>
          <w:p/>
        </w:tc>
        <w:tc>
          <w:tcPr>
            <w:tcW w:type="dxa" w:w="1296"/>
            <w:vMerge/>
            <w:tcBorders>
              <w:top w:val="none" w:color="000000" w:sz="4"/>
              <w:left w:val="single" w:color="000000" w:sz="4"/>
              <w:bottom w:val="single" w:color="000000" w:sz="4"/>
              <w:right w:val="single" w:color="000000" w:sz="4"/>
            </w:tcBorders>
          </w:tcPr>
          <w:p/>
        </w:tc>
      </w:tr>
      <w:tr>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五金配件部分</w:t>
            </w:r>
          </w:p>
        </w:tc>
        <w:tc>
          <w:tcPr>
            <w:tcW w:type="dxa" w:w="4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路轨、门铰、拉手、锁扣、</w:t>
            </w:r>
            <w:r>
              <w:rPr>
                <w:sz w:val="21"/>
              </w:rPr>
              <w:t>ABS塑料套</w:t>
            </w:r>
          </w:p>
        </w:tc>
        <w:tc>
          <w:tcPr>
            <w:tcW w:type="dxa" w:w="1140"/>
            <w:vMerge/>
            <w:tcBorders>
              <w:top w:val="none" w:color="000000" w:sz="4"/>
              <w:left w:val="single" w:color="000000" w:sz="4"/>
              <w:bottom w:val="single" w:color="000000" w:sz="4"/>
              <w:right w:val="single" w:color="000000" w:sz="4"/>
            </w:tcBorders>
          </w:tcPr>
          <w:p/>
        </w:tc>
        <w:tc>
          <w:tcPr>
            <w:tcW w:type="dxa" w:w="1296"/>
            <w:vMerge/>
            <w:tcBorders>
              <w:top w:val="none" w:color="000000" w:sz="4"/>
              <w:left w:val="single" w:color="000000" w:sz="4"/>
              <w:bottom w:val="single" w:color="000000" w:sz="4"/>
              <w:right w:val="single" w:color="000000" w:sz="4"/>
            </w:tcBorders>
          </w:tcPr>
          <w:p/>
        </w:tc>
      </w:tr>
    </w:tbl>
    <w:p>
      <w:pPr>
        <w:pStyle w:val="null3"/>
        <w:ind w:firstLine="380"/>
        <w:jc w:val="both"/>
      </w:pPr>
      <w:r>
        <w:rPr>
          <w:sz w:val="21"/>
          <w:color w:val="000000"/>
        </w:rPr>
        <w:t>3.样品提交时间：因样品安装需一定时间，建议投标人在</w:t>
      </w:r>
      <w:r>
        <w:rPr>
          <w:sz w:val="21"/>
        </w:rPr>
        <w:t>提交投标文件截止时间前</w:t>
      </w:r>
      <w:r>
        <w:rPr>
          <w:sz w:val="21"/>
        </w:rPr>
        <w:t>1天的</w:t>
      </w:r>
      <w:r>
        <w:rPr>
          <w:sz w:val="21"/>
          <w:color w:val="000000"/>
        </w:rPr>
        <w:t>上午</w:t>
      </w:r>
      <w:r>
        <w:rPr>
          <w:sz w:val="21"/>
          <w:color w:val="000000"/>
        </w:rPr>
        <w:t>9:00-12:00，下午14:00-17:00递交样品。提交投标文件截止时间一到，停止安装，所有投标人及安装人员必须离场。</w:t>
      </w:r>
    </w:p>
    <w:p>
      <w:pPr>
        <w:pStyle w:val="null3"/>
        <w:ind w:firstLine="380"/>
        <w:jc w:val="both"/>
      </w:pPr>
      <w:r>
        <w:rPr>
          <w:sz w:val="21"/>
          <w:color w:val="000000"/>
          <w:shd w:fill="FFFFFF" w:val="clear"/>
        </w:rPr>
        <w:t>4.样品摆放地</w:t>
      </w:r>
      <w:r>
        <w:rPr>
          <w:sz w:val="21"/>
          <w:color w:val="000000"/>
          <w:shd w:fill="FFFFFF" w:val="clear"/>
        </w:rPr>
        <w:t>点：广东省广州市越秀区北京街道广仁路</w:t>
      </w:r>
      <w:r>
        <w:rPr>
          <w:sz w:val="21"/>
          <w:color w:val="000000"/>
          <w:shd w:fill="FFFFFF" w:val="clear"/>
        </w:rPr>
        <w:t>1号广仁大厦6楼等候大厅</w:t>
      </w:r>
      <w:r>
        <w:rPr>
          <w:sz w:val="21"/>
          <w:color w:val="000000"/>
          <w:shd w:fill="FFFFFF" w:val="clear"/>
        </w:rPr>
        <w:t>。”</w:t>
      </w:r>
      <w:r>
        <w:rPr>
          <w:sz w:val="21"/>
          <w:color w:val="000000"/>
          <w:shd w:fill="FFFFFF" w:val="clear"/>
        </w:rPr>
        <w:t>投标样品进场安装注意事项：①</w:t>
      </w:r>
      <w:r>
        <w:rPr>
          <w:sz w:val="21"/>
        </w:rPr>
        <w:t>投标样品安装时要注意用电安全，建议投标人自备电源及相关安装工具。②安装过程注意控制噪声和保护安装现场设备设施，如有损坏，自行免费修复原样（包括其他投标人的样品）。样品摆放地点空间有限，投标人须自觉依次摆放，不得霸占、侵占区域。安装完毕后，投标人自行清点样品数量和清走纸皮等垃圾。 ③</w:t>
      </w:r>
      <w:r>
        <w:rPr>
          <w:sz w:val="21"/>
          <w:color w:val="000000"/>
          <w:shd w:fill="FFFFFF" w:val="clear"/>
        </w:rPr>
        <w:t>为避免泄露商业秘密，投标人提供样品时，请自带布料（不透明材质）覆盖于样品上，否则由此造成的泄密责任由投标人自行承担</w:t>
      </w:r>
      <w:r>
        <w:rPr>
          <w:sz w:val="21"/>
          <w:color w:val="000000"/>
        </w:rPr>
        <w:t>。</w:t>
      </w:r>
    </w:p>
    <w:p>
      <w:pPr>
        <w:pStyle w:val="null3"/>
        <w:ind w:firstLine="380"/>
        <w:jc w:val="both"/>
      </w:pPr>
      <w:r>
        <w:rPr>
          <w:sz w:val="21"/>
          <w:color w:val="000000"/>
        </w:rPr>
        <w:t>5.样品摆放联系人：</w:t>
      </w:r>
      <w:r>
        <w:rPr>
          <w:sz w:val="21"/>
          <w:color w:val="000000"/>
        </w:rPr>
        <w:t>陈小姐、</w:t>
      </w:r>
      <w:r>
        <w:rPr>
          <w:sz w:val="21"/>
        </w:rPr>
        <w:t>黄先生</w:t>
      </w:r>
      <w:r>
        <w:rPr>
          <w:sz w:val="21"/>
        </w:rPr>
        <w:t>，联系电话：</w:t>
      </w:r>
      <w:r>
        <w:rPr>
          <w:sz w:val="21"/>
        </w:rPr>
        <w:t>0</w:t>
      </w:r>
      <w:r>
        <w:rPr>
          <w:sz w:val="21"/>
        </w:rPr>
        <w:t>20-83172166-812（陈小姐）、02083172166-821（黄先生）</w:t>
      </w:r>
      <w:r>
        <w:rPr>
          <w:sz w:val="21"/>
        </w:rPr>
        <w:t>。</w:t>
      </w:r>
    </w:p>
    <w:p>
      <w:pPr>
        <w:pStyle w:val="null3"/>
        <w:ind w:firstLine="380"/>
        <w:jc w:val="both"/>
      </w:pPr>
      <w:r>
        <w:rPr>
          <w:sz w:val="21"/>
          <w:color w:val="000000"/>
        </w:rPr>
        <w:t>6.评审方式：本项目样品评审采用暗标评审方式。提交的样品不得有</w:t>
      </w:r>
      <w:r>
        <w:rPr>
          <w:sz w:val="21"/>
          <w:b/>
          <w:color w:val="000000"/>
          <w:u w:val="single"/>
        </w:rPr>
        <w:t>识别公司名称的标识或地址或联系方式、产品品牌、商标等</w:t>
      </w:r>
      <w:r>
        <w:rPr>
          <w:sz w:val="21"/>
          <w:color w:val="000000"/>
        </w:rPr>
        <w:t>，送到指定地点安装完毕后将其样品用遮挡物覆盖，遮挡物自备，同时向采购代理机构递交</w:t>
      </w:r>
      <w:r>
        <w:rPr>
          <w:sz w:val="21"/>
          <w:color w:val="000000"/>
        </w:rPr>
        <w:t>“保密信封”，要求如下：</w:t>
      </w:r>
    </w:p>
    <w:p>
      <w:pPr>
        <w:pStyle w:val="null3"/>
        <w:ind w:firstLine="380"/>
        <w:jc w:val="both"/>
      </w:pPr>
      <w:r>
        <w:rPr>
          <w:sz w:val="21"/>
          <w:color w:val="000000"/>
        </w:rPr>
        <w:t>（</w:t>
      </w:r>
      <w:r>
        <w:rPr>
          <w:sz w:val="21"/>
          <w:color w:val="000000"/>
        </w:rPr>
        <w:t>1）内附A4规格制作样品清单并加盖投标人公章，内容应与递交样品保持一致。</w:t>
      </w:r>
    </w:p>
    <w:p>
      <w:pPr>
        <w:pStyle w:val="null3"/>
        <w:ind w:firstLine="380"/>
        <w:jc w:val="both"/>
      </w:pPr>
      <w:r>
        <w:rPr>
          <w:sz w:val="21"/>
          <w:color w:val="000000"/>
        </w:rPr>
        <w:t>（</w:t>
      </w:r>
      <w:r>
        <w:rPr>
          <w:sz w:val="21"/>
          <w:color w:val="000000"/>
        </w:rPr>
        <w:t>2）“保密信封”用不透明信封独立密封，信封外封套只能标注“保密信封”字样，不得有其他任何信息标识，否则采购代理机构有权拒收其样品。</w:t>
      </w:r>
    </w:p>
    <w:p>
      <w:pPr>
        <w:pStyle w:val="null3"/>
        <w:ind w:firstLine="380"/>
        <w:jc w:val="both"/>
      </w:pPr>
      <w:r>
        <w:rPr>
          <w:sz w:val="21"/>
          <w:color w:val="000000"/>
        </w:rPr>
        <w:t>7.在进行样品评审前，在监控下由监督人员或工作人员随机地按数字顺序为各投标人进行编号；评审专家对样品进行评审评分完毕后，在评审现场揭晓编号对应的各投标人名称。</w:t>
      </w:r>
    </w:p>
    <w:p>
      <w:pPr>
        <w:pStyle w:val="null3"/>
        <w:ind w:firstLine="380"/>
        <w:jc w:val="both"/>
      </w:pPr>
      <w:r>
        <w:rPr>
          <w:sz w:val="21"/>
          <w:color w:val="000000"/>
        </w:rPr>
        <w:t>8.样品退还：中标样品交予采购人保存，用于项目验收，样品不予退还。未中标单位须在中标</w:t>
      </w:r>
      <w:r>
        <w:rPr>
          <w:sz w:val="21"/>
          <w:color w:val="000000"/>
        </w:rPr>
        <w:t>结果</w:t>
      </w:r>
      <w:r>
        <w:rPr>
          <w:sz w:val="21"/>
          <w:color w:val="000000"/>
        </w:rPr>
        <w:t>公告发布后</w:t>
      </w:r>
      <w:r>
        <w:rPr>
          <w:sz w:val="21"/>
          <w:color w:val="000000"/>
        </w:rPr>
        <w:t>3个工作日内，领取投标样品，逾期不领取的，采购代理机构或采购人将不承担样品的保管责任，由此引发的样品丢失、毁损，采购代理机构或采购人概不负责。</w:t>
      </w:r>
    </w:p>
    <w:p>
      <w:pPr>
        <w:pStyle w:val="null3"/>
        <w:ind w:firstLine="380"/>
        <w:jc w:val="both"/>
      </w:pPr>
      <w:r>
        <w:rPr>
          <w:sz w:val="21"/>
          <w:b/>
          <w:color w:val="000000"/>
        </w:rPr>
        <w:t>（四）产品参考图片</w:t>
      </w:r>
    </w:p>
    <w:p>
      <w:pPr>
        <w:pStyle w:val="null3"/>
        <w:ind w:firstLine="380"/>
        <w:jc w:val="both"/>
      </w:pPr>
      <w:r>
        <w:drawing>
          <wp:inline distT="0" distR="0" distB="0" distL="0">
            <wp:extent cx="2962275" cy="328612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2962275" cy="3286125"/>
                    </a:xfrm>
                    <a:prstGeom prst="rect">
                      <a:avLst/>
                    </a:prstGeom>
                  </pic:spPr>
                </pic:pic>
              </a:graphicData>
            </a:graphic>
          </wp:inline>
        </w:drawing>
      </w:r>
    </w:p>
    <w:p>
      <w:pPr>
        <w:pStyle w:val="null3"/>
        <w:ind w:firstLine="380"/>
        <w:jc w:val="both"/>
      </w:pPr>
      <w:r>
        <w:rPr/>
        <w:t xml:space="preserve"> </w:t>
      </w:r>
    </w:p>
    <w:p>
      <w:pPr>
        <w:pStyle w:val="null3"/>
        <w:ind w:firstLine="380"/>
        <w:jc w:val="both"/>
      </w:pPr>
      <w:r>
        <w:drawing>
          <wp:inline distT="0" distR="0" distB="0" distL="0">
            <wp:extent cx="2962275" cy="2600325"/>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2962275" cy="2600325"/>
                    </a:xfrm>
                    <a:prstGeom prst="rect">
                      <a:avLst/>
                    </a:prstGeom>
                  </pic:spPr>
                </pic:pic>
              </a:graphicData>
            </a:graphic>
          </wp:inline>
        </w:drawing>
      </w:r>
    </w:p>
    <w:p>
      <w:pPr>
        <w:pStyle w:val="null3"/>
        <w:ind w:firstLine="380"/>
        <w:jc w:val="both"/>
      </w:pPr>
      <w:r>
        <w:rPr/>
        <w:t xml:space="preserve"> </w:t>
      </w:r>
    </w:p>
    <w:p>
      <w:pPr>
        <w:pStyle w:val="null3"/>
        <w:ind w:firstLine="380"/>
        <w:jc w:val="both"/>
      </w:pPr>
      <w:r>
        <w:drawing>
          <wp:inline distT="0" distR="0" distB="0" distL="0">
            <wp:extent cx="2781300" cy="3695700"/>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2781300" cy="3695700"/>
                    </a:xfrm>
                    <a:prstGeom prst="rect">
                      <a:avLst/>
                    </a:prstGeom>
                  </pic:spPr>
                </pic:pic>
              </a:graphicData>
            </a:graphic>
          </wp:inline>
        </w:drawing>
      </w:r>
    </w:p>
    <w:p>
      <w:pPr>
        <w:pStyle w:val="null3"/>
        <w:ind w:firstLine="380"/>
        <w:jc w:val="both"/>
      </w:pPr>
      <w:r>
        <w:rPr/>
        <w:t xml:space="preserve"> </w:t>
      </w:r>
    </w:p>
    <w:p>
      <w:pPr>
        <w:pStyle w:val="null3"/>
        <w:ind w:firstLine="380"/>
        <w:jc w:val="both"/>
      </w:pPr>
      <w:r>
        <w:rPr/>
        <w:t xml:space="preserve"> </w:t>
      </w:r>
    </w:p>
    <w:p>
      <w:pPr>
        <w:pStyle w:val="null3"/>
        <w:ind w:firstLine="380"/>
        <w:jc w:val="both"/>
      </w:pPr>
      <w:r>
        <w:rPr/>
        <w:t xml:space="preserve"> </w:t>
      </w:r>
    </w:p>
    <w:p>
      <w:pPr>
        <w:pStyle w:val="null3"/>
        <w:ind w:firstLine="380"/>
        <w:jc w:val="both"/>
      </w:pPr>
      <w:r>
        <w:rPr/>
        <w:t>采购包1（华南师范大学南海校园学生公寓学生组合床采购）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2025年2月17日前，完成1457套旧家具拆除、搬运（板材搬走、金属材质搬到指定位置，拆卸搬运费含在投标报价中）到学校指定位置及货物的生产、供货、安装及调试，并达到验收合格标准。2025年8月10日前，完成1606套旧家具拆除、搬运（板材搬走、金属材质搬到指定位置，拆卸搬运费含在投标报价中）到学校指定位置及货物的生产、供货、安装及调试，并达到验收合格标准。</w:t>
            </w:r>
          </w:p>
        </w:tc>
      </w:tr>
      <w:tr>
        <w:tc>
          <w:tcPr>
            <w:tcW w:type="dxa" w:w="4153"/>
          </w:tcPr>
          <w:p>
            <w:pPr>
              <w:pStyle w:val="null3"/>
            </w:pPr>
            <w:r>
              <w:rPr/>
              <w:t>标的提供的地点</w:t>
            </w:r>
          </w:p>
        </w:tc>
        <w:tc>
          <w:tcPr>
            <w:tcW w:type="dxa" w:w="4153"/>
          </w:tcPr>
          <w:p>
            <w:pPr>
              <w:pStyle w:val="null3"/>
            </w:pPr>
            <w:r>
              <w:rPr/>
              <w:t>华南师范大学佛山校区内指定地点</w:t>
            </w:r>
          </w:p>
        </w:tc>
      </w:tr>
      <w:tr>
        <w:tc>
          <w:tcPr>
            <w:tcW w:type="dxa" w:w="4153"/>
          </w:tcPr>
          <w:p>
            <w:pPr>
              <w:pStyle w:val="null3"/>
            </w:pPr>
            <w:r>
              <w:rPr/>
              <w:t>付款方式</w:t>
            </w:r>
          </w:p>
        </w:tc>
        <w:tc>
          <w:tcPr>
            <w:tcW w:type="dxa" w:w="4153"/>
          </w:tcPr>
          <w:p>
            <w:pPr>
              <w:pStyle w:val="null3"/>
            </w:pPr>
            <w:r>
              <w:rPr/>
              <w:t>1期：支付比例47.50%,签订合同并收到中标人开具的等额正式发票后5个工作日内支付合同总价的47.50%。</w:t>
            </w:r>
          </w:p>
          <w:p>
            <w:pPr>
              <w:pStyle w:val="null3"/>
            </w:pPr>
            <w:r>
              <w:rPr/>
              <w:t>2期：支付比例52.50%,支付比例52.50%，合同所有货物到交货地点、安装调试完毕、验收合格，且采购人收到中标人开具的等额正式发票后10个工作日内支付合同总价的52.50％。 说明：采购人向中标人指定账户汇出款项后，即视为已履行付款义务。在汇款过程中，因中标人账户的原因（包括但不限于账号被注销、被冻结等）导致其无法收取款项的，由中标人承担相应后果。 本项目如执行国库支付的，付款按照财政部门国库集中支付的有关规定办理。付款时间为采购人向政府财政支付部门提出支付申请的时间（不含政府财政支付部门审查的时间）。 如项目履行过程中,采购人采取融资支付或其他支付方式,中标人应配合采购人签订补充协议。</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1期：1.中标人应在收到中标通知书后5天内向采购人提出产品安装、调试应准备的条件。中标人必须在货物测试与验收前，向采购人提供按本项目的技术规格、技术规范的要求进行的测试与验收方案。 2.货物整体结构要牢固，安装平稳，块料面层要平整、光滑、美观，不得有缺陷；根据该项目的特点及要求，中标人在制作、加工期间及安装完毕后，采购人有权组织相关部门按照招标文件要求对中标方货物进行抽检，如原材料达不到合同要求，一律退货，由此造成的损失由中标单位承担，对涉及的家具施工安装、调试、安全防护、不可预见性费用等均由中标方负责，一切费用由中标人承担。 3.货物安装前需设置一个样板房，样板房需采购人验收合格后方可批量安装。 4.货物安装调试完毕且正常运行7天后，中标人应备齐采购人要求提供的验收文件，并提出书面验收申请。采购人将按流程进行验收，并出具采购物资验收报告给中标人。货物验收合格之日为采购人签署采购物资验收报告的日期。 5.货物验收标准：以招投标文件和合同项下所述的标准和要求进行验收，如招投标文件与合同的标准和要求有冲突的，以招投标文件为准。 6.经采购人对中标人提供的货物进行验收，若发现中标人提供的货物不符合招投标文件及合同规定的质量要求，采购人有权拒收该货物，中标人应无条件更换被拒绝的货物，或者无条件进行必要的修改以满足规定的要求（费用包含在投标报价中）；采购人也有权选择解除合同并要求中标人承担违约责任。 7.采购人在货物到达交货地点后对货物进行检验、测试及必要时拒绝接收货物的权利将不会因为货物在中标人的驻地已通过了采购人或其代表的检验、测试和认可而受到限制或放弃。</w:t>
            </w:r>
          </w:p>
        </w:tc>
      </w:tr>
      <w:tr>
        <w:tc>
          <w:tcPr>
            <w:tcW w:type="dxa" w:w="4153"/>
          </w:tcPr>
          <w:p>
            <w:pPr>
              <w:pStyle w:val="null3"/>
            </w:pPr>
            <w:r>
              <w:rPr/>
              <w:t>履约保证金</w:t>
            </w:r>
          </w:p>
        </w:tc>
        <w:tc>
          <w:tcPr>
            <w:tcW w:type="dxa" w:w="4153"/>
          </w:tcPr>
          <w:p>
            <w:pPr>
              <w:pStyle w:val="null3"/>
            </w:pPr>
            <w:r>
              <w:rPr/>
              <w:t>收取比例：5%,说明：1.中标人在合同签订后5日内，以支票、汇票、本票、保函或转账方式向采购人提交合同总额的5%作为履约保证金。 2.自验收合格后1个月内，中标人凭履约保证金收据向采购人申请退还履约保证金，采购人在收到中标人申请单据之日起15日内将履约保证金无息退还给中标人。 3.履约保证金不予退还的情形： （1）未经采购人同意，中标人将本项目进行分包或转包给他人； （2）在履行合同期间，中标人未经采购人同意提前终止本项目合同； （3）在履行合同期间，中标人因在经营活动中存在违法被吊销营业执照或相关许可，导致本项目合同无法继续履行的。</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（一）总体要求，1.投标人所投货物及材料应是原厂原装、全新的产品，并符合下列要求：国家标准、行业标准以及该产品的出厂标准。 2.投标人应对投标货物列明其品牌、型号、制造商名称、产地、技术参数、功能介绍和使用说明。 3.投标人需根据入住学生特殊身高需求，按采购人要求完成25套加长改造（床板相应加长，已包含在3063套内），具体规格、尺寸以中标人现场测量后报采购人复核结果为准。 4.若所投产品属于《中华人民共和国实施强制性产品认证的产品目录》，投标人须在投标文件中提供有效期内的《中国国家强制性产品认证证书》复印件。 5.若所投产品属于《节能产品政府采购品目清单》范围中政府强制采购产品类别的，投标人须在投标文件中提供《节能产品政府采购品目清单》范围中政府强制采购产品类别的相关内容页并对相关内容作圈记、市场监管总局公布的《参与实施政府采购节能产品认证机构名录》截图及有效期内的《节能产品认证证书》复印件。 6.若所投产品属于《环境标志产品政府采购品目清单》范围中政府强制采购产品类别的，投标人须在投标文件中提供《环境标志产品政府采购品目清单》范围中政府强制采购产品类别的相关内容页并对相关内容作圈记、市场监管总局公布的《参与实施政府采购环境标志产品认证机构名录》截图及有效期内的《环境标志产品认证证书》复印件。</w:t>
            </w:r>
          </w:p>
          <w:p>
            <w:pPr>
              <w:pStyle w:val="null3"/>
            </w:pPr>
            <w:r>
              <w:rPr/>
              <w:t>（二）投标报价，本项目为总价包干，投标总价应包括（但不限于）： ①采购需求表内货物（含备品备件）及25套特殊人群（已包含在3063套内）加长款改造家具的设计、制造、改造、包装、仓储、运输、保险、货物运输保险费、装卸费、安装、调试、试运行、验收、培训、技术服务（包括技术资料、图纸的提供）、质保期保障服务等的全部含税费用； ②上述未包含的其他一切伴随服务，如售后服务、完工后室内空气质量检测等； ③本次家具更换涉及各学生宿舍房间内原有旧家具拆卸及搬运到校内指定地点。除另有明确约定的费用外，采购人无需支付任何额外费用和承担任何额外义务。</w:t>
            </w:r>
          </w:p>
          <w:p>
            <w:pPr>
              <w:pStyle w:val="null3"/>
            </w:pPr>
            <w:r>
              <w:rPr/>
              <w:t>（三）空气检测，每批家具安装完毕后，由采购人邀请带CMA认证标识的第三方检测机构在家具已安装完毕的宿舍楼每层随机抽取房间数的5%（每层楼至少抽取1间）按GB/T18883-2022《室内空气质量标准》进行空气质量检测，相关费用包含在合同总价中，由中标人支付。第三方检测机构根据检测结果出具具备符合带CMA认证标识的室内空气质量检验检测报告，如果检测结果为不合格，则中标人必须在学校要求的整改期内更换为合格产品，以符合验收标准为准。整改后仍不合格的，采购人有权拒收，扣除空气检测不合格房间产品的货款。</w:t>
            </w:r>
          </w:p>
          <w:p>
            <w:pPr>
              <w:pStyle w:val="null3"/>
            </w:pPr>
            <w:r>
              <w:rPr/>
              <w:t>（四）售后服务，1.安装调试与人员培训：中标人应及时委派专业工程师无条件安装调试产品（费用包含在投标报价中），安装调试期间采购人的使用人员协助配合，并需根据入住学生特殊身高需求，按采购人要求完成25套加长改造（床板相应加长，已包含在3063套内），具体规格、尺寸以中标人现场测量后报采购人复核结果为准。安装调试完毕，中标人需组织采购人使用人员无条件进行使用及日常维护等的现场培训，并提供相关教材。 2.提供不少于10年无条件保修期，保修期内无条件维修，提供终身维修维护服务。保修期从采购人签订验收合格报告之日开始计算，无条件保修期内中标人负责所有因产品质量问题而产生的费用，均需包含在投标报价中。 3.中标人有专门的售后维修服务点，有常驻项目实施地的维修工程师不少于2名，中标人应指派专人负责与采购人联系售后服务事宜，并设置24小时报修电话。无论产品因何种原因发生何种故障，中标人在接到维修通知后，须在2小时内响应，8小时内到达现场，24小时解决问题。若24小时内无法解决问题，则中标人应提供不低于同等质量及性能的产品供采购人使用。 4.中标人在保修期内需每四年一次性对所有货物进行全面检修，发现问题需全部无条件维修或更换（费用包含在投标报价中）。 5.学生入住当天、第二天，派驻现场解决存在问题工作人员不少于6人。 6.在保修期内，如中标人不能按保修条款要求按时按质完成维修维护工作的，为不影响学生的生活学习，采购人有权安排第三方维修公司对需保修的家具进行维修维护，所产生的费用由中标人支付。（投标时提供承诺函，格式自拟）</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其他床类</w:t>
            </w:r>
          </w:p>
        </w:tc>
        <w:tc>
          <w:tcPr>
            <w:tcW w:type="dxa" w:w="831"/>
          </w:tcPr>
          <w:p>
            <w:pPr>
              <w:pStyle w:val="null3"/>
              <w:jc w:val="left"/>
            </w:pPr>
            <w:r>
              <w:rPr/>
              <w:t>学生组合床</w:t>
            </w:r>
          </w:p>
        </w:tc>
        <w:tc>
          <w:tcPr>
            <w:tcW w:type="dxa" w:w="831"/>
          </w:tcPr>
          <w:p>
            <w:pPr>
              <w:pStyle w:val="null3"/>
              <w:jc w:val="left"/>
            </w:pPr>
            <w:r>
              <w:rPr/>
              <w:t>套</w:t>
            </w:r>
          </w:p>
        </w:tc>
        <w:tc>
          <w:tcPr>
            <w:tcW w:type="dxa" w:w="831"/>
          </w:tcPr>
          <w:p>
            <w:pPr>
              <w:pStyle w:val="null3"/>
              <w:jc w:val="right"/>
            </w:pPr>
            <w:r>
              <w:rPr/>
              <w:t>3,063.00</w:t>
            </w:r>
          </w:p>
        </w:tc>
        <w:tc>
          <w:tcPr>
            <w:tcW w:type="dxa" w:w="831"/>
          </w:tcPr>
          <w:p>
            <w:pPr>
              <w:pStyle w:val="null3"/>
              <w:jc w:val="right"/>
            </w:pPr>
            <w:r>
              <w:rPr/>
              <w:t>2,191.00</w:t>
            </w:r>
          </w:p>
        </w:tc>
        <w:tc>
          <w:tcPr>
            <w:tcW w:type="dxa" w:w="831"/>
          </w:tcPr>
          <w:p>
            <w:pPr>
              <w:pStyle w:val="null3"/>
              <w:jc w:val="right"/>
            </w:pPr>
            <w:r>
              <w:rPr/>
              <w:t>6,711,033.00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学生组合床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学生组合床规格（</w:t>
            </w:r>
            <w:r>
              <w:rPr>
                <w:sz w:val="21"/>
              </w:rPr>
              <w:t>L×W×H）2000×920×2100</w:t>
            </w:r>
            <w:r>
              <w:rPr>
                <w:sz w:val="21"/>
              </w:rPr>
              <w:t>mm</w:t>
            </w:r>
            <w:r>
              <w:rPr>
                <w:sz w:val="21"/>
              </w:rPr>
              <w:t>/2900mm（2900mm为加蚊帐架高度），按采购人要求完成</w:t>
            </w:r>
            <w:r>
              <w:rPr>
                <w:sz w:val="21"/>
              </w:rPr>
              <w:t>25</w:t>
            </w:r>
            <w:r>
              <w:rPr>
                <w:sz w:val="21"/>
              </w:rPr>
              <w:t>套的加长改造（床板相应加长，已包含在</w:t>
            </w:r>
            <w:r>
              <w:rPr>
                <w:sz w:val="21"/>
              </w:rPr>
              <w:t>3063</w:t>
            </w:r>
            <w:r>
              <w:rPr>
                <w:sz w:val="21"/>
              </w:rPr>
              <w:t>套内），具体规格、尺寸以中标人现场测量后报采购人复核结果为准。</w:t>
            </w:r>
          </w:p>
        </w:tc>
      </w:tr>
      <w:tr>
        <w:tc>
          <w:tcPr>
            <w:tcW w:type="dxa" w:w="2076"/>
          </w:tcPr>
          <w:p/>
        </w:tc>
        <w:tc>
          <w:tcPr>
            <w:tcW w:type="dxa" w:w="415"/>
          </w:tcPr>
          <w:p>
            <w:pPr>
              <w:pStyle w:val="null3"/>
            </w:pPr>
            <w:r>
              <w:rPr/>
              <w:t>2</w:t>
            </w:r>
          </w:p>
        </w:tc>
        <w:tc>
          <w:tcPr>
            <w:tcW w:type="dxa" w:w="5814"/>
          </w:tcPr>
          <w:p>
            <w:pPr>
              <w:pStyle w:val="null3"/>
              <w:jc w:val="both"/>
            </w:pPr>
            <w:r>
              <w:rPr>
                <w:sz w:val="21"/>
              </w:rPr>
              <w:t>床架：符合</w:t>
            </w:r>
            <w:r>
              <w:rPr>
                <w:sz w:val="21"/>
              </w:rPr>
              <w:t>GB/T3325最新标准、GB/T35607最新标准，金属件喷涂层无漏喷、锈蚀和脱色现象，涂层光滑均匀，色泽一致，喷塑涂层硬度≥4H，≥400mm冲击高度测试冲击强度合格，耐腐蚀≤100H小时内划道两侧≥3mm外无鼓泡产生、≥100H小时后划道两侧≥3mm外无锈迹、剥落、失光等现象产生，涂层附着力0级，安装要求合格，结构安全、产品有害物质（家具涂层可迁移元素铅、镉、铬、汞、砷、钡、锑、硒及甲醛释放量、苯、甲苯、二甲苯、TVOC）未检出。（</w:t>
            </w:r>
            <w:r>
              <w:rPr>
                <w:sz w:val="21"/>
              </w:rPr>
              <w:t>投标人须提供有资质的第三方单位出具的合法有效的符合本条参数要求的相关证明材料复印件或扫描件</w:t>
            </w:r>
            <w:r>
              <w:rPr>
                <w:sz w:val="21"/>
              </w:rPr>
              <w:t>）</w:t>
            </w:r>
          </w:p>
        </w:tc>
      </w:tr>
      <w:tr>
        <w:tc>
          <w:tcPr>
            <w:tcW w:type="dxa" w:w="2076"/>
          </w:tcPr>
          <w:p/>
        </w:tc>
        <w:tc>
          <w:tcPr>
            <w:tcW w:type="dxa" w:w="415"/>
          </w:tcPr>
          <w:p>
            <w:pPr>
              <w:pStyle w:val="null3"/>
            </w:pPr>
            <w:r>
              <w:rPr/>
              <w:t>3</w:t>
            </w:r>
          </w:p>
        </w:tc>
        <w:tc>
          <w:tcPr>
            <w:tcW w:type="dxa" w:w="5814"/>
          </w:tcPr>
          <w:p>
            <w:pPr>
              <w:pStyle w:val="null3"/>
              <w:jc w:val="both"/>
            </w:pPr>
            <w:r>
              <w:rPr>
                <w:sz w:val="21"/>
              </w:rPr>
              <w:t>铁床（公寓床）：送检检测面板和框架邻边垂直着地平稳，产品有害物质（甲醛释放量、苯、甲苯、二甲苯、</w:t>
            </w:r>
            <w:r>
              <w:rPr>
                <w:sz w:val="21"/>
              </w:rPr>
              <w:t>TVOC）未检出。桌面垂直静载荷、柜类拉门垂直加载，拉门水平加载，拉门猛关，柜类拉门耐久性、床结构耐久性、铺面冲击、铺面均布静载荷、书架隔板支撑件强度、梯类挠度和强度、安全栏静载荷等项目检测合格；铁床（公寓床）应通过GB20286最新标准进行阻燃检测达到1级。（</w:t>
            </w:r>
            <w:r>
              <w:rPr>
                <w:sz w:val="21"/>
              </w:rPr>
              <w:t>投标人须提供有资质的第三方单位出具的合法有效的符合本条参数要求的相关证明材料复印件或扫描件</w:t>
            </w:r>
            <w:r>
              <w:rPr>
                <w:sz w:val="21"/>
              </w:rPr>
              <w:t>）</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rPr>
              <w:t>异型边立柱：采用具有含碳适中，综合性能较好，强度、塑性和焊接等性能得到较好配合的碳素镀锌冷轧钢板压制成型；其立面为中空异形，立柱正面加强筋</w:t>
            </w:r>
            <w:r>
              <w:rPr>
                <w:sz w:val="21"/>
              </w:rPr>
              <w:t>≥2条，异型立柱立面成型后尺寸≥65mm×65mm（L×W），原材料钢材厚度≥1.2mm。</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rPr>
              <w:t>异型边立柱：符合</w:t>
            </w:r>
            <w:r>
              <w:rPr>
                <w:sz w:val="21"/>
              </w:rPr>
              <w:t>GB/T3325最新标准、GB/T11253最新标准且管材、金属件喷涂层外观合格，金属喷漆塑涂层耐腐蚀经≥100H盐雾测试合格、化学成分（C≤0.07、S＜0.015、P＜0.017、Si＜0.11、Mn＜0.27）、屈服强度≥310Mpa、断后伸长率≥40%。（</w:t>
            </w:r>
            <w:r>
              <w:rPr>
                <w:sz w:val="21"/>
              </w:rPr>
              <w:t>投标人须提供有资质的第三方单位出具的合法有效的符合本条参数要求的相关证明材料复印件或扫描件</w:t>
            </w:r>
            <w:r>
              <w:rPr>
                <w:sz w:val="21"/>
              </w:rPr>
              <w:t>）</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rPr>
              <w:t>床主横梁：其立面为中空异形，正面采用</w:t>
            </w:r>
            <w:r>
              <w:rPr>
                <w:sz w:val="21"/>
              </w:rPr>
              <w:t>≥2条加强筋增加床体的韧性、抗扭曲性以及结构强度，立面成型后尺寸≥90mm×40mm（L×W），原材料钢材厚度≥1.2mm。</w:t>
            </w:r>
          </w:p>
        </w:tc>
      </w:tr>
      <w:tr>
        <w:tc>
          <w:tcPr>
            <w:tcW w:type="dxa" w:w="2076"/>
          </w:tcPr>
          <w:p/>
        </w:tc>
        <w:tc>
          <w:tcPr>
            <w:tcW w:type="dxa" w:w="415"/>
          </w:tcPr>
          <w:p>
            <w:pPr>
              <w:pStyle w:val="null3"/>
            </w:pPr>
            <w:r>
              <w:rPr/>
              <w:t>7</w:t>
            </w:r>
          </w:p>
        </w:tc>
        <w:tc>
          <w:tcPr>
            <w:tcW w:type="dxa" w:w="5814"/>
          </w:tcPr>
          <w:p>
            <w:pPr>
              <w:pStyle w:val="null3"/>
              <w:jc w:val="both"/>
            </w:pPr>
            <w:r>
              <w:rPr>
                <w:sz w:val="21"/>
              </w:rPr>
              <w:t>床主横梁采用具有含碳适中，综合性能较好，强度、塑性和焊接等性能碳素镀锌冷轧钢板压制成型，材料符合屈服强度</w:t>
            </w:r>
            <w:r>
              <w:rPr>
                <w:sz w:val="21"/>
              </w:rPr>
              <w:t>≥310Mpa、断后伸长率≥40%；床母梁符合GB/T3325最新标准管材、喷涂层外观性能合格，硬度≥4H，≥400mm冲击高度测试冲击强度合格，耐腐蚀≤100H小时内划道两侧≥3mm外无气泡产生、≥100H小时后划道两侧≥3mm外无锈迹、剥落、失光等现象产生，涂层附着力0级，经≥200H乙酸盐雾试验后试样表面无变化，外观评级10级以上。（</w:t>
            </w:r>
            <w:r>
              <w:rPr>
                <w:sz w:val="21"/>
              </w:rPr>
              <w:t>投标人须提供有资质的第三方单位出具的合法有效的符合本条参数要求的相关证明材料复印件或扫描件</w:t>
            </w:r>
            <w:r>
              <w:rPr>
                <w:sz w:val="21"/>
              </w:rPr>
              <w:t>）</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21"/>
              </w:rPr>
              <w:t>异型短横梁：采用具有含碳适中，综合性能较好，强度、塑性和焊接等性能得到较好配合的碳素镀锌冷轧钢板压制成型，其立面为中空异形，正面</w:t>
            </w:r>
            <w:r>
              <w:rPr>
                <w:sz w:val="21"/>
              </w:rPr>
              <w:t>≥2条加强筋，增加上横梁的强度。立面成型后尺寸≥90mm×40mm（L×W），原材料钢材厚度≥1.2mm。</w:t>
            </w:r>
          </w:p>
        </w:tc>
      </w:tr>
      <w:tr>
        <w:tc>
          <w:tcPr>
            <w:tcW w:type="dxa" w:w="2076"/>
          </w:tcPr>
          <w:p/>
        </w:tc>
        <w:tc>
          <w:tcPr>
            <w:tcW w:type="dxa" w:w="415"/>
          </w:tcPr>
          <w:p>
            <w:pPr>
              <w:pStyle w:val="null3"/>
            </w:pPr>
            <w:r>
              <w:rPr/>
              <w:t>9</w:t>
            </w:r>
          </w:p>
        </w:tc>
        <w:tc>
          <w:tcPr>
            <w:tcW w:type="dxa" w:w="5814"/>
          </w:tcPr>
          <w:p>
            <w:pPr>
              <w:pStyle w:val="null3"/>
              <w:jc w:val="both"/>
            </w:pPr>
            <w:r>
              <w:rPr>
                <w:sz w:val="21"/>
              </w:rPr>
              <w:t>异型短横梁符合</w:t>
            </w:r>
            <w:r>
              <w:rPr>
                <w:sz w:val="21"/>
              </w:rPr>
              <w:t>GB/T3325最新标准、GB/T11253最新标准且管材、金属件喷涂层外观合格，金属喷漆塑涂层耐腐蚀≤100H小时内划道两侧≥3mm外无气泡产生、≥100H小时后划道两侧≥3mm外无锈迹、剥落、失光等现象产生、化学成分（C≤0.07、S＜0.015、P＜0.017、Si＜0.11、Mn＜0.27）、屈服强度≥310Mpa、断后伸长率≥40%。（</w:t>
            </w:r>
            <w:r>
              <w:rPr>
                <w:sz w:val="21"/>
              </w:rPr>
              <w:t>投标人须提供有资质的第三方单位出具的合法有效的符合本条参数要求的相关证明材料复印件或扫描件</w:t>
            </w:r>
            <w:r>
              <w:rPr>
                <w:sz w:val="21"/>
              </w:rPr>
              <w:t>）</w:t>
            </w:r>
          </w:p>
        </w:tc>
      </w:tr>
      <w:tr>
        <w:tc>
          <w:tcPr>
            <w:tcW w:type="dxa" w:w="2076"/>
          </w:tcPr>
          <w:p/>
        </w:tc>
        <w:tc>
          <w:tcPr>
            <w:tcW w:type="dxa" w:w="415"/>
          </w:tcPr>
          <w:p>
            <w:pPr>
              <w:pStyle w:val="null3"/>
            </w:pPr>
            <w:r>
              <w:rPr/>
              <w:t>10</w:t>
            </w:r>
          </w:p>
        </w:tc>
        <w:tc>
          <w:tcPr>
            <w:tcW w:type="dxa" w:w="5814"/>
          </w:tcPr>
          <w:p>
            <w:pPr>
              <w:pStyle w:val="null3"/>
              <w:jc w:val="both"/>
            </w:pPr>
            <w:r>
              <w:rPr>
                <w:sz w:val="21"/>
              </w:rPr>
              <w:t>异型长横梁：采用具有含碳适中，综合性能较好，强度、塑性和焊接等性能得到较好配合的碳素镀锌冷轧钢板压制成型，其立面为中空异形，立面成型后尺寸</w:t>
            </w:r>
            <w:r>
              <w:rPr>
                <w:sz w:val="21"/>
              </w:rPr>
              <w:t>≥60mm×27mm（L×W），原材料钢材厚度≥1.1mm。</w:t>
            </w:r>
          </w:p>
        </w:tc>
      </w:tr>
      <w:tr>
        <w:tc>
          <w:tcPr>
            <w:tcW w:type="dxa" w:w="2076"/>
          </w:tcPr>
          <w:p/>
        </w:tc>
        <w:tc>
          <w:tcPr>
            <w:tcW w:type="dxa" w:w="415"/>
          </w:tcPr>
          <w:p>
            <w:pPr>
              <w:pStyle w:val="null3"/>
            </w:pPr>
            <w:r>
              <w:rPr/>
              <w:t>11</w:t>
            </w:r>
          </w:p>
        </w:tc>
        <w:tc>
          <w:tcPr>
            <w:tcW w:type="dxa" w:w="5814"/>
          </w:tcPr>
          <w:p>
            <w:pPr>
              <w:pStyle w:val="null3"/>
              <w:jc w:val="both"/>
            </w:pPr>
            <w:r>
              <w:rPr>
                <w:sz w:val="21"/>
              </w:rPr>
              <w:t>异型长横梁符合</w:t>
            </w:r>
            <w:r>
              <w:rPr>
                <w:sz w:val="21"/>
              </w:rPr>
              <w:t>GB/T3325最新标准、GB/T11253最新标准且管材、金属件喷涂层外观合格，经≥100H盐雾测试合格、化学成分（C≤0.07、S＜0.015、P＜0.017、Si＜0.11、Mn＜0.27）、屈服强度≥310Mpa、断后伸长率≥40%（</w:t>
            </w:r>
            <w:r>
              <w:rPr>
                <w:sz w:val="21"/>
              </w:rPr>
              <w:t>投标人须提供有资质的第三方单位出具的合法有效的符合本条参数要求的相关证明材料复印件或扫描件</w:t>
            </w:r>
            <w:r>
              <w:rPr>
                <w:sz w:val="21"/>
              </w:rPr>
              <w:t>）</w:t>
            </w:r>
          </w:p>
        </w:tc>
      </w:tr>
      <w:tr>
        <w:tc>
          <w:tcPr>
            <w:tcW w:type="dxa" w:w="2076"/>
          </w:tcPr>
          <w:p/>
        </w:tc>
        <w:tc>
          <w:tcPr>
            <w:tcW w:type="dxa" w:w="415"/>
          </w:tcPr>
          <w:p>
            <w:pPr>
              <w:pStyle w:val="null3"/>
            </w:pPr>
            <w:r>
              <w:rPr/>
              <w:t>12</w:t>
            </w:r>
          </w:p>
        </w:tc>
        <w:tc>
          <w:tcPr>
            <w:tcW w:type="dxa" w:w="5814"/>
          </w:tcPr>
          <w:p>
            <w:pPr>
              <w:pStyle w:val="null3"/>
              <w:jc w:val="both"/>
            </w:pPr>
            <w:r>
              <w:rPr>
                <w:sz w:val="21"/>
              </w:rPr>
              <w:t>床板支撑（床板支撑）：采用</w:t>
            </w:r>
            <w:r>
              <w:rPr>
                <w:sz w:val="21"/>
              </w:rPr>
              <w:t>5根≥1.2mm厚镀锌冷轧方管制作，尺寸30mm×30mm（L×W）。支撑符合GB/T228.1最新标准以及GB/T11253最新标准且断后伸长率≥40%，规定的塑性延伸强度≥358Mpa。</w:t>
            </w:r>
          </w:p>
        </w:tc>
      </w:tr>
      <w:tr>
        <w:tc>
          <w:tcPr>
            <w:tcW w:type="dxa" w:w="2076"/>
          </w:tcPr>
          <w:p/>
        </w:tc>
        <w:tc>
          <w:tcPr>
            <w:tcW w:type="dxa" w:w="415"/>
          </w:tcPr>
          <w:p>
            <w:pPr>
              <w:pStyle w:val="null3"/>
            </w:pPr>
            <w:r>
              <w:rPr/>
              <w:t>13</w:t>
            </w:r>
          </w:p>
        </w:tc>
        <w:tc>
          <w:tcPr>
            <w:tcW w:type="dxa" w:w="5814"/>
          </w:tcPr>
          <w:p>
            <w:pPr>
              <w:pStyle w:val="null3"/>
              <w:jc w:val="both"/>
            </w:pPr>
            <w:r>
              <w:rPr>
                <w:sz w:val="21"/>
              </w:rPr>
              <w:t>前护栏：外框采用直径</w:t>
            </w:r>
            <w:r>
              <w:rPr>
                <w:sz w:val="21"/>
              </w:rPr>
              <w:t>≥φ25mm×1.0mm圆管，封口处呈半圆球状，表面光滑，结合≥20mm×20mm×1.0mm（L×W×H）矩形管。挡板外板有冲孔设计元素，中间采用厚度≥0.8mm冷轧钢板冲压成网状，满护栏设计、高度≥300mm，护栏同时带有储物兜，方便学生放置手机等小物件。</w:t>
            </w:r>
          </w:p>
        </w:tc>
      </w:tr>
      <w:tr>
        <w:tc>
          <w:tcPr>
            <w:tcW w:type="dxa" w:w="2076"/>
          </w:tcPr>
          <w:p/>
        </w:tc>
        <w:tc>
          <w:tcPr>
            <w:tcW w:type="dxa" w:w="415"/>
          </w:tcPr>
          <w:p>
            <w:pPr>
              <w:pStyle w:val="null3"/>
            </w:pPr>
            <w:r>
              <w:rPr/>
              <w:t>14</w:t>
            </w:r>
          </w:p>
        </w:tc>
        <w:tc>
          <w:tcPr>
            <w:tcW w:type="dxa" w:w="5814"/>
          </w:tcPr>
          <w:p>
            <w:pPr>
              <w:pStyle w:val="null3"/>
              <w:jc w:val="both"/>
            </w:pPr>
            <w:r>
              <w:rPr>
                <w:sz w:val="24"/>
              </w:rPr>
              <w:t>床头横护栏：采用</w:t>
            </w:r>
            <w:r>
              <w:rPr>
                <w:sz w:val="24"/>
              </w:rPr>
              <w:t>≥φ25mm×1.0mm</w:t>
            </w:r>
            <w:r>
              <w:rPr>
                <w:sz w:val="24"/>
              </w:rPr>
              <w:t>厚冷轧圆管制作。</w:t>
            </w:r>
          </w:p>
        </w:tc>
      </w:tr>
      <w:tr>
        <w:tc>
          <w:tcPr>
            <w:tcW w:type="dxa" w:w="2076"/>
          </w:tcPr>
          <w:p/>
        </w:tc>
        <w:tc>
          <w:tcPr>
            <w:tcW w:type="dxa" w:w="415"/>
          </w:tcPr>
          <w:p>
            <w:pPr>
              <w:pStyle w:val="null3"/>
            </w:pPr>
            <w:r>
              <w:rPr/>
              <w:t>15</w:t>
            </w:r>
          </w:p>
        </w:tc>
        <w:tc>
          <w:tcPr>
            <w:tcW w:type="dxa" w:w="5814"/>
          </w:tcPr>
          <w:p>
            <w:pPr>
              <w:pStyle w:val="null3"/>
              <w:jc w:val="both"/>
            </w:pPr>
            <w:r>
              <w:rPr>
                <w:sz w:val="21"/>
              </w:rPr>
              <w:t>床头竖护栏：采用</w:t>
            </w:r>
            <w:r>
              <w:rPr>
                <w:sz w:val="21"/>
              </w:rPr>
              <w:t>≥φ22mm×1.0mm厚镀锌冷轧钢管管材。冷轧钢管符合GB/T3325最新标准。</w:t>
            </w:r>
          </w:p>
        </w:tc>
      </w:tr>
      <w:tr>
        <w:tc>
          <w:tcPr>
            <w:tcW w:type="dxa" w:w="2076"/>
          </w:tcPr>
          <w:p/>
        </w:tc>
        <w:tc>
          <w:tcPr>
            <w:tcW w:type="dxa" w:w="415"/>
          </w:tcPr>
          <w:p>
            <w:pPr>
              <w:pStyle w:val="null3"/>
            </w:pPr>
            <w:r>
              <w:rPr/>
              <w:t>16</w:t>
            </w:r>
          </w:p>
        </w:tc>
        <w:tc>
          <w:tcPr>
            <w:tcW w:type="dxa" w:w="5814"/>
          </w:tcPr>
          <w:p>
            <w:pPr>
              <w:pStyle w:val="null3"/>
              <w:jc w:val="both"/>
            </w:pPr>
            <w:r>
              <w:rPr>
                <w:sz w:val="21"/>
              </w:rPr>
              <w:t>蚊帐杆：采用</w:t>
            </w:r>
            <w:r>
              <w:rPr>
                <w:sz w:val="21"/>
              </w:rPr>
              <w:t>≥Φ16mm×1.0mm厚圆管制作而成，高度≥800mm。</w:t>
            </w:r>
          </w:p>
        </w:tc>
      </w:tr>
      <w:tr>
        <w:tc>
          <w:tcPr>
            <w:tcW w:type="dxa" w:w="2076"/>
          </w:tcPr>
          <w:p/>
        </w:tc>
        <w:tc>
          <w:tcPr>
            <w:tcW w:type="dxa" w:w="415"/>
          </w:tcPr>
          <w:p>
            <w:pPr>
              <w:pStyle w:val="null3"/>
            </w:pPr>
            <w:r>
              <w:rPr/>
              <w:t>17</w:t>
            </w:r>
          </w:p>
        </w:tc>
        <w:tc>
          <w:tcPr>
            <w:tcW w:type="dxa" w:w="5814"/>
          </w:tcPr>
          <w:p>
            <w:pPr>
              <w:pStyle w:val="null3"/>
              <w:jc w:val="both"/>
            </w:pPr>
            <w:r>
              <w:rPr>
                <w:sz w:val="21"/>
              </w:rPr>
              <w:t>公寓床卡扣（挂件连接处挂钩）：采用镀锌冷轧钢板，经冲床冲压成</w:t>
            </w:r>
            <w:r>
              <w:rPr>
                <w:sz w:val="21"/>
              </w:rPr>
              <w:t>L型，至少有3个连接卡口，挂件部位成型后尺寸为≧198mm×27mm×27mm(±2mm)（L×W×H），材料厚度≧2.0mm。</w:t>
            </w:r>
          </w:p>
        </w:tc>
      </w:tr>
      <w:tr>
        <w:tc>
          <w:tcPr>
            <w:tcW w:type="dxa" w:w="2076"/>
          </w:tcPr>
          <w:p/>
        </w:tc>
        <w:tc>
          <w:tcPr>
            <w:tcW w:type="dxa" w:w="415"/>
          </w:tcPr>
          <w:p>
            <w:pPr>
              <w:pStyle w:val="null3"/>
            </w:pPr>
            <w:r>
              <w:rPr/>
              <w:t>18</w:t>
            </w:r>
          </w:p>
        </w:tc>
        <w:tc>
          <w:tcPr>
            <w:tcW w:type="dxa" w:w="5814"/>
          </w:tcPr>
          <w:p>
            <w:pPr>
              <w:pStyle w:val="null3"/>
              <w:jc w:val="both"/>
            </w:pPr>
            <w:r>
              <w:rPr>
                <w:sz w:val="21"/>
              </w:rPr>
              <w:t>整张床主要部件连接部分采用挂件连接，不采用螺丝连接。每张床可承重达</w:t>
            </w:r>
            <w:r>
              <w:rPr>
                <w:sz w:val="21"/>
              </w:rPr>
              <w:t>400kg以上。</w:t>
            </w:r>
          </w:p>
        </w:tc>
      </w:tr>
      <w:tr>
        <w:tc>
          <w:tcPr>
            <w:tcW w:type="dxa" w:w="2076"/>
          </w:tcPr>
          <w:p/>
        </w:tc>
        <w:tc>
          <w:tcPr>
            <w:tcW w:type="dxa" w:w="415"/>
          </w:tcPr>
          <w:p>
            <w:pPr>
              <w:pStyle w:val="null3"/>
            </w:pPr>
            <w:r>
              <w:rPr/>
              <w:t>19</w:t>
            </w:r>
          </w:p>
        </w:tc>
        <w:tc>
          <w:tcPr>
            <w:tcW w:type="dxa" w:w="5814"/>
          </w:tcPr>
          <w:p>
            <w:pPr>
              <w:pStyle w:val="null3"/>
              <w:jc w:val="both"/>
            </w:pPr>
            <w:r>
              <w:rPr>
                <w:sz w:val="21"/>
              </w:rPr>
              <w:t>ABS塑料套：所有立柱接触地面处配高度≥35mm的外套式注塑防潮胶套（不接受3D打印），增强接触地面的防潮性能以及安全防护性。</w:t>
            </w:r>
          </w:p>
        </w:tc>
      </w:tr>
      <w:tr>
        <w:tc>
          <w:tcPr>
            <w:tcW w:type="dxa" w:w="2076"/>
          </w:tcPr>
          <w:p/>
        </w:tc>
        <w:tc>
          <w:tcPr>
            <w:tcW w:type="dxa" w:w="415"/>
          </w:tcPr>
          <w:p>
            <w:pPr>
              <w:pStyle w:val="null3"/>
            </w:pPr>
            <w:r>
              <w:rPr/>
              <w:t>20</w:t>
            </w:r>
          </w:p>
        </w:tc>
        <w:tc>
          <w:tcPr>
            <w:tcW w:type="dxa" w:w="5814"/>
          </w:tcPr>
          <w:p>
            <w:pPr>
              <w:pStyle w:val="null3"/>
              <w:jc w:val="both"/>
            </w:pPr>
            <w:r>
              <w:rPr>
                <w:sz w:val="21"/>
              </w:rPr>
              <w:t>ABS塑料套符合GB28481最新标准、GB/T32487最新标准，要求其中有害物质邻苯二甲酸盐酯（BBP、DBP、DEHP、DNOP、DINP、DIDP）、16种多环芳烃（PAH）总量、苯并芘、重金属（可溶性铅、镉、铬、汞）等均应为未检出。（</w:t>
            </w:r>
            <w:r>
              <w:rPr>
                <w:sz w:val="21"/>
              </w:rPr>
              <w:t>投标人须提供有资质的第三方单位出具的合法有效的符合本条参数要求的相关证明材料复印件或扫描件</w:t>
            </w:r>
            <w:r>
              <w:rPr>
                <w:sz w:val="21"/>
              </w:rPr>
              <w:t>）</w:t>
            </w:r>
          </w:p>
        </w:tc>
      </w:tr>
      <w:tr>
        <w:tc>
          <w:tcPr>
            <w:tcW w:type="dxa" w:w="2076"/>
          </w:tcPr>
          <w:p/>
        </w:tc>
        <w:tc>
          <w:tcPr>
            <w:tcW w:type="dxa" w:w="415"/>
          </w:tcPr>
          <w:p>
            <w:pPr>
              <w:pStyle w:val="null3"/>
            </w:pPr>
            <w:r>
              <w:rPr/>
              <w:t>21</w:t>
            </w:r>
          </w:p>
        </w:tc>
        <w:tc>
          <w:tcPr>
            <w:tcW w:type="dxa" w:w="5814"/>
          </w:tcPr>
          <w:p>
            <w:pPr>
              <w:pStyle w:val="null3"/>
              <w:jc w:val="both"/>
            </w:pPr>
            <w:r>
              <w:rPr>
                <w:sz w:val="21"/>
              </w:rPr>
              <w:t>床立柱、横梁等冷轧镀锌钢管管材以及冷轧钢板经除油、除锈、水基脱脂、水基中和，表面调整、磷化等工序后静电喷环氧型树脂粉末涂料，再经高温固化而成。</w:t>
            </w:r>
          </w:p>
        </w:tc>
      </w:tr>
      <w:tr>
        <w:tc>
          <w:tcPr>
            <w:tcW w:type="dxa" w:w="2076"/>
          </w:tcPr>
          <w:p/>
        </w:tc>
        <w:tc>
          <w:tcPr>
            <w:tcW w:type="dxa" w:w="415"/>
          </w:tcPr>
          <w:p>
            <w:pPr>
              <w:pStyle w:val="null3"/>
            </w:pPr>
            <w:r>
              <w:rPr/>
              <w:t>22</w:t>
            </w:r>
          </w:p>
        </w:tc>
        <w:tc>
          <w:tcPr>
            <w:tcW w:type="dxa" w:w="5814"/>
          </w:tcPr>
          <w:p>
            <w:pPr>
              <w:pStyle w:val="null3"/>
              <w:jc w:val="both"/>
            </w:pPr>
            <w:r>
              <w:rPr>
                <w:sz w:val="21"/>
              </w:rPr>
              <w:t>金属脱脂材料符合国家标准要求，其中挥发性有机化合物、苯系物含量（苯、甲苯、乙苯、二甲苯总和）、乙二醇醚及其酯类含量（乙二醇甲醚、乙二醇甲醚醋酸酯、乙二醇乙醚、乙二醇乙醚醋酸酯、二乙二醇丁醚醋酸酯总和）、游离甲醛含量等应未检出；粉末涂料（塑粉）经</w:t>
            </w:r>
            <w:r>
              <w:rPr>
                <w:sz w:val="21"/>
              </w:rPr>
              <w:t>GB/T22048最新标准测试要求其中重金属和阻燃剂含量要求（铅、镉、汞、六价铬、多溴联苯、十类溴联苯、多溴联苯醚、十类溴联苯醚）BBP、DEHP、HBCCD等未检出。（</w:t>
            </w:r>
            <w:r>
              <w:rPr>
                <w:sz w:val="21"/>
              </w:rPr>
              <w:t>投标人须提供有资质的第三方单位出具的合法有效的符合本条参数要求的相关证明材料复印件或扫描件</w:t>
            </w:r>
            <w:r>
              <w:rPr>
                <w:sz w:val="21"/>
              </w:rPr>
              <w:t>）</w:t>
            </w:r>
          </w:p>
        </w:tc>
      </w:tr>
      <w:tr>
        <w:tc>
          <w:tcPr>
            <w:tcW w:type="dxa" w:w="2076"/>
          </w:tcPr>
          <w:p/>
        </w:tc>
        <w:tc>
          <w:tcPr>
            <w:tcW w:type="dxa" w:w="415"/>
          </w:tcPr>
          <w:p>
            <w:pPr>
              <w:pStyle w:val="null3"/>
            </w:pPr>
            <w:r>
              <w:rPr/>
              <w:t>23</w:t>
            </w:r>
          </w:p>
        </w:tc>
        <w:tc>
          <w:tcPr>
            <w:tcW w:type="dxa" w:w="5814"/>
          </w:tcPr>
          <w:p>
            <w:pPr>
              <w:pStyle w:val="null3"/>
              <w:jc w:val="both"/>
            </w:pPr>
            <w:r>
              <w:rPr>
                <w:sz w:val="21"/>
              </w:rPr>
              <w:t>床梯材质参数：踏步梯支柱采用</w:t>
            </w:r>
            <w:r>
              <w:rPr>
                <w:sz w:val="21"/>
              </w:rPr>
              <w:t>≥50×25×1.2mm（L×W×H）镀锌钢管。床梯为≥1.5mm冷轧钢板经三折弯成型，床梯面加宽并进行防滑处理，带防滑条纹。</w:t>
            </w:r>
          </w:p>
        </w:tc>
      </w:tr>
      <w:tr>
        <w:tc>
          <w:tcPr>
            <w:tcW w:type="dxa" w:w="2076"/>
          </w:tcPr>
          <w:p/>
        </w:tc>
        <w:tc>
          <w:tcPr>
            <w:tcW w:type="dxa" w:w="415"/>
          </w:tcPr>
          <w:p>
            <w:pPr>
              <w:pStyle w:val="null3"/>
            </w:pPr>
            <w:r>
              <w:rPr/>
              <w:t>24</w:t>
            </w:r>
          </w:p>
        </w:tc>
        <w:tc>
          <w:tcPr>
            <w:tcW w:type="dxa" w:w="5814"/>
          </w:tcPr>
          <w:p>
            <w:pPr>
              <w:pStyle w:val="null3"/>
              <w:jc w:val="both"/>
            </w:pPr>
            <w:r>
              <w:rPr>
                <w:sz w:val="21"/>
              </w:rPr>
              <w:t>组合书桌柜部分，衣柜尺寸：</w:t>
            </w:r>
            <w:r>
              <w:rPr>
                <w:sz w:val="21"/>
              </w:rPr>
              <w:t>≥600×600×1720mm（L×W×H）。承板下方增加承重加强筋和侧板，且层板间距能竖放A4尺寸教材。</w:t>
            </w:r>
          </w:p>
        </w:tc>
      </w:tr>
      <w:tr>
        <w:tc>
          <w:tcPr>
            <w:tcW w:type="dxa" w:w="2076"/>
          </w:tcPr>
          <w:p/>
        </w:tc>
        <w:tc>
          <w:tcPr>
            <w:tcW w:type="dxa" w:w="415"/>
          </w:tcPr>
          <w:p>
            <w:pPr>
              <w:pStyle w:val="null3"/>
            </w:pPr>
            <w:r>
              <w:rPr/>
              <w:t>25</w:t>
            </w:r>
          </w:p>
        </w:tc>
        <w:tc>
          <w:tcPr>
            <w:tcW w:type="dxa" w:w="5814"/>
          </w:tcPr>
          <w:p>
            <w:pPr>
              <w:pStyle w:val="null3"/>
              <w:jc w:val="both"/>
            </w:pPr>
            <w:r>
              <w:rPr>
                <w:sz w:val="24"/>
              </w:rPr>
              <w:t>衣柜采用</w:t>
            </w:r>
            <w:r>
              <w:rPr>
                <w:sz w:val="24"/>
              </w:rPr>
              <w:t>≥0.8mm</w:t>
            </w:r>
            <w:r>
              <w:rPr>
                <w:sz w:val="24"/>
              </w:rPr>
              <w:t>冷轧钢板，经折弯、冲压、高频焊接成型，内部带不锈钢挂衣杆。柜门采用沉式挂锁结构，门铰等五金配件紧密拼接。下门内部可挂衣服，挂衣杆</w:t>
            </w:r>
            <w:r>
              <w:rPr>
                <w:sz w:val="24"/>
              </w:rPr>
              <w:t>≥ф19mm</w:t>
            </w:r>
            <w:r>
              <w:rPr>
                <w:sz w:val="24"/>
              </w:rPr>
              <w:t>不锈钢管。柜子底部焊接</w:t>
            </w:r>
            <w:r>
              <w:rPr>
                <w:sz w:val="24"/>
              </w:rPr>
              <w:t>≥50mm</w:t>
            </w:r>
            <w:r>
              <w:rPr>
                <w:sz w:val="24"/>
              </w:rPr>
              <w:t>高方管尺寸</w:t>
            </w:r>
            <w:r>
              <w:rPr>
                <w:sz w:val="24"/>
              </w:rPr>
              <w:t>≥40mm×40mm×1.0mm</w:t>
            </w:r>
            <w:r>
              <w:rPr>
                <w:sz w:val="24"/>
              </w:rPr>
              <w:t>（</w:t>
            </w:r>
            <w:r>
              <w:rPr>
                <w:sz w:val="24"/>
              </w:rPr>
              <w:t>L×W×H</w:t>
            </w:r>
            <w:r>
              <w:rPr>
                <w:sz w:val="24"/>
              </w:rPr>
              <w:t>），并在接触地面部分加装胶套。</w:t>
            </w:r>
            <w:r>
              <w:rPr>
                <w:sz w:val="24"/>
              </w:rPr>
              <w:t>上下柜门</w:t>
            </w:r>
            <w:r>
              <w:rPr>
                <w:sz w:val="24"/>
              </w:rPr>
              <w:t>的</w:t>
            </w:r>
            <w:r>
              <w:rPr>
                <w:sz w:val="24"/>
              </w:rPr>
              <w:t>尺寸不做要求</w:t>
            </w:r>
            <w:r>
              <w:rPr>
                <w:sz w:val="24"/>
              </w:rPr>
              <w:t>。</w:t>
            </w:r>
          </w:p>
        </w:tc>
      </w:tr>
      <w:tr>
        <w:tc>
          <w:tcPr>
            <w:tcW w:type="dxa" w:w="2076"/>
          </w:tcPr>
          <w:p/>
        </w:tc>
        <w:tc>
          <w:tcPr>
            <w:tcW w:type="dxa" w:w="415"/>
          </w:tcPr>
          <w:p>
            <w:pPr>
              <w:pStyle w:val="null3"/>
            </w:pPr>
            <w:r>
              <w:rPr/>
              <w:t>26</w:t>
            </w:r>
          </w:p>
        </w:tc>
        <w:tc>
          <w:tcPr>
            <w:tcW w:type="dxa" w:w="5814"/>
          </w:tcPr>
          <w:p>
            <w:pPr>
              <w:pStyle w:val="null3"/>
              <w:jc w:val="both"/>
            </w:pPr>
            <w:r>
              <w:rPr>
                <w:sz w:val="21"/>
              </w:rPr>
              <w:t>钢板：符合</w:t>
            </w:r>
            <w:r>
              <w:rPr>
                <w:sz w:val="21"/>
              </w:rPr>
              <w:t>GB/T3325最新标准、GB/T35607最新标准，家具涂层可迁移元素（铅、镉、铬、汞、砷、钡、锑、硒）未检出，金属喷塑涂层理化性能（硬度≥4H、附着力0级、≥100H耐腐蚀、冲击强度）合格。（</w:t>
            </w:r>
            <w:r>
              <w:rPr>
                <w:sz w:val="21"/>
              </w:rPr>
              <w:t>投标人须提供有资质的第三方单位出具的合法有效的符合本条参数要求的相关证明材料复印件或扫描件</w:t>
            </w:r>
            <w:r>
              <w:rPr>
                <w:sz w:val="21"/>
              </w:rPr>
              <w:t>）</w:t>
            </w:r>
          </w:p>
        </w:tc>
      </w:tr>
      <w:tr>
        <w:tc>
          <w:tcPr>
            <w:tcW w:type="dxa" w:w="2076"/>
          </w:tcPr>
          <w:p/>
        </w:tc>
        <w:tc>
          <w:tcPr>
            <w:tcW w:type="dxa" w:w="415"/>
          </w:tcPr>
          <w:p>
            <w:pPr>
              <w:pStyle w:val="null3"/>
            </w:pPr>
            <w:r>
              <w:rPr/>
              <w:t>27</w:t>
            </w:r>
          </w:p>
        </w:tc>
        <w:tc>
          <w:tcPr>
            <w:tcW w:type="dxa" w:w="5814"/>
          </w:tcPr>
          <w:p>
            <w:pPr>
              <w:pStyle w:val="null3"/>
              <w:jc w:val="both"/>
            </w:pPr>
            <w:r>
              <w:rPr>
                <w:sz w:val="21"/>
              </w:rPr>
              <w:t>衣柜（钢板）：结构安全合格，产品有害物质（甲醛、苯、甲苯、二甲苯、</w:t>
            </w:r>
            <w:r>
              <w:rPr>
                <w:sz w:val="21"/>
              </w:rPr>
              <w:t>TVOC）未检出，隔板定位试验、隔板弯曲试验、隔板支撑件强度试验、顶、底板的持续加载试验、顶和底板的静载荷试验、挂衣棍支撑件强度试验、挂衣棍弯曲试验、结构和底架强度试验、跌落试验、拉门垂直加载试验、拉门水平加载试验、拉门猛关试验、持续加载试验（过载试验）等强度试验合格，拉门耐久性试验≥80000次合格，隔板水平、垂直加载稳定性能合格，活动部件关闭和打开时空载和加载稳定性合格；衣柜阻燃性能达到GB20286最新标准阻燃1级要求。（</w:t>
            </w:r>
            <w:r>
              <w:rPr>
                <w:sz w:val="21"/>
              </w:rPr>
              <w:t>投标人须提供有资质的第三方单位出具的合法有效的符合本条参数要求的相关证明材料复印件或扫描件</w:t>
            </w:r>
            <w:r>
              <w:rPr>
                <w:sz w:val="21"/>
              </w:rPr>
              <w:t>）</w:t>
            </w:r>
          </w:p>
        </w:tc>
      </w:tr>
      <w:tr>
        <w:tc>
          <w:tcPr>
            <w:tcW w:type="dxa" w:w="2076"/>
          </w:tcPr>
          <w:p/>
        </w:tc>
        <w:tc>
          <w:tcPr>
            <w:tcW w:type="dxa" w:w="415"/>
          </w:tcPr>
          <w:p>
            <w:pPr>
              <w:pStyle w:val="null3"/>
            </w:pPr>
            <w:r>
              <w:rPr/>
              <w:t>28</w:t>
            </w:r>
          </w:p>
        </w:tc>
        <w:tc>
          <w:tcPr>
            <w:tcW w:type="dxa" w:w="5814"/>
          </w:tcPr>
          <w:p>
            <w:pPr>
              <w:pStyle w:val="null3"/>
              <w:jc w:val="both"/>
            </w:pPr>
            <w:r>
              <w:rPr>
                <w:sz w:val="21"/>
              </w:rPr>
              <w:t>主机柜尺寸为：宽</w:t>
            </w:r>
            <w:r>
              <w:rPr>
                <w:sz w:val="21"/>
              </w:rPr>
              <w:t>350mm×深550mm×高750mm，厚度≥0.8mm喷塑冷轧钢板。</w:t>
            </w:r>
          </w:p>
        </w:tc>
      </w:tr>
      <w:tr>
        <w:tc>
          <w:tcPr>
            <w:tcW w:type="dxa" w:w="2076"/>
          </w:tcPr>
          <w:p/>
        </w:tc>
        <w:tc>
          <w:tcPr>
            <w:tcW w:type="dxa" w:w="415"/>
          </w:tcPr>
          <w:p>
            <w:pPr>
              <w:pStyle w:val="null3"/>
            </w:pPr>
            <w:r>
              <w:rPr/>
              <w:t>29</w:t>
            </w:r>
          </w:p>
        </w:tc>
        <w:tc>
          <w:tcPr>
            <w:tcW w:type="dxa" w:w="5814"/>
          </w:tcPr>
          <w:p>
            <w:pPr>
              <w:pStyle w:val="null3"/>
              <w:jc w:val="both"/>
            </w:pPr>
            <w:r>
              <w:rPr>
                <w:sz w:val="21"/>
              </w:rPr>
              <w:t>七字柜尺寸为：总宽</w:t>
            </w:r>
            <w:r>
              <w:rPr>
                <w:sz w:val="21"/>
              </w:rPr>
              <w:t>1320mm（偏柜两层正面宽350mm）×深250mm×高940mm，七字形结构，厚度≥0.8mm喷塑冷轧钢板。</w:t>
            </w:r>
          </w:p>
        </w:tc>
      </w:tr>
      <w:tr>
        <w:tc>
          <w:tcPr>
            <w:tcW w:type="dxa" w:w="2076"/>
          </w:tcPr>
          <w:p>
            <w:pPr>
              <w:pStyle w:val="null3"/>
            </w:pPr>
            <w:r>
              <w:rPr/>
              <w:t>▲</w:t>
            </w:r>
          </w:p>
        </w:tc>
        <w:tc>
          <w:tcPr>
            <w:tcW w:type="dxa" w:w="415"/>
          </w:tcPr>
          <w:p>
            <w:pPr>
              <w:pStyle w:val="null3"/>
            </w:pPr>
            <w:r>
              <w:rPr/>
              <w:t>30</w:t>
            </w:r>
          </w:p>
        </w:tc>
        <w:tc>
          <w:tcPr>
            <w:tcW w:type="dxa" w:w="5814"/>
          </w:tcPr>
          <w:p>
            <w:pPr>
              <w:pStyle w:val="null3"/>
              <w:jc w:val="both"/>
            </w:pPr>
            <w:r>
              <w:rPr>
                <w:sz w:val="21"/>
              </w:rPr>
              <w:t>学习桌桌面：采用</w:t>
            </w:r>
            <w:r>
              <w:rPr>
                <w:sz w:val="21"/>
              </w:rPr>
              <w:t>1320mm×600mm×30mm（L×W×H）中空吹塑桌面，塑料桌面板底部加装内陷式由≥10mm×20mm×1.2mm方管焊接成≥1275mm*560mm支撑架，支撑架由四根≥10mm×20mm方形长管作为横管，两头采用两条≥10mm×20mm方形短管作为竖管，支撑架起到增强整体的承载能力的作用，方管架陷在塑料台面底部与台面底部成平面，桌面安装高度≥750mm；桌面背面需配颜色与桌面相近的挡条，挡条高度≥80mm。学习桌阻燃性能达到GB20286最新标准阻燃1级要求。（投标时提供满足以上技术要求的带CMA认证标识的第三方检测机构出具的检测报告复印件）</w:t>
            </w:r>
          </w:p>
        </w:tc>
      </w:tr>
      <w:tr>
        <w:tc>
          <w:tcPr>
            <w:tcW w:type="dxa" w:w="2076"/>
          </w:tcPr>
          <w:p/>
        </w:tc>
        <w:tc>
          <w:tcPr>
            <w:tcW w:type="dxa" w:w="415"/>
          </w:tcPr>
          <w:p>
            <w:pPr>
              <w:pStyle w:val="null3"/>
            </w:pPr>
            <w:r>
              <w:rPr/>
              <w:t>31</w:t>
            </w:r>
          </w:p>
        </w:tc>
        <w:tc>
          <w:tcPr>
            <w:tcW w:type="dxa" w:w="5814"/>
          </w:tcPr>
          <w:p>
            <w:pPr>
              <w:pStyle w:val="null3"/>
              <w:jc w:val="both"/>
            </w:pPr>
            <w:r>
              <w:rPr>
                <w:sz w:val="21"/>
              </w:rPr>
              <w:t>塑料板经</w:t>
            </w:r>
            <w:r>
              <w:rPr>
                <w:sz w:val="21"/>
              </w:rPr>
              <w:t>GB/T32487最新标准、GB28481最新标准，其中重金属（可溶性铅、镉、铬、汞）、邻苯二甲酸盐酯（BBP、DBP、DEHP、DNOP、DINP、DIDP）、16种多环芳烃（PAH）总量、苯并芘等均未检出。（</w:t>
            </w:r>
            <w:r>
              <w:rPr>
                <w:sz w:val="21"/>
              </w:rPr>
              <w:t>投标人须提供有资质的第三方单位出具的合法有效的符合本条参数要求的相关证明材料复印件或扫描件</w:t>
            </w:r>
            <w:r>
              <w:rPr>
                <w:sz w:val="21"/>
              </w:rPr>
              <w:t>）</w:t>
            </w:r>
          </w:p>
        </w:tc>
      </w:tr>
      <w:tr>
        <w:tc>
          <w:tcPr>
            <w:tcW w:type="dxa" w:w="2076"/>
          </w:tcPr>
          <w:p>
            <w:pPr>
              <w:pStyle w:val="null3"/>
            </w:pPr>
            <w:r>
              <w:rPr/>
              <w:t>▲</w:t>
            </w:r>
          </w:p>
        </w:tc>
        <w:tc>
          <w:tcPr>
            <w:tcW w:type="dxa" w:w="415"/>
          </w:tcPr>
          <w:p>
            <w:pPr>
              <w:pStyle w:val="null3"/>
            </w:pPr>
            <w:r>
              <w:rPr/>
              <w:t>32</w:t>
            </w:r>
          </w:p>
        </w:tc>
        <w:tc>
          <w:tcPr>
            <w:tcW w:type="dxa" w:w="5814"/>
          </w:tcPr>
          <w:p>
            <w:pPr>
              <w:pStyle w:val="null3"/>
              <w:jc w:val="both"/>
            </w:pPr>
            <w:r>
              <w:rPr>
                <w:sz w:val="21"/>
              </w:rPr>
              <w:t>床板：每块床板由</w:t>
            </w:r>
            <w:r>
              <w:rPr>
                <w:sz w:val="21"/>
              </w:rPr>
              <w:t>7块（或以下）杉木板拼接，采用≥18mm厚杉木床板，双面刨光处理，不能存有木屑和毛刺，床板符合铁床的规格要求，床板下方用杉木条固定按GB/T3324最新标准、GB18584最新标准检验木材含水率8%～13%。床板数与床位数相同，满铺床架，且睡觉时无异响。</w:t>
            </w:r>
          </w:p>
        </w:tc>
      </w:tr>
      <w:tr>
        <w:tc>
          <w:tcPr>
            <w:tcW w:type="dxa" w:w="2076"/>
          </w:tcPr>
          <w:p/>
        </w:tc>
        <w:tc>
          <w:tcPr>
            <w:tcW w:type="dxa" w:w="415"/>
          </w:tcPr>
          <w:p>
            <w:pPr>
              <w:pStyle w:val="null3"/>
            </w:pPr>
            <w:r>
              <w:rPr/>
              <w:t>33</w:t>
            </w:r>
          </w:p>
        </w:tc>
        <w:tc>
          <w:tcPr>
            <w:tcW w:type="dxa" w:w="5814"/>
          </w:tcPr>
          <w:p>
            <w:pPr>
              <w:pStyle w:val="null3"/>
              <w:jc w:val="both"/>
            </w:pPr>
            <w:r>
              <w:rPr>
                <w:sz w:val="21"/>
              </w:rPr>
              <w:t>所有五金件安装须符合</w:t>
            </w:r>
            <w:r>
              <w:rPr>
                <w:sz w:val="21"/>
              </w:rPr>
              <w:t>QB/T1242最新标准；本产品使用的钢材在可接触区域的边缘应做卷边或平滑圆边防伤害处理。</w:t>
            </w:r>
          </w:p>
        </w:tc>
      </w:tr>
      <w:tr>
        <w:tc>
          <w:tcPr>
            <w:tcW w:type="dxa" w:w="2076"/>
          </w:tcPr>
          <w:p/>
        </w:tc>
        <w:tc>
          <w:tcPr>
            <w:tcW w:type="dxa" w:w="415"/>
          </w:tcPr>
          <w:p>
            <w:pPr>
              <w:pStyle w:val="null3"/>
            </w:pPr>
            <w:r>
              <w:rPr/>
              <w:t>34</w:t>
            </w:r>
          </w:p>
        </w:tc>
        <w:tc>
          <w:tcPr>
            <w:tcW w:type="dxa" w:w="5814"/>
          </w:tcPr>
          <w:p>
            <w:pPr>
              <w:pStyle w:val="null3"/>
              <w:jc w:val="both"/>
            </w:pPr>
            <w:r>
              <w:rPr>
                <w:sz w:val="21"/>
              </w:rPr>
              <w:t>本产品单侧加长的部分的桌面、柜子、书架等部分的尺寸适配加长的长度相应调整尺寸。</w:t>
            </w:r>
          </w:p>
        </w:tc>
      </w:tr>
      <w:tr>
        <w:tc>
          <w:tcPr>
            <w:tcW w:type="dxa" w:w="2076"/>
          </w:tcPr>
          <w:p>
            <w:pPr>
              <w:pStyle w:val="null3"/>
            </w:pPr>
            <w:r>
              <w:rPr/>
              <w:t>▲</w:t>
            </w:r>
          </w:p>
        </w:tc>
        <w:tc>
          <w:tcPr>
            <w:tcW w:type="dxa" w:w="415"/>
          </w:tcPr>
          <w:p>
            <w:pPr>
              <w:pStyle w:val="null3"/>
            </w:pPr>
            <w:r>
              <w:rPr/>
              <w:t>35</w:t>
            </w:r>
          </w:p>
        </w:tc>
        <w:tc>
          <w:tcPr>
            <w:tcW w:type="dxa" w:w="5814"/>
          </w:tcPr>
          <w:p>
            <w:pPr>
              <w:pStyle w:val="null3"/>
              <w:jc w:val="both"/>
            </w:pPr>
            <w:r>
              <w:rPr>
                <w:sz w:val="21"/>
              </w:rPr>
              <w:t>椅子规格（</w:t>
            </w:r>
            <w:r>
              <w:rPr>
                <w:sz w:val="21"/>
              </w:rPr>
              <w:t>mm）：380mm×370mm×750mm（L×W×H）。</w:t>
            </w:r>
          </w:p>
        </w:tc>
      </w:tr>
      <w:tr>
        <w:tc>
          <w:tcPr>
            <w:tcW w:type="dxa" w:w="2076"/>
          </w:tcPr>
          <w:p/>
        </w:tc>
        <w:tc>
          <w:tcPr>
            <w:tcW w:type="dxa" w:w="415"/>
          </w:tcPr>
          <w:p>
            <w:pPr>
              <w:pStyle w:val="null3"/>
            </w:pPr>
            <w:r>
              <w:rPr/>
              <w:t>36</w:t>
            </w:r>
          </w:p>
        </w:tc>
        <w:tc>
          <w:tcPr>
            <w:tcW w:type="dxa" w:w="5814"/>
          </w:tcPr>
          <w:p>
            <w:pPr>
              <w:pStyle w:val="null3"/>
              <w:jc w:val="both"/>
            </w:pPr>
            <w:r>
              <w:rPr>
                <w:sz w:val="21"/>
              </w:rPr>
              <w:t>椅管采用</w:t>
            </w:r>
            <w:r>
              <w:rPr>
                <w:sz w:val="21"/>
              </w:rPr>
              <w:t>≥40mm×20mm×1.2mm（L×W×H）钢管，增加侧连杆。</w:t>
            </w:r>
          </w:p>
        </w:tc>
      </w:tr>
      <w:tr>
        <w:tc>
          <w:tcPr>
            <w:tcW w:type="dxa" w:w="2076"/>
          </w:tcPr>
          <w:p/>
        </w:tc>
        <w:tc>
          <w:tcPr>
            <w:tcW w:type="dxa" w:w="415"/>
          </w:tcPr>
          <w:p>
            <w:pPr>
              <w:pStyle w:val="null3"/>
            </w:pPr>
            <w:r>
              <w:rPr/>
              <w:t>37</w:t>
            </w:r>
          </w:p>
        </w:tc>
        <w:tc>
          <w:tcPr>
            <w:tcW w:type="dxa" w:w="5814"/>
          </w:tcPr>
          <w:p>
            <w:pPr>
              <w:pStyle w:val="null3"/>
              <w:jc w:val="both"/>
            </w:pPr>
            <w:r>
              <w:rPr>
                <w:sz w:val="21"/>
              </w:rPr>
              <w:t>座板、靠背板采用厚度</w:t>
            </w:r>
            <w:r>
              <w:rPr>
                <w:sz w:val="21"/>
              </w:rPr>
              <w:t>≥12mm的E1级夹板贴三聚氰胺饰面，其性能指标须符合GB/T9846最新标准中要求的优等品要求。座板：≥380mm×370mm×12mm（L×W×H），靠背板：≥350mm×145mm×12mm（L×W×H）。</w:t>
            </w:r>
          </w:p>
        </w:tc>
      </w:tr>
      <w:tr>
        <w:tc>
          <w:tcPr>
            <w:tcW w:type="dxa" w:w="2076"/>
          </w:tcPr>
          <w:p/>
        </w:tc>
        <w:tc>
          <w:tcPr>
            <w:tcW w:type="dxa" w:w="415"/>
          </w:tcPr>
          <w:p>
            <w:pPr>
              <w:pStyle w:val="null3"/>
            </w:pPr>
            <w:r>
              <w:rPr/>
              <w:t>38</w:t>
            </w:r>
          </w:p>
        </w:tc>
        <w:tc>
          <w:tcPr>
            <w:tcW w:type="dxa" w:w="5814"/>
          </w:tcPr>
          <w:p>
            <w:pPr>
              <w:pStyle w:val="null3"/>
              <w:jc w:val="both"/>
            </w:pPr>
            <w:r>
              <w:rPr>
                <w:sz w:val="21"/>
              </w:rPr>
              <w:t>胶水及白乳胶：环保胶水及白乳胶，板材粘连无丝无缝、不允许脱胶、表面无胶渍、在不同地区气温、湿度的变化中不受影响。白乳胶经</w:t>
            </w:r>
            <w:r>
              <w:rPr>
                <w:sz w:val="21"/>
              </w:rPr>
              <w:t>GB18583最新标准检测游离甲醛≤0.2g/kg，苯含量未检出（ND），甲苯+二甲苯含量未检出（ND）、总挥发有机物含量≤400g/L。</w:t>
            </w:r>
          </w:p>
        </w:tc>
      </w:tr>
      <w:tr>
        <w:tc>
          <w:tcPr>
            <w:tcW w:type="dxa" w:w="2076"/>
          </w:tcPr>
          <w:p/>
        </w:tc>
        <w:tc>
          <w:tcPr>
            <w:tcW w:type="dxa" w:w="415"/>
          </w:tcPr>
          <w:p>
            <w:pPr>
              <w:pStyle w:val="null3"/>
            </w:pPr>
            <w:r>
              <w:rPr/>
              <w:t>39</w:t>
            </w:r>
          </w:p>
        </w:tc>
        <w:tc>
          <w:tcPr>
            <w:tcW w:type="dxa" w:w="5814"/>
          </w:tcPr>
          <w:p>
            <w:pPr>
              <w:pStyle w:val="null3"/>
              <w:jc w:val="both"/>
            </w:pPr>
            <w:r>
              <w:rPr>
                <w:sz w:val="21"/>
              </w:rPr>
              <w:t>钢管焊接全部采用二氧化碳亚弧焊接，焊接表面波纹均匀，并保证焊处无夹渣、气孔、焊瘤、焊丝头咬边和飞溅并保证无脱焊、虚焊、焊穿等现象，所有焊接口打磨光滑。所有钢材经除油、除锈、水基脱脂、水基中和，表面调整、磷化等工序后静电喷环氧型树脂粉末涂料（热固性粉末涂料），经</w:t>
            </w:r>
            <w:r>
              <w:rPr>
                <w:sz w:val="21"/>
              </w:rPr>
              <w:t>≥200℃高温固化而成，塑膜的光泽度好、附着力高、硬度强、耐冲力性能符合国家标准要求。</w:t>
            </w:r>
          </w:p>
        </w:tc>
      </w:tr>
      <w:tr>
        <w:tc>
          <w:tcPr>
            <w:tcW w:type="dxa" w:w="2076"/>
          </w:tcPr>
          <w:p/>
        </w:tc>
        <w:tc>
          <w:tcPr>
            <w:tcW w:type="dxa" w:w="415"/>
          </w:tcPr>
          <w:p>
            <w:pPr>
              <w:pStyle w:val="null3"/>
            </w:pPr>
            <w:r>
              <w:rPr/>
              <w:t>40</w:t>
            </w:r>
          </w:p>
        </w:tc>
        <w:tc>
          <w:tcPr>
            <w:tcW w:type="dxa" w:w="5814"/>
          </w:tcPr>
          <w:p>
            <w:pPr>
              <w:pStyle w:val="null3"/>
              <w:jc w:val="both"/>
            </w:pPr>
            <w:r>
              <w:rPr>
                <w:sz w:val="21"/>
              </w:rPr>
              <w:t>脚套：学习椅接触地面处必须使用脚套进行防潮保护，脚套符合</w:t>
            </w:r>
            <w:r>
              <w:rPr>
                <w:sz w:val="21"/>
              </w:rPr>
              <w:t>GB/T32487最新标准要求。（</w:t>
            </w:r>
            <w:r>
              <w:rPr>
                <w:sz w:val="21"/>
              </w:rPr>
              <w:t>投标人须提供有资质的第三方单位出具的合法有效的符合本条参数要求的相关证明材料复印件或扫描件</w:t>
            </w:r>
            <w:r>
              <w:rPr>
                <w:sz w:val="21"/>
              </w:rPr>
              <w:t>）</w:t>
            </w:r>
          </w:p>
        </w:tc>
      </w:tr>
      <w:tr>
        <w:tc>
          <w:tcPr>
            <w:tcW w:type="dxa" w:w="2076"/>
          </w:tcPr>
          <w:p/>
        </w:tc>
        <w:tc>
          <w:tcPr>
            <w:tcW w:type="dxa" w:w="415"/>
          </w:tcPr>
          <w:p>
            <w:pPr>
              <w:pStyle w:val="null3"/>
            </w:pPr>
            <w:r>
              <w:rPr/>
              <w:t>41</w:t>
            </w:r>
          </w:p>
        </w:tc>
        <w:tc>
          <w:tcPr>
            <w:tcW w:type="dxa" w:w="5814"/>
          </w:tcPr>
          <w:p>
            <w:pPr>
              <w:pStyle w:val="null3"/>
              <w:jc w:val="both"/>
            </w:pPr>
            <w:r>
              <w:rPr>
                <w:sz w:val="21"/>
              </w:rPr>
              <w:t>通过</w:t>
            </w:r>
            <w:r>
              <w:rPr>
                <w:sz w:val="21"/>
              </w:rPr>
              <w:t>GB/T3325最新标准、GB/T35607最新标准及其他相关标准的检测，抗冲击1级，耐光色牢度5级，表面胶合强度≥0.5Mpa，产品有害物质：家具涂层可迁移元素（铅、镉、铬、汞、砷、钡、锑、硒）ND、木家具及其他产品（甲醛释放量、苯、甲苯、二甲苯、TVOC）ND、喷涂层理化性能（硬度4H、抗冲击强度、耐盐浴合格、附着力0级），椅子向前倾翻、向后倾翻、侧向倾翻3项合格，座面椅背联合静载荷合格，座面椅背联合耐久性合格，座面侧向静载荷、座面冲击、椅背冲击、椅腿跌落、椅腿向前静载荷、椅腿侧向静载荷等项合格。学生学习椅阻燃性能达到GB20286最新标准阻燃1级要求。（</w:t>
            </w:r>
            <w:r>
              <w:rPr>
                <w:sz w:val="21"/>
              </w:rPr>
              <w:t>投标人须提供有资质的第三方单位出具的合法有效的符合本条参数要求的相关证明材料复印件或扫描件</w:t>
            </w:r>
            <w:r>
              <w:rPr>
                <w:sz w:val="21"/>
              </w:rPr>
              <w:t>）</w:t>
            </w:r>
          </w:p>
        </w:tc>
      </w:tr>
      <w:tr>
        <w:tc>
          <w:tcPr>
            <w:tcW w:type="dxa" w:w="2076"/>
          </w:tcPr>
          <w:p/>
        </w:tc>
        <w:tc>
          <w:tcPr>
            <w:tcW w:type="dxa" w:w="415"/>
          </w:tcPr>
          <w:p>
            <w:pPr>
              <w:pStyle w:val="null3"/>
            </w:pPr>
            <w:r>
              <w:rPr/>
              <w:t>42</w:t>
            </w:r>
          </w:p>
        </w:tc>
        <w:tc>
          <w:tcPr>
            <w:tcW w:type="dxa" w:w="5814"/>
          </w:tcPr>
          <w:p>
            <w:pPr>
              <w:pStyle w:val="null3"/>
              <w:jc w:val="both"/>
            </w:pPr>
            <w:r>
              <w:rPr>
                <w:sz w:val="21"/>
              </w:rPr>
              <w:t>本产品大体样式可参考本项目招标文件“第二章 采购需求”下“一、项目概况”中“（四）产品参考图片”的参考图片，但产品具体尺寸及技术指标应按以上具体技术(参数)要求执行，并在中标后进行现场详细勘察确认产品尺寸符合现场需求，并以双方最终确定的尺寸为准。主机柜的参考图片以“（四）产品参考图片”中的第二幅单独主机柜的图片为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华南师范大学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本项目的中标金额为计算基准，参照国家计委《招标代理服务收费管理暂行办法》（计价格〔2002〕1980号）文件中“货物类”规定的计算方法和计费标准下浮20%执行，不足5,000.00元的按5,000.00元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其他，1.有融资要求的中标供应商可根据自身情况，申请政府采购合同融资。详见政府采购合同融资相关政策：《广东省财政厅 广东省地方金融监督管理局 中国人民银行广州分行关于开展省级政府采购合同融资工作的通知》（粤财采购〔2020〕6号）。 2.本项目采用远程电子开标，供应商应注意： （1）参与全流程云平台采购项目的供应商登录云平台通过“新开标大厅”进行签到及投标文件的解密。在投标截止时间前30分钟，供应商应当登录云平台开标大厅进行签到，不需要委派代表前往开标现场。若供应商有需要，亦可委派代表携带CA-key、存储有非加密投标文件的U盘前往开标现场进行签到、解密。到现场参加开标的法定代表人或授权代表须凭身份证原件（大厦一楼大厅物业管理处需登记后方可进入大厦，请投标人合理安排到场时间）到达开标现场，否则由此产生的后果由供应商自行承担。 （2）请供应商按“远程开标”有关要求，在投标截止时间前上传加密的电子投标文件，未按要求上传的将视为自动放弃投标。 （3）在投标截止时间前，请各供应商核实并确认填写授权代表的姓名与手机号码，若因填写的授权代表信息有误而导致的不良后果，由供应商自行承担。 （4）开标时，供应商应当使用编制本项目（采购包）电子投标文件时加密所用数字证书开始解密，解密时限根据开标时现场代理机构人员设置为准，供应商不按要求进行解密，视为无效投标。 （5）各供应商在参加开标之前须自行对使用电脑的网络环境、驱动安装、客户端安装以及数字证书的有效性等进行检测，确保可以正常使用和运行。 （6）云平台操作过程中如有相关问题可通过广东省政府采购网（https://gdgpo.czt.gd.gov.cn）下载操作手册查询（详见：https://gdgpo.czt.gd.gov.cn/help/transaction/download.html），或通过云平台公布的在线客服、专线电话等方式咨询，或向采购代理机构进行咨询。</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广东华伦招标有限公司（https://www.gdhualun.com.cn/）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广东华伦招标有限公司（https://www.gdhualun.com.cn/）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总工办</w:t>
      </w:r>
    </w:p>
    <w:p>
      <w:pPr>
        <w:pStyle w:val="null3"/>
        <w:ind w:firstLine="480"/>
      </w:pPr>
      <w:r>
        <w:rPr/>
        <w:t>电话：</w:t>
      </w:r>
      <w:r>
        <w:rPr/>
        <w:t>020-83172166-811</w:t>
      </w:r>
    </w:p>
    <w:p>
      <w:pPr>
        <w:pStyle w:val="null3"/>
        <w:ind w:firstLine="480"/>
      </w:pPr>
      <w:r>
        <w:rPr/>
        <w:t>传真：</w:t>
      </w:r>
      <w:r>
        <w:rPr/>
        <w:t>/</w:t>
      </w:r>
    </w:p>
    <w:p>
      <w:pPr>
        <w:pStyle w:val="null3"/>
        <w:ind w:firstLine="480"/>
      </w:pPr>
      <w:r>
        <w:rPr/>
        <w:t>邮箱：</w:t>
      </w:r>
      <w:r>
        <w:rPr/>
        <w:t>hualuneb@163.com</w:t>
      </w:r>
    </w:p>
    <w:p>
      <w:pPr>
        <w:pStyle w:val="null3"/>
        <w:ind w:firstLine="480"/>
      </w:pPr>
      <w:r>
        <w:rPr/>
        <w:t>地址：</w:t>
      </w:r>
      <w:r>
        <w:rPr/>
        <w:t>广州市越秀区广仁路一号广仁大厦七楼（如采用邮寄形式提交，请提前跟我司工作人员联系，并同步将邮寄底单发送至我司邮箱）</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华南师范大学南海校园学生公寓学生组合床采购)：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采购包1（华南师范大学南海校园学生公寓学生组合床采购）：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投标报价产品属于《节能产品政府采购品目清单》或《环境标志产品政府采购品目清单》范围中政府优先采购产品类别的节能产品或环境标志产品，对获得节能产品认证证书或环境标志产品认证证书的产品给予1%的价格扣除。同时属于节能产品和环境标志产品的，不重复价格扣除。属于《节能产品政府采购品目清单》范围中政府强制采购产品类别的，在价格评审中不作价格扣除。已经作为评审因素进行评分的，不再进行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采购包1（华南师范大学南海校园学生公寓学生组合床采购）：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提供投标截止日前12个月内任意1个月依法缴纳税收和社会保障资金的相关材料。如依法免税或不需要缴纳社会保障资金的，提供相应证明材料。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度财务状况报告或基本开户行（或基本存款账户行）出具的资信证明，或最近一期财务报表（适用在上一年度或本财务年度成立的法人或其他组织），或人民银行出具的个人信用报告（适用于自然人）。</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按投标（响应）文件格式和相关承诺要求内容提供《投标函》。</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记录名单”中的禁止参加政府采购活动期间。（以采购代理机构于投标（响应）截止时间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按投标（响应）文件格式和相关承诺要求内容提供《投标函》。</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整体预留专门面向中小企业，全部货物的制造商应为中小微企业。提供供应商出具的《中小企业声明函（货物）》，若货物制造商属于残疾人福利性单位或监狱企业的，还须提供货物制造商的《残疾人福利性单位声明函》或属于监狱企业的证明文件。格式见投标（响应）文件格式。</w:t>
            </w:r>
          </w:p>
        </w:tc>
      </w:tr>
    </w:tbl>
    <w:p>
      <w:pPr>
        <w:pStyle w:val="null3"/>
        <w:ind w:firstLine="480"/>
      </w:pPr>
      <w:r>
        <w:rPr/>
        <w:t>表二符合性审查表：</w:t>
      </w:r>
    </w:p>
    <w:p>
      <w:pPr>
        <w:pStyle w:val="null3"/>
      </w:pPr>
      <w:r>
        <w:rPr/>
        <w:t>采购包1（华南师范大学南海校园学生公寓学生组合床采购）：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《投标函》已提交并符合招标文件要求，且投标有效期满足招标文件要求。</w:t>
            </w:r>
          </w:p>
        </w:tc>
      </w:tr>
      <w:tr>
        <w:tc>
          <w:tcPr>
            <w:tcW w:type="dxa" w:w="890"/>
          </w:tcPr>
          <w:p>
            <w:pPr>
              <w:pStyle w:val="null3"/>
            </w:pPr>
            <w:r>
              <w:rPr/>
              <w:t>2</w:t>
            </w:r>
          </w:p>
        </w:tc>
        <w:tc>
          <w:tcPr>
            <w:tcW w:type="dxa" w:w="3178"/>
          </w:tcPr>
          <w:p>
            <w:pPr>
              <w:pStyle w:val="null3"/>
            </w:pPr>
            <w:r>
              <w:rPr/>
              <w:t>法定代表人/负责人证明书及授权书（如适用）</w:t>
            </w:r>
          </w:p>
        </w:tc>
        <w:tc>
          <w:tcPr>
            <w:tcW w:type="dxa" w:w="4238"/>
          </w:tcPr>
          <w:p>
            <w:pPr>
              <w:pStyle w:val="null3"/>
            </w:pPr>
            <w:r>
              <w:rPr/>
              <w:t>按对应格式文件签署、盖章(原件)。</w:t>
            </w:r>
          </w:p>
        </w:tc>
      </w:tr>
      <w:tr>
        <w:tc>
          <w:tcPr>
            <w:tcW w:type="dxa" w:w="890"/>
          </w:tcPr>
          <w:p>
            <w:pPr>
              <w:pStyle w:val="null3"/>
            </w:pPr>
            <w:r>
              <w:rPr/>
              <w:t>3</w:t>
            </w:r>
          </w:p>
        </w:tc>
        <w:tc>
          <w:tcPr>
            <w:tcW w:type="dxa" w:w="3178"/>
          </w:tcPr>
          <w:p>
            <w:pPr>
              <w:pStyle w:val="null3"/>
            </w:pPr>
            <w:r>
              <w:rPr/>
              <w:t>“★”号条款响应（如有）</w:t>
            </w:r>
          </w:p>
        </w:tc>
        <w:tc>
          <w:tcPr>
            <w:tcW w:type="dxa" w:w="4238"/>
          </w:tcPr>
          <w:p>
            <w:pPr>
              <w:pStyle w:val="null3"/>
            </w:pPr>
            <w:r>
              <w:rPr/>
              <w:t>实质性响应招标文件中“★”号条款要求。</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（1）投标报价（含单项/单价报价，如有要求）确定且未超过招标文件中列出的采购预算（最高限价）； （2）投标报价是唯一确定的，对采购标的的主体、关键内容无漏项、缺项； （3）如有，对评标委员会按照招标文件规定修正后的投标报价，投标人按规定书面确认； （4）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5</w:t>
            </w:r>
          </w:p>
        </w:tc>
        <w:tc>
          <w:tcPr>
            <w:tcW w:type="dxa" w:w="3178"/>
          </w:tcPr>
          <w:p>
            <w:pPr>
              <w:pStyle w:val="null3"/>
            </w:pPr>
            <w:r>
              <w:rPr/>
              <w:t>其他无效投标情形</w:t>
            </w:r>
          </w:p>
        </w:tc>
        <w:tc>
          <w:tcPr>
            <w:tcW w:type="dxa" w:w="4238"/>
          </w:tcPr>
          <w:p>
            <w:pPr>
              <w:pStyle w:val="null3"/>
            </w:pPr>
            <w:r>
              <w:rPr/>
              <w:t>未发现存在如下其他无效投标情形之一： （1）评审期间，投标人没有按评标委员会的要求提交有效的澄清、说明、补正，或提交的澄清、说明、补正改变了投标文件的实质性内容； （2）招标文件中规定的其他无效投标情形； （3）法律法规规定属于投标无效的其他情形。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采购包1(华南师范大学南海校园学生公寓学生组合床采购):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技术条款响应程度 (30.0分)</w:t>
            </w:r>
          </w:p>
        </w:tc>
        <w:tc>
          <w:tcPr>
            <w:tcW w:type="dxa" w:w="5076"/>
          </w:tcPr>
          <w:p>
            <w:pPr>
              <w:pStyle w:val="null3"/>
              <w:jc w:val="left"/>
            </w:pPr>
            <w:r>
              <w:rPr/>
              <w:t>根据投标人所投产品对《第二章 采购需求》中“技术标准与要求”的技术参数条款对应响应情况进行评审（凡是在技术要求“附表”中“序号”列中每一个序号均以一项单独计算，无论是否隶属于上一级编号）： 1.重要技术参数（共6项，带“▲”号的条款，本小项最高得21分）： 每有一项完全满足或优于技术参数要求的，得3.5分，最高得21分。 2.一般技术参数（共35项，非带“▲”号或“★”号的条款，本小项最高得9分）： 投标人本小项得分=投标人响应一般技术参数条款的项数/一般技术参数的条款总项数（35项）×9分。 注：1.采购需求中有要求提供证明材料的，以采购需求中的要求提供；采购需求没有要求的，以《技术和服务要求响应表》为准。 2.投标文件内提供的证明材料中的技术参数描述与投标人在《技术和服务要求响应表》中的响应描述不一致时，以投标文件内提供的证明材料中的技术参数描述为准。 3.得分保留小数点后两位数，小数点后第三位四舍五入。 4.如后面的评审内容中，对某个技术（服务）参数进行单独评审，则该条款不列入本项评审。</w:t>
            </w:r>
          </w:p>
        </w:tc>
      </w:tr>
      <w:tr>
        <w:tc>
          <w:tcPr>
            <w:tcW w:type="dxa" w:w="922"/>
            <w:gridSpan w:val="2"/>
            <w:vMerge/>
          </w:tcPr>
          <w:p/>
        </w:tc>
        <w:tc>
          <w:tcPr>
            <w:tcW w:type="dxa" w:w="2307"/>
          </w:tcPr>
          <w:p>
            <w:pPr>
              <w:pStyle w:val="null3"/>
              <w:jc w:val="left"/>
            </w:pPr>
            <w:r>
              <w:rPr/>
              <w:t>安装与调试方案 (4.0分)</w:t>
            </w:r>
            <w:r>
              <w:rPr/>
              <w:t>，（等次分值选择：</w:t>
            </w:r>
            <w:r>
              <w:rPr/>
              <w:t>0.0;</w:t>
            </w:r>
            <w:r>
              <w:rPr/>
              <w:t>1.0;</w:t>
            </w:r>
            <w:r>
              <w:rPr/>
              <w:t>2.0;</w:t>
            </w:r>
            <w:r>
              <w:rPr/>
              <w:t>3.0;</w:t>
            </w:r>
            <w:r>
              <w:rPr/>
              <w:t>4.0;</w:t>
            </w:r>
            <w:r>
              <w:rPr/>
              <w:t>）</w:t>
            </w:r>
          </w:p>
        </w:tc>
        <w:tc>
          <w:tcPr>
            <w:tcW w:type="dxa" w:w="5076"/>
          </w:tcPr>
          <w:p>
            <w:pPr>
              <w:pStyle w:val="null3"/>
              <w:jc w:val="left"/>
            </w:pPr>
            <w:r>
              <w:rPr/>
              <w:t>根据投标人提供的安装与调试方案（包括但不限于：①安装与调试的方案②调试场地内的货物、设施的保护措施）进行评审： 1.能提供针对本项目的安装与调试方案的，得1分；如未能提供安装与调试方案的，以下评分项均不得分。 1.1安装与调试方案完整详细、针对性性强，有明确的步骤和分工，能提供各项货物的安装调试计划安排表，体现专业性、及时性，能根据货物交付时间节点落实安装调试时间及相关人员安排，对安装调试场地的货物、设施有提出良好的保护措施和合理化建议，完全满足或优于采购需求，得3分； 1.2安装与调试服务计划完整，详细性和针对性较好，有明确的步骤和分工，能提供各项货物的详细安装调试计划安排表，能根据货物交付时间节点落实人员安排，有提出对安装调试场地的货物、设施的保护措施，大部分满足采购需求，得2分； 1.3安装与调试服务计划完整，详细性和针对性有所欠缺，有明确的步骤和分工，能提供各项货物的详细安装调试计划安排表，能根据货物交付时间节点落实人员安排，有提出对安装调试场地的货物、设施的保护措施，少部分满足采购需求，得1分； 1.4安装与调试服务计划不完整，无针对性，或无法提供各项货物的安装调试计划安排表，或未列明相关人员的安排，或缺乏对安装调试场地的货物、设施的保护措施，得0分。</w:t>
            </w:r>
          </w:p>
        </w:tc>
      </w:tr>
      <w:tr>
        <w:tc>
          <w:tcPr>
            <w:tcW w:type="dxa" w:w="922"/>
            <w:gridSpan w:val="2"/>
            <w:vMerge/>
          </w:tcPr>
          <w:p/>
        </w:tc>
        <w:tc>
          <w:tcPr>
            <w:tcW w:type="dxa" w:w="2307"/>
          </w:tcPr>
          <w:p>
            <w:pPr>
              <w:pStyle w:val="null3"/>
              <w:jc w:val="left"/>
            </w:pPr>
            <w:r>
              <w:rPr/>
              <w:t>培训方案 (3.0分)</w:t>
            </w:r>
            <w:r>
              <w:rPr/>
              <w:t>，（等次分值选择：</w:t>
            </w:r>
            <w:r>
              <w:rPr/>
              <w:t>0.0;</w:t>
            </w:r>
            <w:r>
              <w:rPr/>
              <w:t>1.0;</w:t>
            </w:r>
            <w:r>
              <w:rPr/>
              <w:t>1.5;</w:t>
            </w:r>
            <w:r>
              <w:rPr/>
              <w:t>2.0;</w:t>
            </w:r>
            <w:r>
              <w:rPr/>
              <w:t>3.0;</w:t>
            </w:r>
            <w:r>
              <w:rPr/>
              <w:t>）</w:t>
            </w:r>
          </w:p>
        </w:tc>
        <w:tc>
          <w:tcPr>
            <w:tcW w:type="dxa" w:w="5076"/>
          </w:tcPr>
          <w:p>
            <w:pPr>
              <w:pStyle w:val="null3"/>
              <w:jc w:val="left"/>
            </w:pPr>
            <w:r>
              <w:rPr/>
              <w:t>根据投标人提供的培训方案（包括但不限于：①培训内容的设置②培训课程和培训时间的安排③培训人员安排等）进行评审： 1.能提供针对本项目的培训方案的，得1分；如未能提供培训方案的，以下评分项均不得分。 1.1培训方案内容完整、详细、表述清晰、科学合理、切实可行，培训内容丰富、有针对性，培训课程、培训人员安排和培训时间的安排明确，完全满足或优于采购需求，得2分； 1.2培训方案内容较完整、较详细、表述较清晰、较科学合理、切实可行，培训内容较丰富、针对性较好，培训课程、培训人员安排和培训时间的安排符合要求，大部分满足采购需求，得1分； 1.3有提供培训内容、培训课程、培训人员安排和培训时间的初步设置，但全面性和针对性有所不足，培训方案内容少部分满足采购需求，得0.5分； 1.4培训方案表述不清晰、简单，可行性和合理性不足，或内容与采购需求无关，得0分。</w:t>
            </w:r>
          </w:p>
        </w:tc>
      </w:tr>
      <w:tr>
        <w:tc>
          <w:tcPr>
            <w:tcW w:type="dxa" w:w="922"/>
            <w:gridSpan w:val="2"/>
            <w:vMerge/>
          </w:tcPr>
          <w:p/>
        </w:tc>
        <w:tc>
          <w:tcPr>
            <w:tcW w:type="dxa" w:w="2307"/>
          </w:tcPr>
          <w:p>
            <w:pPr>
              <w:pStyle w:val="null3"/>
              <w:jc w:val="left"/>
            </w:pPr>
            <w:r>
              <w:rPr/>
              <w:t>投标样品（大样） (10.0分)</w:t>
            </w:r>
          </w:p>
        </w:tc>
        <w:tc>
          <w:tcPr>
            <w:tcW w:type="dxa" w:w="5076"/>
          </w:tcPr>
          <w:p>
            <w:pPr>
              <w:pStyle w:val="null3"/>
              <w:jc w:val="left"/>
            </w:pPr>
            <w:r>
              <w:rPr/>
              <w:t>根据投标人提供的样品（大样，上床下桌款式床位及其配套桌、柜、椅子，1套）进行评审： 1.样品整体情况（本小项最高得4分）： （1）样品安装正确、各组件间连接紧密，设计美观、实用，能够实现产品的整体使用功能，得4分； （2）样品安装正确、各组件间连接紧密，设计有一定的美观、实用性，基本能够实现产品的整体使用功能，得2分； （3）样品安装不正确、各组件间连接不紧密，设计不美观、不实用，不能够实现产品的整体使用功能，得0.5分。 2.配件安装情况（本小项最高得3分）： （1）各种配件安装严密、平整、端正、牢固，结合处无开裂或松动，得3分； （2）各种配件安装的严密性、平整性、端正性、牢固性欠缺，结合处有细微开裂或松动，得1.5分； （3）各种配件安装不严密、不平整、不端正、不牢固，结合处有明显开裂或松动，得0.5分。 3.板件及部件表面情况（本小项最高得3分）： （1）板件或部件在接触人体或贮物部位无毛刺、刃口或棱角，得3分； （2）板件或部件在接触人体或贮物部位有细微的毛刺、刃口或棱角，得1.5分； （3）板件或部件在接触人体或贮物部位有明显毛刺、刃口或棱角，得0.5分。 注：未按照本项目采购需求中“样品要求”提供齐全的样品（大样，上床下桌款式床位及其配套桌、柜、椅子，1套），或者不提供大样、或者提供的大样不完整，本评审项得分0分。</w:t>
            </w:r>
          </w:p>
        </w:tc>
      </w:tr>
      <w:tr>
        <w:tc>
          <w:tcPr>
            <w:tcW w:type="dxa" w:w="922"/>
            <w:gridSpan w:val="2"/>
            <w:vMerge/>
          </w:tcPr>
          <w:p/>
        </w:tc>
        <w:tc>
          <w:tcPr>
            <w:tcW w:type="dxa" w:w="2307"/>
          </w:tcPr>
          <w:p>
            <w:pPr>
              <w:pStyle w:val="null3"/>
              <w:jc w:val="left"/>
            </w:pPr>
            <w:r>
              <w:rPr/>
              <w:t>投标样品（小样） (5.0分)</w:t>
            </w:r>
            <w:r>
              <w:rPr/>
              <w:t>，（等次分值选择：</w:t>
            </w:r>
            <w:r>
              <w:rPr/>
              <w:t>0.0;</w:t>
            </w:r>
            <w:r>
              <w:rPr/>
              <w:t>1.0;</w:t>
            </w:r>
            <w:r>
              <w:rPr/>
              <w:t>2.0;</w:t>
            </w:r>
            <w:r>
              <w:rPr/>
              <w:t>3.0;</w:t>
            </w:r>
            <w:r>
              <w:rPr/>
              <w:t>5.0;</w:t>
            </w:r>
            <w:r>
              <w:rPr/>
              <w:t>）</w:t>
            </w:r>
          </w:p>
        </w:tc>
        <w:tc>
          <w:tcPr>
            <w:tcW w:type="dxa" w:w="5076"/>
          </w:tcPr>
          <w:p>
            <w:pPr>
              <w:pStyle w:val="null3"/>
              <w:jc w:val="left"/>
            </w:pPr>
            <w:r>
              <w:rPr/>
              <w:t>根据投标人提供的样品（小样，基材部分、钢管部分、五金配件部分，各1件，要求详见采购需求）进行评审： （1）投标人递交的样品的用材、规格尺寸、配件、生产工艺、产品外观、功能设计与环保等优秀合理，工艺细致，产品美观，完全符合招标文件要求，得5分； （2）投标人递交的样品的用材、规格尺寸、配件、生产工艺、产品外观、功能设计与环保有一定合理性，工艺细致，基本符合招标文件要求，得3分； （3）投标人递交的样品的用材、规格尺寸、配件、生产工艺、产品外观、功能设计与环保合理性差，部分符合招标文件要求，得2分； （4）投标人递交的样品的用材、规格尺寸、配件、生产工艺、产品外观、功能设计与环保不合理，产品工艺差，制作粗糙，得1分； （5）未提供样品或样品不全的本项不得分。</w:t>
            </w:r>
          </w:p>
        </w:tc>
      </w:tr>
      <w:tr>
        <w:tc>
          <w:tcPr>
            <w:tcW w:type="dxa" w:w="922"/>
            <w:gridSpan w:val="2"/>
            <w:vMerge/>
          </w:tcPr>
          <w:p/>
        </w:tc>
        <w:tc>
          <w:tcPr>
            <w:tcW w:type="dxa" w:w="2307"/>
          </w:tcPr>
          <w:p>
            <w:pPr>
              <w:pStyle w:val="null3"/>
              <w:jc w:val="left"/>
            </w:pPr>
            <w:r>
              <w:rPr/>
              <w:t>售后服务方案 (3.0分)</w:t>
            </w:r>
            <w:r>
              <w:rPr/>
              <w:t>，（等次分值选择：</w:t>
            </w:r>
            <w:r>
              <w:rPr/>
              <w:t>0.0;</w:t>
            </w:r>
            <w:r>
              <w:rPr/>
              <w:t>1.0;</w:t>
            </w:r>
            <w:r>
              <w:rPr/>
              <w:t>2.0;</w:t>
            </w:r>
            <w:r>
              <w:rPr/>
              <w:t>3.0;</w:t>
            </w:r>
            <w:r>
              <w:rPr/>
              <w:t>）</w:t>
            </w:r>
          </w:p>
        </w:tc>
        <w:tc>
          <w:tcPr>
            <w:tcW w:type="dxa" w:w="5076"/>
          </w:tcPr>
          <w:p>
            <w:pPr>
              <w:pStyle w:val="null3"/>
              <w:jc w:val="left"/>
            </w:pPr>
            <w:r>
              <w:rPr/>
              <w:t>根据投标人提供的售后服务方案（包括但不限于：①投标人上门保修服务计划②产品退换货方案③修理、更换零部件或退换。本评审内容不包括对采购需求中的“保修期”的评审）进行评审： 1.能提供针对本项目的售后服务方案的，得1分；如未能提供售后服务方案的，以下评分项均不得分。 1.1保修服务计划的初步安排完整详细、有针对性，可提供投标人上门保修服务，针对产品及其配件的退换货、维修有详细的应对措施及相应的解决方案，配件（或部件或零部件）的供货充足、及时，有专人提供售后服务，人员组织架构完善、专业技术力量投入充分、技术人员组织安排及跟进处理流程详细，完全满足或优于采购需求，得2分； 1.2保修服务计划的初步安排完整，可提供投标人上门保修服务，以及为采购人提供配件（或部件或零部件）的更换、维修及供货，同时有专人提供售后服务，但售后服务人员的技术力量投入不够充分，售后服务的整体方案的详细性和针对性有所欠缺，部分满足采购需求，得1分； 1.3保修服务计划的初步安排不完整，或无法提供投标人上门保修服务，产品及其配件的退换货、维修方案有所缺漏，或配件（或部件或零部件）的供货不充足，或未配置专人提供售后服务，或售后服务的整体方案简单、无针对性，得0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商务响应程度 (3.0分)</w:t>
            </w:r>
            <w:r>
              <w:rPr/>
              <w:t>，（等次分值选择：</w:t>
            </w:r>
            <w:r>
              <w:rPr/>
              <w:t>0.0;</w:t>
            </w:r>
            <w:r>
              <w:rPr/>
              <w:t>3.0;</w:t>
            </w:r>
            <w:r>
              <w:rPr/>
              <w:t>）</w:t>
            </w:r>
          </w:p>
        </w:tc>
        <w:tc>
          <w:tcPr>
            <w:tcW w:type="dxa" w:w="5076"/>
          </w:tcPr>
          <w:p>
            <w:pPr>
              <w:pStyle w:val="null3"/>
              <w:jc w:val="left"/>
            </w:pPr>
            <w:r>
              <w:rPr/>
              <w:t>根据投标人对招标文件《第二章 采购需求》“主要商务要求”中的“维修响应时间、到达现场时间及解决问题时间”的响应程度进行评审： 完全满足或优于采购需求的，得3分；对采购需求存在负偏离的，不得分。</w:t>
            </w:r>
          </w:p>
        </w:tc>
      </w:tr>
      <w:tr>
        <w:tc>
          <w:tcPr>
            <w:tcW w:type="dxa" w:w="922"/>
            <w:gridSpan w:val="2"/>
            <w:vMerge/>
          </w:tcPr>
          <w:p/>
        </w:tc>
        <w:tc>
          <w:tcPr>
            <w:tcW w:type="dxa" w:w="2307"/>
          </w:tcPr>
          <w:p>
            <w:pPr>
              <w:pStyle w:val="null3"/>
              <w:jc w:val="left"/>
            </w:pPr>
            <w:r>
              <w:rPr/>
              <w:t>同类项目业绩 (12.0分)</w:t>
            </w:r>
          </w:p>
        </w:tc>
        <w:tc>
          <w:tcPr>
            <w:tcW w:type="dxa" w:w="5076"/>
          </w:tcPr>
          <w:p>
            <w:pPr>
              <w:pStyle w:val="null3"/>
              <w:jc w:val="left"/>
            </w:pPr>
            <w:r>
              <w:rPr/>
              <w:t>自2021年1月1日以来，投标人承担过同类（至少包含本项目采购标的）项目经验，每提供一项得0.8分，最高得12分。 注：以合同签订时间为准，须提供合同关键页（包括但不限于合同双方的单位名称、合同项目名称、项目内容与含签订合同双方的落款盖章、签订日期的关键页）复印件，不提供不得分。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jc w:val="center"/>
      </w:pPr>
      <w:r>
        <w:rPr>
          <w:sz w:val="36"/>
          <w:b/>
        </w:rPr>
        <w:t>第五章</w:t>
      </w:r>
      <w:r>
        <w:rPr>
          <w:sz w:val="36"/>
          <w:b/>
        </w:rPr>
        <w:t>合同文本</w:t>
      </w:r>
    </w:p>
    <w:p>
      <w:pPr>
        <w:pStyle w:val="null3"/>
      </w:pPr>
      <w:r>
        <w:rPr>
          <w:sz w:val="21"/>
          <w:b/>
          <w:color w:val="000000"/>
        </w:rPr>
        <w:t>国产设备：</w:t>
      </w:r>
    </w:p>
    <w:p>
      <w:pPr>
        <w:pStyle w:val="null3"/>
        <w:jc w:val="center"/>
      </w:pPr>
      <w:r>
        <w:rPr>
          <w:sz w:val="56"/>
          <w:b/>
          <w:color w:val="000000"/>
        </w:rPr>
        <w:t>华南师范大学货物采购合同书</w:t>
      </w:r>
    </w:p>
    <w:p>
      <w:pPr>
        <w:pStyle w:val="null3"/>
        <w:spacing w:before="315" w:after="150"/>
        <w:ind w:firstLine="843"/>
        <w:jc w:val="both"/>
      </w:pPr>
      <w:r>
        <w:rPr>
          <w:sz w:val="28"/>
          <w:b/>
          <w:color w:val="000000"/>
        </w:rPr>
        <w:t>甲方：</w:t>
      </w:r>
      <w:r>
        <w:rPr>
          <w:sz w:val="28"/>
          <w:b/>
          <w:color w:val="000000"/>
          <w:u w:val="single"/>
        </w:rPr>
        <w:t xml:space="preserve">   </w:t>
      </w:r>
      <w:r>
        <w:rPr>
          <w:sz w:val="28"/>
          <w:b/>
          <w:color w:val="000000"/>
          <w:u w:val="single"/>
        </w:rPr>
        <w:t>华南师范大学</w:t>
      </w:r>
    </w:p>
    <w:p>
      <w:pPr>
        <w:pStyle w:val="null3"/>
        <w:ind w:firstLine="843"/>
      </w:pPr>
      <w:r>
        <w:rPr>
          <w:sz w:val="28"/>
          <w:b/>
          <w:color w:val="000000"/>
        </w:rPr>
        <w:t>乙方：</w:t>
      </w:r>
    </w:p>
    <w:p>
      <w:pPr>
        <w:pStyle w:val="null3"/>
        <w:ind w:firstLine="843"/>
      </w:pPr>
      <w:r>
        <w:rPr>
          <w:sz w:val="28"/>
          <w:b/>
          <w:color w:val="000000"/>
        </w:rPr>
        <w:t>签订地点：</w:t>
      </w:r>
      <w:r>
        <w:rPr>
          <w:sz w:val="28"/>
          <w:b/>
          <w:color w:val="000000"/>
          <w:u w:val="single"/>
        </w:rPr>
        <w:t xml:space="preserve">   </w:t>
      </w:r>
      <w:r>
        <w:rPr>
          <w:sz w:val="28"/>
          <w:b/>
          <w:color w:val="000000"/>
          <w:u w:val="single"/>
        </w:rPr>
        <w:t>广州市天河区</w:t>
      </w:r>
      <w:r>
        <w:rPr>
          <w:sz w:val="28"/>
          <w:b/>
          <w:color w:val="000000"/>
          <w:u w:val="single"/>
        </w:rPr>
        <w:t xml:space="preserve">   </w:t>
      </w:r>
    </w:p>
    <w:p>
      <w:pPr>
        <w:pStyle w:val="null3"/>
        <w:ind w:firstLine="843"/>
      </w:pPr>
      <w:r>
        <w:rPr>
          <w:sz w:val="28"/>
          <w:b/>
          <w:color w:val="000000"/>
        </w:rPr>
        <w:t>合同名称：</w:t>
      </w:r>
      <w:r>
        <w:rPr>
          <w:sz w:val="28"/>
          <w:b/>
          <w:color w:val="000000"/>
          <w:u w:val="single"/>
        </w:rPr>
        <w:t>华南师范大学</w:t>
      </w:r>
      <w:r>
        <w:rPr>
          <w:sz w:val="28"/>
          <w:b/>
          <w:color w:val="000000"/>
          <w:u w:val="single"/>
        </w:rPr>
        <w:t>+二级单位名称+采购+货物名称</w:t>
      </w:r>
    </w:p>
    <w:p>
      <w:pPr>
        <w:pStyle w:val="null3"/>
        <w:ind w:firstLine="843"/>
      </w:pPr>
      <w:r>
        <w:rPr>
          <w:sz w:val="28"/>
          <w:b/>
          <w:color w:val="000000"/>
        </w:rPr>
        <w:t>合同编号：</w:t>
      </w:r>
    </w:p>
    <w:p>
      <w:pPr>
        <w:pStyle w:val="null3"/>
        <w:ind w:firstLine="843"/>
      </w:pPr>
      <w:r>
        <w:rPr>
          <w:sz w:val="28"/>
          <w:b/>
          <w:color w:val="000000"/>
        </w:rPr>
        <w:t>采购编号：</w:t>
      </w:r>
    </w:p>
    <w:p>
      <w:pPr>
        <w:pStyle w:val="null3"/>
        <w:ind w:firstLine="843"/>
        <w:jc w:val="center"/>
      </w:pPr>
      <w:r>
        <w:rPr/>
        <w:t xml:space="preserve"> </w:t>
      </w:r>
    </w:p>
    <w:p>
      <w:pPr>
        <w:pStyle w:val="null3"/>
        <w:ind w:firstLine="843"/>
        <w:jc w:val="center"/>
      </w:pPr>
      <w:r>
        <w:rPr/>
        <w:t xml:space="preserve"> </w:t>
      </w:r>
    </w:p>
    <w:p>
      <w:pPr>
        <w:pStyle w:val="null3"/>
        <w:ind w:firstLine="843"/>
        <w:jc w:val="center"/>
      </w:pPr>
      <w:r>
        <w:rPr/>
        <w:t xml:space="preserve"> </w:t>
      </w:r>
    </w:p>
    <w:p>
      <w:pPr>
        <w:pStyle w:val="null3"/>
        <w:ind w:firstLine="843"/>
        <w:jc w:val="center"/>
      </w:pPr>
      <w:r>
        <w:rPr>
          <w:sz w:val="28"/>
          <w:b/>
          <w:color w:val="000000"/>
        </w:rPr>
        <w:t>华南师范大学采购与招投标中心拟制</w:t>
      </w:r>
    </w:p>
    <w:p>
      <w:pPr>
        <w:pStyle w:val="null3"/>
        <w:ind w:firstLine="843"/>
        <w:jc w:val="center"/>
      </w:pPr>
      <w:r>
        <w:rPr>
          <w:sz w:val="28"/>
          <w:b/>
          <w:color w:val="000000"/>
        </w:rPr>
        <w:t>二〇二〇年三月版</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ind w:firstLine="562"/>
        <w:jc w:val="center"/>
      </w:pPr>
      <w:r>
        <w:rPr>
          <w:sz w:val="28"/>
          <w:b/>
          <w:color w:val="000000"/>
        </w:rPr>
        <w:t>合同使用指引</w:t>
      </w:r>
    </w:p>
    <w:p>
      <w:pPr>
        <w:pStyle w:val="null3"/>
        <w:ind w:firstLine="420"/>
      </w:pPr>
      <w:r>
        <w:rPr>
          <w:sz w:val="21"/>
          <w:color w:val="000000"/>
        </w:rPr>
        <w:t>一、本合同书为华南师范大学</w:t>
      </w:r>
      <w:r>
        <w:rPr>
          <w:sz w:val="21"/>
          <w:b/>
          <w:color w:val="000000"/>
        </w:rPr>
        <w:t>国内</w:t>
      </w:r>
      <w:r>
        <w:rPr>
          <w:sz w:val="21"/>
          <w:color w:val="000000"/>
        </w:rPr>
        <w:t>货物采购合同范本</w:t>
      </w:r>
      <w:r>
        <w:rPr>
          <w:sz w:val="21"/>
          <w:color w:val="000000"/>
        </w:rPr>
        <w:t>，仅供参考</w:t>
      </w:r>
      <w:r>
        <w:rPr>
          <w:sz w:val="21"/>
          <w:color w:val="000000"/>
        </w:rPr>
        <w:t>，</w:t>
      </w:r>
      <w:r>
        <w:rPr>
          <w:sz w:val="21"/>
          <w:b/>
          <w:color w:val="000000"/>
        </w:rPr>
        <w:t>适用于公开招标、邀请招标、单一来源、竞争性谈判、竞争性磋商、询价等采购方式产生的合同</w:t>
      </w:r>
      <w:r>
        <w:rPr>
          <w:sz w:val="21"/>
          <w:color w:val="000000"/>
        </w:rPr>
        <w:t>。</w:t>
      </w:r>
    </w:p>
    <w:p>
      <w:pPr>
        <w:pStyle w:val="null3"/>
        <w:ind w:firstLine="420"/>
      </w:pPr>
      <w:r>
        <w:rPr>
          <w:sz w:val="21"/>
          <w:color w:val="000000"/>
        </w:rPr>
        <w:t>二、</w:t>
      </w:r>
      <w:r>
        <w:rPr>
          <w:sz w:val="21"/>
          <w:b/>
          <w:color w:val="000000"/>
        </w:rPr>
        <w:t>本合同书原则上不得随意修改、删减</w:t>
      </w:r>
      <w:r>
        <w:rPr>
          <w:sz w:val="21"/>
          <w:color w:val="000000"/>
        </w:rPr>
        <w:t>，如有特殊约定可增加补充条款或附件，但所补充内容不得与已有条款内容相冲突。</w:t>
      </w:r>
    </w:p>
    <w:p>
      <w:pPr>
        <w:pStyle w:val="null3"/>
        <w:ind w:firstLine="420"/>
      </w:pPr>
      <w:r>
        <w:rPr>
          <w:sz w:val="21"/>
          <w:color w:val="000000"/>
        </w:rPr>
        <w:t>三、在使用本合同书时，</w:t>
      </w:r>
      <w:r>
        <w:rPr>
          <w:sz w:val="21"/>
          <w:b/>
          <w:color w:val="000000"/>
        </w:rPr>
        <w:t>应当结合具体情况正确选择文本中所提供的选择项条款；画横线处及空格的内容则由双方根据实际情况填写</w:t>
      </w:r>
      <w:r>
        <w:rPr>
          <w:sz w:val="21"/>
          <w:color w:val="000000"/>
        </w:rPr>
        <w:t>。对于无需填写的条款，应根据文本提示在该条款处注明</w:t>
      </w:r>
      <w:r>
        <w:rPr>
          <w:sz w:val="21"/>
          <w:color w:val="000000"/>
        </w:rPr>
        <w:t>“无”字样。</w:t>
      </w:r>
    </w:p>
    <w:p>
      <w:pPr>
        <w:pStyle w:val="null3"/>
        <w:ind w:firstLine="420"/>
      </w:pPr>
      <w:r>
        <w:rPr>
          <w:sz w:val="21"/>
          <w:color w:val="000000"/>
        </w:rPr>
        <w:t>四、甲乙双方信息应全部填写完整，合同结尾处的双方签名及签订日期</w:t>
      </w:r>
      <w:r>
        <w:rPr>
          <w:sz w:val="21"/>
          <w:b/>
          <w:color w:val="000000"/>
        </w:rPr>
        <w:t>均应为亲笔签名</w:t>
      </w:r>
      <w:r>
        <w:rPr>
          <w:sz w:val="21"/>
          <w:color w:val="000000"/>
        </w:rPr>
        <w:t>。</w:t>
      </w:r>
    </w:p>
    <w:p>
      <w:pPr>
        <w:pStyle w:val="null3"/>
        <w:ind w:firstLine="420"/>
      </w:pPr>
      <w:r>
        <w:rPr>
          <w:sz w:val="21"/>
          <w:color w:val="000000"/>
        </w:rPr>
        <w:t>五、</w:t>
      </w:r>
      <w:r>
        <w:rPr>
          <w:sz w:val="21"/>
          <w:b/>
          <w:color w:val="000000"/>
        </w:rPr>
        <w:t>本合同书应按规定格式双面打印，大小为</w:t>
      </w:r>
      <w:r>
        <w:rPr>
          <w:sz w:val="21"/>
          <w:b/>
          <w:color w:val="000000"/>
        </w:rPr>
        <w:t>A4幅面，正文内容所用字体应不小于5号字</w:t>
      </w:r>
      <w:r>
        <w:rPr>
          <w:sz w:val="21"/>
          <w:color w:val="000000"/>
        </w:rPr>
        <w:t>。合同附件应与合同书装订在一起，其规格大小应与合同书一致。</w:t>
      </w:r>
    </w:p>
    <w:p>
      <w:pPr>
        <w:pStyle w:val="null3"/>
        <w:ind w:firstLine="420"/>
      </w:pPr>
      <w:r>
        <w:rPr>
          <w:sz w:val="21"/>
          <w:color w:val="000000"/>
        </w:rPr>
        <w:t>六、本合同书经甲乙双方法定代表人或委托代理人签署、加盖单位公章后，送贰份至采购与招投标中心存档备案。</w:t>
      </w:r>
    </w:p>
    <w:p>
      <w:pPr>
        <w:pStyle w:val="null3"/>
        <w:ind w:firstLine="420"/>
      </w:pPr>
      <w:r>
        <w:rPr>
          <w:sz w:val="21"/>
          <w:color w:val="000000"/>
        </w:rPr>
        <w:t>七、甲乙双方应保管好合同书原件。</w:t>
      </w:r>
    </w:p>
    <w:p>
      <w:pPr>
        <w:pStyle w:val="null3"/>
        <w:ind w:firstLine="420"/>
      </w:pPr>
      <w:r>
        <w:rPr>
          <w:sz w:val="21"/>
          <w:color w:val="000000"/>
        </w:rPr>
        <w:t>八、如有疑问请与采购中心联系。</w:t>
      </w:r>
    </w:p>
    <w:p>
      <w:pPr>
        <w:pStyle w:val="null3"/>
        <w:jc w:val="both"/>
      </w:pPr>
      <w:r>
        <w:rPr/>
        <w:t xml:space="preserve"> </w:t>
      </w:r>
    </w:p>
    <w:p>
      <w:pPr>
        <w:pStyle w:val="null3"/>
        <w:ind w:firstLine="420"/>
      </w:pPr>
      <w:r>
        <w:rPr/>
        <w:t xml:space="preserve"> </w:t>
      </w:r>
    </w:p>
    <w:p>
      <w:pPr>
        <w:pStyle w:val="null3"/>
        <w:ind w:firstLine="420"/>
      </w:pPr>
      <w:r>
        <w:rPr/>
        <w:t xml:space="preserve"> </w:t>
      </w:r>
    </w:p>
    <w:p>
      <w:pPr>
        <w:pStyle w:val="null3"/>
        <w:ind w:firstLine="420"/>
      </w:pPr>
      <w:r>
        <w:rPr/>
        <w:t xml:space="preserve"> </w:t>
      </w:r>
    </w:p>
    <w:p>
      <w:pPr>
        <w:pStyle w:val="null3"/>
        <w:ind w:firstLine="420"/>
      </w:pPr>
      <w:r>
        <w:rPr>
          <w:sz w:val="21"/>
          <w:color w:val="000000"/>
        </w:rPr>
        <w:t>根据《中华人民共和国政府采购法》、《中华人民共和国招标投标法》、《中华人民共和国民法典》等法律法规，以及甲方委托</w:t>
      </w:r>
      <w:r>
        <w:rPr>
          <w:sz w:val="21"/>
          <w:color w:val="000000"/>
        </w:rPr>
        <w:t>__________（代理机构名称）组织的_____项目（项目名称）(采购编号_________)的成交结果，经甲乙双方协商一致，签订本合同，由双方共同恪守如下内容：</w:t>
      </w:r>
    </w:p>
    <w:p>
      <w:pPr>
        <w:pStyle w:val="null3"/>
        <w:ind w:firstLine="422"/>
      </w:pPr>
      <w:r>
        <w:rPr>
          <w:sz w:val="21"/>
          <w:b/>
          <w:color w:val="000000"/>
        </w:rPr>
        <w:t>一、合同标的</w:t>
      </w:r>
    </w:p>
    <w:p>
      <w:pPr>
        <w:pStyle w:val="null3"/>
        <w:ind w:firstLine="420"/>
      </w:pPr>
      <w:r>
        <w:rPr>
          <w:sz w:val="21"/>
          <w:color w:val="000000"/>
        </w:rPr>
        <w:t>1．标的物明细</w:t>
      </w:r>
    </w:p>
    <w:p>
      <w:pPr>
        <w:pStyle w:val="null3"/>
        <w:ind w:firstLine="420"/>
      </w:pPr>
      <w:r>
        <w:rPr>
          <w:sz w:val="21"/>
          <w:color w:val="000000"/>
        </w:rPr>
        <w:t>本合同标的为</w:t>
      </w:r>
      <w:r>
        <w:rPr>
          <w:sz w:val="21"/>
          <w:color w:val="000000"/>
        </w:rPr>
        <w:t>___________（货物名称），包括设计、货物供货、安装、调试、培训、验收、技术服务、质保期保障等的全部内容，详细内容见下表：</w:t>
      </w:r>
    </w:p>
    <w:p>
      <w:pPr>
        <w:pStyle w:val="null3"/>
        <w:ind w:firstLine="420"/>
        <w:jc w:val="center"/>
      </w:pPr>
      <w:r>
        <w:rPr>
          <w:sz w:val="21"/>
          <w:color w:val="000000"/>
        </w:rPr>
        <w:t>请选择填写方式：</w:t>
      </w:r>
      <w:r>
        <w:rPr>
          <w:sz w:val="21"/>
          <w:color w:val="000000"/>
          <w:u w:val="single"/>
        </w:rPr>
        <w:t>_______</w:t>
      </w:r>
      <w:r>
        <w:rPr>
          <w:sz w:val="21"/>
          <w:color w:val="000000"/>
        </w:rPr>
        <w:t>(1.在下方表格中填写；2.在合同附件1里填写）</w:t>
      </w:r>
    </w:p>
    <w:tbl>
      <w:tblPr>
        <w:tblW w:w="0" w:type="auto"/>
        <w:tblInd w:type="dxa" w:w="225"/>
        <w:tblBorders>
          <w:top w:val="none" w:color="000000" w:sz="4"/>
          <w:left w:val="none" w:color="000000" w:sz="4"/>
          <w:bottom w:val="none" w:color="000000" w:sz="4"/>
          <w:right w:val="none" w:color="000000" w:sz="4"/>
          <w:insideH w:val="none"/>
          <w:insideV w:val="none"/>
        </w:tblBorders>
      </w:tblPr>
      <w:tblGrid>
        <w:gridCol w:w="501"/>
        <w:gridCol w:w="501"/>
        <w:gridCol w:w="835"/>
        <w:gridCol w:w="926"/>
        <w:gridCol w:w="2824"/>
        <w:gridCol w:w="653"/>
        <w:gridCol w:w="653"/>
        <w:gridCol w:w="698"/>
        <w:gridCol w:w="714"/>
      </w:tblGrid>
      <w:tr>
        <w:tc>
          <w:tcPr>
            <w:tcW w:type="dxa" w:w="501"/>
            <w:tcBorders>
              <w:top w:val="outset"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pPr>
            <w:r>
              <w:rPr>
                <w:sz w:val="21"/>
                <w:color w:val="000000"/>
              </w:rPr>
              <w:t>项数</w:t>
            </w:r>
          </w:p>
        </w:tc>
        <w:tc>
          <w:tcPr>
            <w:tcW w:type="dxa" w:w="501"/>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pPr>
            <w:r>
              <w:rPr>
                <w:sz w:val="21"/>
                <w:color w:val="000000"/>
              </w:rPr>
              <w:t>货物名称</w:t>
            </w:r>
          </w:p>
        </w:tc>
        <w:tc>
          <w:tcPr>
            <w:tcW w:type="dxa" w:w="835"/>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pPr>
            <w:r>
              <w:rPr>
                <w:sz w:val="21"/>
                <w:color w:val="000000"/>
              </w:rPr>
              <w:t>品牌</w:t>
            </w:r>
          </w:p>
        </w:tc>
        <w:tc>
          <w:tcPr>
            <w:tcW w:type="dxa" w:w="926"/>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pPr>
            <w:r>
              <w:rPr>
                <w:sz w:val="21"/>
                <w:color w:val="000000"/>
              </w:rPr>
              <w:t>型号</w:t>
            </w:r>
          </w:p>
        </w:tc>
        <w:tc>
          <w:tcPr>
            <w:tcW w:type="dxa" w:w="2824"/>
            <w:tcBorders>
              <w:top w:val="outset"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ind w:firstLine="420"/>
            </w:pPr>
            <w:r>
              <w:rPr>
                <w:sz w:val="21"/>
                <w:color w:val="000000"/>
              </w:rPr>
              <w:t>详细配置清单</w:t>
            </w:r>
          </w:p>
        </w:tc>
        <w:tc>
          <w:tcPr>
            <w:tcW w:type="dxa" w:w="653"/>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pPr>
            <w:r>
              <w:rPr>
                <w:sz w:val="21"/>
                <w:color w:val="000000"/>
              </w:rPr>
              <w:t>单位</w:t>
            </w:r>
          </w:p>
        </w:tc>
        <w:tc>
          <w:tcPr>
            <w:tcW w:type="dxa" w:w="653"/>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pPr>
            <w:r>
              <w:rPr>
                <w:sz w:val="21"/>
                <w:color w:val="000000"/>
              </w:rPr>
              <w:t>数量</w:t>
            </w:r>
          </w:p>
        </w:tc>
        <w:tc>
          <w:tcPr>
            <w:tcW w:type="dxa" w:w="698"/>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pPr>
            <w:r>
              <w:rPr>
                <w:sz w:val="21"/>
                <w:color w:val="000000"/>
              </w:rPr>
              <w:t>单价</w:t>
            </w:r>
          </w:p>
        </w:tc>
        <w:tc>
          <w:tcPr>
            <w:tcW w:type="dxa" w:w="714"/>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pPr>
            <w:r>
              <w:rPr>
                <w:sz w:val="21"/>
                <w:color w:val="000000"/>
              </w:rPr>
              <w:t>总价</w:t>
            </w:r>
          </w:p>
        </w:tc>
      </w:tr>
      <w:tr>
        <w:tc>
          <w:tcPr>
            <w:tcW w:type="dxa" w:w="501"/>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pPr>
            <w:r>
              <w:rPr>
                <w:sz w:val="21"/>
                <w:color w:val="000000"/>
              </w:rPr>
              <w:t>1</w:t>
            </w:r>
          </w:p>
        </w:tc>
        <w:tc>
          <w:tcPr>
            <w:tcW w:type="dxa" w:w="50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ind w:firstLine="420"/>
            </w:pPr>
          </w:p>
        </w:tc>
        <w:tc>
          <w:tcPr>
            <w:tcW w:type="dxa" w:w="83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926"/>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2824"/>
            <w:tcBorders>
              <w:top w:val="none" w:color="000000" w:sz="4"/>
              <w:left w:val="single" w:color="000000" w:sz="4"/>
              <w:bottom w:val="outset" w:color="000000" w:sz="4"/>
              <w:right w:val="outset" w:color="000000" w:sz="4"/>
            </w:tcBorders>
            <w:tcMar>
              <w:top w:type="dxa" w:w="15"/>
              <w:left w:type="dxa" w:w="15"/>
              <w:bottom w:type="dxa" w:w="15"/>
              <w:right w:type="dxa" w:w="15"/>
            </w:tcMar>
            <w:vAlign w:val="top"/>
          </w:tcPr>
          <w:p/>
        </w:tc>
        <w:tc>
          <w:tcPr>
            <w:tcW w:type="dxa" w:w="653"/>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653"/>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698"/>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714"/>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r>
      <w:tr>
        <w:tc>
          <w:tcPr>
            <w:tcW w:type="dxa" w:w="8305"/>
            <w:gridSpan w:val="9"/>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pPr>
            <w:r>
              <w:rPr>
                <w:sz w:val="21"/>
                <w:color w:val="000000"/>
              </w:rPr>
              <w:t>合同总价（人民币）：佰拾万仟佰拾元角分（￥</w:t>
            </w:r>
            <w:r>
              <w:rPr>
                <w:sz w:val="21"/>
                <w:color w:val="000000"/>
              </w:rPr>
              <w:t xml:space="preserve">           </w:t>
            </w:r>
            <w:r>
              <w:rPr>
                <w:sz w:val="21"/>
                <w:color w:val="000000"/>
              </w:rPr>
              <w:t>）</w:t>
            </w:r>
          </w:p>
        </w:tc>
      </w:tr>
    </w:tbl>
    <w:p>
      <w:pPr>
        <w:pStyle w:val="null3"/>
        <w:ind w:firstLine="420"/>
      </w:pPr>
      <w:r>
        <w:rPr>
          <w:sz w:val="21"/>
          <w:color w:val="000000"/>
        </w:rPr>
        <w:t>2．上述合同总价为乙方按照合同约定完成合同全部义务后所适用的总价格。为总价包干，合同总价应包括（但不限于）：</w:t>
      </w:r>
    </w:p>
    <w:p>
      <w:pPr>
        <w:pStyle w:val="null3"/>
        <w:ind w:firstLine="420"/>
      </w:pPr>
      <w:r>
        <w:rPr>
          <w:sz w:val="21"/>
          <w:color w:val="000000"/>
        </w:rPr>
        <w:t>①采购需求表内货物（含备品备件）及</w:t>
      </w:r>
      <w:r>
        <w:rPr>
          <w:sz w:val="21"/>
          <w:color w:val="000000"/>
        </w:rPr>
        <w:t>25</w:t>
      </w:r>
      <w:r>
        <w:rPr>
          <w:sz w:val="21"/>
          <w:color w:val="000000"/>
        </w:rPr>
        <w:t>套特殊人群（已包含在</w:t>
      </w:r>
      <w:r>
        <w:rPr>
          <w:sz w:val="21"/>
          <w:color w:val="000000"/>
        </w:rPr>
        <w:t>3063</w:t>
      </w:r>
      <w:r>
        <w:rPr>
          <w:sz w:val="21"/>
          <w:color w:val="000000"/>
        </w:rPr>
        <w:t>套内）加长款改造家具的设计、制造、改造、包装、仓储、运输、保险、货物运输保险费、装卸费、安装、调试、试运行、验收、培训、技术服务（包括技术资料、图纸的提供）、质保期保障服务等的全部含税费用；</w:t>
      </w:r>
    </w:p>
    <w:p>
      <w:pPr>
        <w:pStyle w:val="null3"/>
        <w:ind w:firstLine="420"/>
      </w:pPr>
      <w:r>
        <w:rPr>
          <w:sz w:val="21"/>
          <w:color w:val="000000"/>
        </w:rPr>
        <w:t>②上述未包含的其他一切伴随服务，如售后服务、完工后室内空气质量检测等；</w:t>
      </w:r>
    </w:p>
    <w:p>
      <w:pPr>
        <w:pStyle w:val="null3"/>
        <w:ind w:firstLine="420"/>
      </w:pPr>
      <w:r>
        <w:rPr>
          <w:sz w:val="21"/>
          <w:color w:val="000000"/>
        </w:rPr>
        <w:t>③本次家具更换涉及各学生宿舍房间内原有旧家具拆卸及搬运到校内指定地点。除另有明确约定的费用外，采购人无需支付任何额外费用和承担任何额外义务。</w:t>
      </w:r>
    </w:p>
    <w:p>
      <w:pPr>
        <w:pStyle w:val="null3"/>
        <w:ind w:firstLine="422"/>
      </w:pPr>
      <w:r>
        <w:rPr>
          <w:sz w:val="21"/>
          <w:b/>
          <w:color w:val="000000"/>
        </w:rPr>
        <w:t>二、货物要求</w:t>
      </w:r>
    </w:p>
    <w:p>
      <w:pPr>
        <w:pStyle w:val="null3"/>
        <w:ind w:firstLine="420"/>
      </w:pPr>
      <w:r>
        <w:rPr>
          <w:sz w:val="21"/>
          <w:color w:val="000000"/>
        </w:rPr>
        <w:t>1. 质量要求：乙方提供的货物必须符合（1）中华人民共和国国家标准；（2）行业标准；（3）地方标准；（4）货物生产商的产品质量标准；（5）其他标准：</w:t>
      </w:r>
      <w:r>
        <w:rPr>
          <w:sz w:val="21"/>
          <w:color w:val="000000"/>
          <w:u w:val="single"/>
        </w:rPr>
        <w:t>（如有请补充，否则请填无）</w:t>
      </w:r>
      <w:r>
        <w:rPr>
          <w:sz w:val="21"/>
          <w:color w:val="000000"/>
        </w:rPr>
        <w:t>等质量标准，否则甲方有权作退货处理。</w:t>
      </w:r>
    </w:p>
    <w:p>
      <w:pPr>
        <w:pStyle w:val="null3"/>
        <w:ind w:firstLine="420"/>
      </w:pPr>
      <w:r>
        <w:rPr>
          <w:sz w:val="21"/>
          <w:color w:val="000000"/>
        </w:rPr>
        <w:t>2．技术要求：乙方承诺提供的货物完全符合招投标文件中作出的承诺，否则甲方有权作退货处理。</w:t>
      </w:r>
    </w:p>
    <w:p>
      <w:pPr>
        <w:pStyle w:val="null3"/>
        <w:ind w:firstLine="420"/>
      </w:pPr>
      <w:r>
        <w:rPr>
          <w:sz w:val="21"/>
          <w:color w:val="000000"/>
        </w:rPr>
        <w:t>3．包装及运输要求：乙方提供的货物必须是制造厂商全新的原厂原装产品（含零部件、配件、随机工具、技术文件等），包装外观完好、表面无划损、破损，无任何缺陷及隐患，每台设备上均应钉有铭牌(内容包括：制造商,设备名称、型号规格、序列号等并附有产品质量检验合格标志，且进货渠道合法，在中国境内可依常规安全合法使用。并应使用产品标准出厂包装，适合于空运、海运、陆运等长途运输方式及气候变化，防潮、防震、防雨、防锈、防冻等（若需特殊包装方式如冷冻等，请列明）。如因包装造成的一切损失（包括但不限于商品损坏、损失、锈蚀、费用增长等），概由乙方负责赔偿。</w:t>
      </w:r>
    </w:p>
    <w:p>
      <w:pPr>
        <w:pStyle w:val="null3"/>
        <w:ind w:firstLine="420"/>
      </w:pPr>
      <w:r>
        <w:rPr>
          <w:sz w:val="21"/>
          <w:color w:val="000000"/>
        </w:rPr>
        <w:t>4．乙方应免费提供中文的产品正式说明书，场地准备书，使用手册及维护手册等，以及所有有关本合同执行的技术文件。如果项目必需但合同又未作规定的，需要乙方才能提供的技术文件，乙方也应及时向甲方提供。技术文件可以是手册、图纸或其他形式的文件资料。上述技术文件应包含保证甲方能够正确进行安装、操作、检查、维修、维护、测试、调试、验收和运作的需要的所有内容。</w:t>
      </w:r>
    </w:p>
    <w:p>
      <w:pPr>
        <w:pStyle w:val="null3"/>
        <w:ind w:firstLine="420"/>
      </w:pPr>
      <w:r>
        <w:rPr>
          <w:sz w:val="21"/>
          <w:color w:val="000000"/>
        </w:rPr>
        <w:t>5.</w:t>
      </w:r>
      <w:r>
        <w:rPr/>
        <w:t xml:space="preserve"> </w:t>
      </w:r>
      <w:r>
        <w:rPr>
          <w:sz w:val="21"/>
          <w:color w:val="000000"/>
        </w:rPr>
        <w:t>投标人需根据入住学生特殊身高需求，按甲方要求完成</w:t>
      </w:r>
      <w:r>
        <w:rPr>
          <w:sz w:val="21"/>
          <w:color w:val="000000"/>
        </w:rPr>
        <w:t>25</w:t>
      </w:r>
      <w:r>
        <w:rPr>
          <w:sz w:val="21"/>
          <w:color w:val="000000"/>
        </w:rPr>
        <w:t>套加长改造（床板相应加长，已包含在</w:t>
      </w:r>
      <w:r>
        <w:rPr>
          <w:sz w:val="21"/>
          <w:color w:val="000000"/>
        </w:rPr>
        <w:t>3063</w:t>
      </w:r>
      <w:r>
        <w:rPr>
          <w:sz w:val="21"/>
          <w:color w:val="000000"/>
        </w:rPr>
        <w:t>套内），具体规格、尺寸以乙方现场测量后报甲方复核结果为准。</w:t>
      </w:r>
    </w:p>
    <w:p>
      <w:pPr>
        <w:pStyle w:val="null3"/>
        <w:ind w:firstLine="422"/>
      </w:pPr>
      <w:r>
        <w:rPr>
          <w:sz w:val="21"/>
          <w:b/>
          <w:color w:val="000000"/>
        </w:rPr>
        <w:t>三、货物交付</w:t>
      </w:r>
    </w:p>
    <w:p>
      <w:pPr>
        <w:pStyle w:val="null3"/>
        <w:ind w:firstLine="420"/>
      </w:pPr>
      <w:r>
        <w:rPr>
          <w:sz w:val="21"/>
          <w:color w:val="000000"/>
        </w:rPr>
        <w:t>1．交货地点：甲方指定交付地点。（联系人：__________电话：______________）；</w:t>
      </w:r>
    </w:p>
    <w:p>
      <w:pPr>
        <w:pStyle w:val="null3"/>
        <w:ind w:firstLine="420"/>
      </w:pPr>
      <w:r>
        <w:rPr>
          <w:sz w:val="21"/>
          <w:color w:val="000000"/>
        </w:rPr>
        <w:t>2．交货时间：__________。</w:t>
      </w:r>
    </w:p>
    <w:p>
      <w:pPr>
        <w:pStyle w:val="null3"/>
        <w:ind w:firstLine="422"/>
      </w:pPr>
      <w:r>
        <w:rPr>
          <w:sz w:val="21"/>
          <w:b/>
          <w:color w:val="000000"/>
        </w:rPr>
        <w:t>四、货物安装及验收</w:t>
      </w:r>
    </w:p>
    <w:p>
      <w:pPr>
        <w:pStyle w:val="null3"/>
        <w:ind w:firstLine="420"/>
        <w:jc w:val="both"/>
      </w:pPr>
      <w:r>
        <w:rPr>
          <w:sz w:val="21"/>
          <w:color w:val="000000"/>
        </w:rPr>
        <w:t>1.中标人应在收到中标通知书后5天内向采购人提出产品安装、调试应准备的条件。中标人必须在货物测试与验收前，向采购人提供按本项目的技术规格、技术规范的要求进行的测试与验收方案。</w:t>
      </w:r>
    </w:p>
    <w:p>
      <w:pPr>
        <w:pStyle w:val="null3"/>
        <w:ind w:firstLine="420"/>
        <w:jc w:val="both"/>
      </w:pPr>
      <w:r>
        <w:rPr>
          <w:sz w:val="21"/>
          <w:color w:val="000000"/>
        </w:rPr>
        <w:t>2.货物整体结构要牢固，安装平稳，块料面层要平整、光滑、美观，不得有缺陷；根据该项目的特点及要求，中标人在制作、加工期间及安装完毕后，采购人有权组织相关部门按照招标文件要求对中标方货物进行抽检，如原材料达不到合同要求，一律退货，由此造成的损失由中标单位承担，对涉及的家具施工安装、调试、安全防护、不可预见性费用等均由中标方负责，一切费用由中标人承担。</w:t>
      </w:r>
    </w:p>
    <w:p>
      <w:pPr>
        <w:pStyle w:val="null3"/>
        <w:ind w:firstLine="420"/>
        <w:jc w:val="both"/>
      </w:pPr>
      <w:r>
        <w:rPr>
          <w:sz w:val="21"/>
          <w:color w:val="000000"/>
        </w:rPr>
        <w:t>3.货物安装前需设置一个样板房，样板房需采购人验收合格后方可批量安装。</w:t>
      </w:r>
    </w:p>
    <w:p>
      <w:pPr>
        <w:pStyle w:val="null3"/>
        <w:ind w:firstLine="420"/>
        <w:jc w:val="both"/>
      </w:pPr>
      <w:r>
        <w:rPr>
          <w:sz w:val="21"/>
          <w:color w:val="000000"/>
        </w:rPr>
        <w:t>4.货物安装调试完毕且正常运行7天后，中标人应备齐采购人要求提供的验收文件，并提出书面验收申请。采购人将按流程进行验收，并出具采购物资验收报告给中标人。货物验收合格之日为采购人签署采购物资验收报告的日期。</w:t>
      </w:r>
    </w:p>
    <w:p>
      <w:pPr>
        <w:pStyle w:val="null3"/>
        <w:ind w:firstLine="420"/>
        <w:jc w:val="both"/>
      </w:pPr>
      <w:r>
        <w:rPr>
          <w:sz w:val="21"/>
          <w:color w:val="000000"/>
        </w:rPr>
        <w:t>5.货物验收标准：以招投标文件和合同项下所述的标准和要求进行验收，如招投标文件与合同的标准和要求有冲突的，以招投标文件为准。</w:t>
      </w:r>
    </w:p>
    <w:p>
      <w:pPr>
        <w:pStyle w:val="null3"/>
        <w:ind w:firstLine="420"/>
        <w:jc w:val="both"/>
      </w:pPr>
      <w:r>
        <w:rPr>
          <w:sz w:val="21"/>
          <w:color w:val="000000"/>
        </w:rPr>
        <w:t>6.经采购人对中标人提供的货物进行验收，若发现中标人提供的货物不符合招投标文件及合同规定的质量要求，采购人有权拒收该货物，中标人应无条件更换被拒绝的货物，或者无条件进行必要的修改以满足规定的要求（费用包含在投标报价中）；采购人也有权选择解除合同并要求中标人承担违约责任。</w:t>
      </w:r>
    </w:p>
    <w:p>
      <w:pPr>
        <w:pStyle w:val="null3"/>
        <w:ind w:firstLine="420"/>
      </w:pPr>
      <w:r>
        <w:rPr>
          <w:sz w:val="21"/>
          <w:color w:val="000000"/>
        </w:rPr>
        <w:t>7.采购人在货物到达交货地点后对货物进行检验、测试及必要时拒绝接收货物的权利将不会因为货物在中标人的驻地已通过了采购人或其代表的检验、测试和认可而受到限制或放弃。</w:t>
      </w:r>
    </w:p>
    <w:p>
      <w:pPr>
        <w:pStyle w:val="null3"/>
        <w:ind w:firstLine="420"/>
        <w:jc w:val="both"/>
      </w:pPr>
      <w:r>
        <w:rPr>
          <w:sz w:val="21"/>
          <w:color w:val="000000"/>
        </w:rPr>
        <w:t>8.中标人在合同签订后5个工作日内，应向采购人提交本合同总价5%，作为履约保证金。项目验收合格后1个月内，中标人凭收据向采购人申请退还，采购人在收到中标人申请单据之日起15个工作日内无息退还给中标人。</w:t>
      </w:r>
    </w:p>
    <w:p>
      <w:pPr>
        <w:pStyle w:val="null3"/>
        <w:ind w:firstLine="420"/>
        <w:jc w:val="both"/>
      </w:pPr>
      <w:r>
        <w:rPr>
          <w:sz w:val="21"/>
          <w:color w:val="000000"/>
        </w:rPr>
        <w:t>9.</w:t>
      </w:r>
      <w:r>
        <w:rPr>
          <w:sz w:val="21"/>
          <w:color w:val="000000"/>
        </w:rPr>
        <w:t>每批家具安装完毕后，由甲方邀请带</w:t>
      </w:r>
      <w:r>
        <w:rPr>
          <w:sz w:val="21"/>
          <w:color w:val="000000"/>
        </w:rPr>
        <w:t>CMA认证标识的第三方检测机构在</w:t>
      </w:r>
      <w:r>
        <w:rPr>
          <w:sz w:val="21"/>
          <w:color w:val="000000"/>
        </w:rPr>
        <w:t>家具已安装完毕</w:t>
      </w:r>
      <w:r>
        <w:rPr>
          <w:sz w:val="21"/>
          <w:color w:val="000000"/>
        </w:rPr>
        <w:t>的宿舍楼每层随机抽取房间数的</w:t>
      </w:r>
      <w:r>
        <w:rPr>
          <w:sz w:val="21"/>
          <w:color w:val="000000"/>
        </w:rPr>
        <w:t>5%（每层楼至少抽取1间）按GB/T18883-2022《室内空气质量标准》进行空气质量检测，相关费用包含在合同总价中，由乙方支付。第三方检测机构根据检测结果出具具备符合带CMA认证标识的室内空气质量检验检测报告，如果检测结果为不合格，则乙方必须在学校要求的整改期内更换为合格产品，以符合验收标准为准。整改后仍不合格的，甲方有权拒收，扣除空气检测不合格房间产品的货款。</w:t>
      </w:r>
    </w:p>
    <w:p>
      <w:pPr>
        <w:pStyle w:val="null3"/>
        <w:ind w:firstLine="422"/>
      </w:pPr>
      <w:r>
        <w:rPr>
          <w:sz w:val="21"/>
          <w:b/>
          <w:color w:val="000000"/>
        </w:rPr>
        <w:t>五、付款</w:t>
      </w:r>
    </w:p>
    <w:p>
      <w:pPr>
        <w:pStyle w:val="null3"/>
        <w:ind w:firstLine="420"/>
        <w:jc w:val="both"/>
      </w:pPr>
      <w:r>
        <w:rPr>
          <w:sz w:val="21"/>
          <w:color w:val="000000"/>
        </w:rPr>
        <w:t>1.付款方式：</w:t>
      </w:r>
    </w:p>
    <w:p>
      <w:pPr>
        <w:pStyle w:val="null3"/>
        <w:ind w:firstLine="420"/>
        <w:jc w:val="both"/>
      </w:pPr>
      <w:r>
        <w:rPr>
          <w:sz w:val="21"/>
          <w:color w:val="000000"/>
        </w:rPr>
        <w:t>1期：支付比例</w:t>
      </w:r>
      <w:r>
        <w:rPr>
          <w:sz w:val="21"/>
          <w:color w:val="000000"/>
        </w:rPr>
        <w:t>47.50</w:t>
      </w:r>
      <w:r>
        <w:rPr>
          <w:sz w:val="21"/>
          <w:color w:val="000000"/>
        </w:rPr>
        <w:t>%，签订合同并收到</w:t>
      </w:r>
      <w:r>
        <w:rPr>
          <w:sz w:val="21"/>
          <w:color w:val="000000"/>
        </w:rPr>
        <w:t>乙方</w:t>
      </w:r>
      <w:r>
        <w:rPr>
          <w:sz w:val="21"/>
          <w:color w:val="000000"/>
        </w:rPr>
        <w:t>开具的等额正式发票后</w:t>
      </w:r>
      <w:r>
        <w:rPr>
          <w:sz w:val="21"/>
          <w:color w:val="000000"/>
        </w:rPr>
        <w:t>5个工作日内支付合同总价的</w:t>
      </w:r>
      <w:r>
        <w:rPr>
          <w:sz w:val="21"/>
          <w:color w:val="000000"/>
        </w:rPr>
        <w:t>4</w:t>
      </w:r>
      <w:r>
        <w:rPr>
          <w:sz w:val="21"/>
          <w:color w:val="000000"/>
        </w:rPr>
        <w:t>7.50</w:t>
      </w:r>
      <w:r>
        <w:rPr>
          <w:sz w:val="21"/>
          <w:color w:val="000000"/>
        </w:rPr>
        <w:t>%。</w:t>
      </w:r>
    </w:p>
    <w:p>
      <w:pPr>
        <w:pStyle w:val="null3"/>
        <w:ind w:firstLine="420"/>
        <w:jc w:val="both"/>
      </w:pPr>
      <w:r>
        <w:rPr>
          <w:sz w:val="21"/>
          <w:color w:val="000000"/>
        </w:rPr>
        <w:t>2期：支付比例</w:t>
      </w:r>
      <w:r>
        <w:rPr>
          <w:sz w:val="21"/>
          <w:color w:val="000000"/>
        </w:rPr>
        <w:t>52.50</w:t>
      </w:r>
      <w:r>
        <w:rPr>
          <w:sz w:val="21"/>
          <w:color w:val="000000"/>
        </w:rPr>
        <w:t>%，</w:t>
      </w:r>
      <w:r>
        <w:rPr>
          <w:sz w:val="21"/>
          <w:color w:val="000000"/>
        </w:rPr>
        <w:t>合同所有货物到交货地点</w:t>
      </w:r>
      <w:r>
        <w:rPr>
          <w:sz w:val="21"/>
          <w:color w:val="000000"/>
        </w:rPr>
        <w:t>、安装调试完毕、验收合格，且</w:t>
      </w:r>
      <w:r>
        <w:rPr>
          <w:sz w:val="21"/>
          <w:color w:val="000000"/>
        </w:rPr>
        <w:t>甲方</w:t>
      </w:r>
      <w:r>
        <w:rPr>
          <w:sz w:val="21"/>
          <w:color w:val="000000"/>
        </w:rPr>
        <w:t>收到</w:t>
      </w:r>
      <w:r>
        <w:rPr>
          <w:sz w:val="21"/>
          <w:color w:val="000000"/>
        </w:rPr>
        <w:t>乙方</w:t>
      </w:r>
      <w:r>
        <w:rPr>
          <w:sz w:val="21"/>
          <w:color w:val="000000"/>
        </w:rPr>
        <w:t>开具的等额正式发票后</w:t>
      </w:r>
      <w:r>
        <w:rPr>
          <w:sz w:val="21"/>
          <w:color w:val="000000"/>
        </w:rPr>
        <w:t>10</w:t>
      </w:r>
      <w:r>
        <w:rPr>
          <w:sz w:val="21"/>
          <w:color w:val="000000"/>
        </w:rPr>
        <w:t>个工作日</w:t>
      </w:r>
      <w:r>
        <w:rPr>
          <w:sz w:val="21"/>
          <w:color w:val="000000"/>
        </w:rPr>
        <w:t>内支付合同总价的</w:t>
      </w:r>
      <w:r>
        <w:rPr>
          <w:sz w:val="21"/>
          <w:color w:val="000000"/>
        </w:rPr>
        <w:t>52.50</w:t>
      </w:r>
      <w:r>
        <w:rPr>
          <w:sz w:val="21"/>
          <w:color w:val="000000"/>
        </w:rPr>
        <w:t>％。</w:t>
      </w:r>
    </w:p>
    <w:p>
      <w:pPr>
        <w:pStyle w:val="null3"/>
        <w:ind w:firstLine="420"/>
        <w:jc w:val="both"/>
      </w:pPr>
      <w:r>
        <w:rPr>
          <w:sz w:val="21"/>
          <w:color w:val="000000"/>
        </w:rPr>
        <w:t>说明：</w:t>
      </w:r>
      <w:r>
        <w:rPr>
          <w:sz w:val="21"/>
          <w:color w:val="000000"/>
        </w:rPr>
        <w:t>甲方</w:t>
      </w:r>
      <w:r>
        <w:rPr>
          <w:sz w:val="21"/>
          <w:color w:val="000000"/>
        </w:rPr>
        <w:t>向</w:t>
      </w:r>
      <w:r>
        <w:rPr>
          <w:sz w:val="21"/>
          <w:color w:val="000000"/>
        </w:rPr>
        <w:t>乙方</w:t>
      </w:r>
      <w:r>
        <w:rPr>
          <w:sz w:val="21"/>
          <w:color w:val="000000"/>
        </w:rPr>
        <w:t>指定账户汇出款项后，即视为已履行付款义务。在汇款过程中，因</w:t>
      </w:r>
      <w:r>
        <w:rPr>
          <w:sz w:val="21"/>
          <w:color w:val="000000"/>
        </w:rPr>
        <w:t>乙方</w:t>
      </w:r>
      <w:r>
        <w:rPr>
          <w:sz w:val="21"/>
          <w:color w:val="000000"/>
        </w:rPr>
        <w:t>账户的原因（包括但不限于账号被注销、被冻结等）导致其无法收取款项的，由</w:t>
      </w:r>
      <w:r>
        <w:rPr>
          <w:sz w:val="21"/>
          <w:color w:val="000000"/>
        </w:rPr>
        <w:t>乙方</w:t>
      </w:r>
      <w:r>
        <w:rPr>
          <w:sz w:val="21"/>
          <w:color w:val="000000"/>
        </w:rPr>
        <w:t>承担相应后果。</w:t>
      </w:r>
    </w:p>
    <w:p>
      <w:pPr>
        <w:pStyle w:val="null3"/>
        <w:ind w:firstLine="420"/>
        <w:jc w:val="both"/>
      </w:pPr>
      <w:r>
        <w:rPr>
          <w:sz w:val="21"/>
          <w:color w:val="000000"/>
        </w:rPr>
        <w:t>如项目履行过程中</w:t>
      </w:r>
      <w:r>
        <w:rPr>
          <w:sz w:val="21"/>
          <w:color w:val="000000"/>
        </w:rPr>
        <w:t>,甲方采取融资支付或其他支付方式,乙方应配合甲方签订补充协议。</w:t>
      </w:r>
    </w:p>
    <w:p>
      <w:pPr>
        <w:pStyle w:val="null3"/>
        <w:ind w:firstLine="420"/>
        <w:jc w:val="both"/>
      </w:pPr>
      <w:r>
        <w:rPr>
          <w:sz w:val="21"/>
          <w:color w:val="000000"/>
        </w:rPr>
        <w:t>2．甲方向乙方指定账户汇出款项后，即视为已履行付款义务。在汇款过程中，因乙方账户的原因（包括但不限于账号被注销、被冻结等）导致其无法收取款项的，由乙方承担相应后果。</w:t>
      </w:r>
    </w:p>
    <w:p>
      <w:pPr>
        <w:pStyle w:val="null3"/>
        <w:ind w:firstLine="420"/>
        <w:jc w:val="both"/>
      </w:pPr>
      <w:r>
        <w:rPr>
          <w:sz w:val="21"/>
          <w:color w:val="000000"/>
        </w:rPr>
        <w:t>3．</w:t>
      </w:r>
      <w:r>
        <w:rPr>
          <w:sz w:val="21"/>
          <w:color w:val="000000"/>
        </w:rPr>
        <w:t>本项目如执行国库支付的，付款按照财政部门国库集中支付的有关规定办理。付款时间为</w:t>
      </w:r>
      <w:r>
        <w:rPr>
          <w:sz w:val="21"/>
          <w:color w:val="000000"/>
        </w:rPr>
        <w:t>甲方</w:t>
      </w:r>
      <w:r>
        <w:rPr>
          <w:sz w:val="21"/>
          <w:color w:val="000000"/>
        </w:rPr>
        <w:t>向政府财政支付部门提出支付申请的时间（不含政府财政支付部门审查的时间）。</w:t>
      </w:r>
    </w:p>
    <w:p>
      <w:pPr>
        <w:pStyle w:val="null3"/>
        <w:ind w:firstLine="420"/>
        <w:jc w:val="both"/>
      </w:pPr>
      <w:r>
        <w:rPr>
          <w:sz w:val="21"/>
          <w:color w:val="000000"/>
        </w:rPr>
        <w:t>4．付款时间如遇甲方寒暑假，甲方有权将付款时间顺延至假期结束之后。</w:t>
      </w:r>
    </w:p>
    <w:p>
      <w:pPr>
        <w:pStyle w:val="null3"/>
        <w:ind w:firstLine="422"/>
      </w:pPr>
      <w:r>
        <w:rPr>
          <w:sz w:val="21"/>
          <w:b/>
          <w:color w:val="000000"/>
        </w:rPr>
        <w:t>六、质保期保障服务</w:t>
      </w:r>
    </w:p>
    <w:p>
      <w:pPr>
        <w:pStyle w:val="null3"/>
        <w:ind w:firstLine="420"/>
      </w:pPr>
      <w:r>
        <w:rPr>
          <w:sz w:val="21"/>
          <w:color w:val="000000"/>
        </w:rPr>
        <w:t>1.安装调试与人员培训：乙方应及时委派专业工程师无条件安装调试产品（费用包含在投标报价中），安装调试期间甲方的使用人员协助配合，并需根据入住学生特殊身高需求，按甲方要求完成</w:t>
      </w:r>
      <w:r>
        <w:rPr>
          <w:sz w:val="21"/>
          <w:color w:val="000000"/>
        </w:rPr>
        <w:t>25</w:t>
      </w:r>
      <w:r>
        <w:rPr>
          <w:sz w:val="21"/>
          <w:color w:val="000000"/>
        </w:rPr>
        <w:t>套加长改造（床板相应加长，已包含在</w:t>
      </w:r>
      <w:r>
        <w:rPr>
          <w:sz w:val="21"/>
          <w:color w:val="000000"/>
        </w:rPr>
        <w:t>3063</w:t>
      </w:r>
      <w:r>
        <w:rPr>
          <w:sz w:val="21"/>
          <w:color w:val="000000"/>
        </w:rPr>
        <w:t>套内），具体规格、尺寸以乙方现场测量后报甲方复核结果为准。安装调试完毕，乙方需组织甲方使用人员无条件进行使用及日常维护等的现场培训，并提供相关教材。</w:t>
      </w:r>
    </w:p>
    <w:p>
      <w:pPr>
        <w:pStyle w:val="null3"/>
        <w:ind w:firstLine="420"/>
      </w:pPr>
      <w:r>
        <w:rPr>
          <w:sz w:val="21"/>
          <w:color w:val="000000"/>
        </w:rPr>
        <w:t>2.提供不少于10年无条件保修期，保修期内无条件维修，提供终身维修维护服务。保修期从甲方签订验收合格报告之日开始计算，无条件保修期内乙方负责所有因产品质量问题而产生的费用，均需包含在投标报价中。</w:t>
      </w:r>
    </w:p>
    <w:p>
      <w:pPr>
        <w:pStyle w:val="null3"/>
        <w:ind w:firstLine="420"/>
      </w:pPr>
      <w:r>
        <w:rPr>
          <w:sz w:val="21"/>
          <w:color w:val="000000"/>
        </w:rPr>
        <w:t>3.乙方有专门的售后维修服务点，有常驻项目实施地的维修工程师不少于2名，乙方应指派专人负责与甲方联系售后服务事宜，并设置24小时报修电话。无论产品因何种原因发生何种故障，乙方在接到维修通知后，须在2小时内响应，8小时内到达现场，24小时解决问题。若24小时内无法解决问题，则乙方应提供不低于同等质量及性能的产品供甲方使用。</w:t>
      </w:r>
    </w:p>
    <w:p>
      <w:pPr>
        <w:pStyle w:val="null3"/>
        <w:ind w:firstLine="420"/>
      </w:pPr>
      <w:r>
        <w:rPr>
          <w:sz w:val="21"/>
          <w:color w:val="000000"/>
        </w:rPr>
        <w:t>4.乙方在保修期内需每四年一次性对所有货物进行全面检修，发现问题需全部无条件维修或更换。</w:t>
      </w:r>
    </w:p>
    <w:p>
      <w:pPr>
        <w:pStyle w:val="null3"/>
        <w:ind w:firstLine="420"/>
      </w:pPr>
      <w:r>
        <w:rPr>
          <w:sz w:val="21"/>
          <w:color w:val="000000"/>
        </w:rPr>
        <w:t>5.学生入住当天、第二天，派驻现场解决存在问题工作人员不少于6人。</w:t>
      </w:r>
    </w:p>
    <w:p>
      <w:pPr>
        <w:pStyle w:val="null3"/>
        <w:ind w:firstLine="420"/>
      </w:pPr>
      <w:r>
        <w:rPr>
          <w:sz w:val="21"/>
          <w:color w:val="000000"/>
        </w:rPr>
        <w:t>6.在保修期内，如乙方不能按保修条款要求按时按质完成维修维护工作的，为不影响学生的生活学习，甲方有权安排第三方维修公司对需保修的家具进行维修维护，所产生的费用由乙方支付。</w:t>
      </w:r>
    </w:p>
    <w:p>
      <w:pPr>
        <w:pStyle w:val="null3"/>
        <w:ind w:firstLine="420"/>
      </w:pPr>
      <w:r>
        <w:rPr>
          <w:sz w:val="21"/>
          <w:color w:val="000000"/>
        </w:rPr>
        <w:t>7</w:t>
      </w:r>
      <w:r>
        <w:rPr>
          <w:sz w:val="21"/>
          <w:color w:val="000000"/>
        </w:rPr>
        <w:t>．其他条款以乙方投标文件为准。</w:t>
      </w:r>
    </w:p>
    <w:p>
      <w:pPr>
        <w:pStyle w:val="null3"/>
        <w:ind w:firstLine="422"/>
      </w:pPr>
      <w:r>
        <w:rPr>
          <w:sz w:val="21"/>
          <w:b/>
          <w:color w:val="000000"/>
        </w:rPr>
        <w:t>七、培训</w:t>
      </w:r>
    </w:p>
    <w:p>
      <w:pPr>
        <w:pStyle w:val="null3"/>
        <w:ind w:firstLine="420"/>
      </w:pPr>
      <w:r>
        <w:rPr>
          <w:sz w:val="21"/>
          <w:color w:val="000000"/>
        </w:rPr>
        <w:t>乙方负责提供合同标的现场操作、运行、维护、修理的培训方案及必需的培训资料，并对甲方受训人员进行仪器设备的维护、使用及开发等方面的培训，直至能熟练操作为止。</w:t>
      </w:r>
    </w:p>
    <w:p>
      <w:pPr>
        <w:pStyle w:val="null3"/>
        <w:ind w:firstLine="422"/>
      </w:pPr>
      <w:r>
        <w:rPr>
          <w:sz w:val="21"/>
          <w:b/>
          <w:color w:val="000000"/>
        </w:rPr>
        <w:t>八、知识产权、风险转移</w:t>
      </w:r>
    </w:p>
    <w:p>
      <w:pPr>
        <w:pStyle w:val="null3"/>
        <w:ind w:firstLine="420"/>
      </w:pPr>
      <w:r>
        <w:rPr>
          <w:sz w:val="21"/>
          <w:color w:val="000000"/>
        </w:rPr>
        <w:t>1．乙方保证，甲方在中华人民共和国使用该货物或货物的任何一部分时，如受第三方提出的侵犯其知识产权、肖像权、技术秘密、商业秘密或其他任何权益的起诉，由乙方承担一切责任。</w:t>
      </w:r>
    </w:p>
    <w:p>
      <w:pPr>
        <w:pStyle w:val="null3"/>
        <w:ind w:firstLine="420"/>
      </w:pPr>
      <w:r>
        <w:rPr>
          <w:sz w:val="21"/>
          <w:color w:val="000000"/>
        </w:rPr>
        <w:t>2．乙方为执行本合同而提供的技术资料、软件的使用权归甲方所有。</w:t>
      </w:r>
    </w:p>
    <w:p>
      <w:pPr>
        <w:pStyle w:val="null3"/>
        <w:ind w:firstLine="420"/>
      </w:pPr>
      <w:r>
        <w:rPr>
          <w:sz w:val="21"/>
          <w:color w:val="000000"/>
        </w:rPr>
        <w:t>3．乙方交由承运人运输的在途货物，毁损、灭失的风险由乙方承担。货物的产权，损坏、灭失的风险，在货物通过甲方验收合格交付使用时起，由乙方转移至甲方。</w:t>
      </w:r>
    </w:p>
    <w:p>
      <w:pPr>
        <w:pStyle w:val="null3"/>
        <w:ind w:firstLine="420"/>
      </w:pPr>
      <w:r>
        <w:rPr>
          <w:sz w:val="21"/>
          <w:color w:val="000000"/>
        </w:rPr>
        <w:t>4．因货物验收不合格甲方拒收，或者双方解除合同的，合同标的物毁损、丢失的风险由乙方承担。</w:t>
      </w:r>
    </w:p>
    <w:p>
      <w:pPr>
        <w:pStyle w:val="null3"/>
        <w:ind w:firstLine="420"/>
      </w:pPr>
      <w:r>
        <w:rPr>
          <w:sz w:val="21"/>
          <w:color w:val="000000"/>
        </w:rPr>
        <w:t>5．产权和风险的转移，不影响因乙方履行合同义务不符合约定，甲方要求其承担违约责任的权利。</w:t>
      </w:r>
    </w:p>
    <w:p>
      <w:pPr>
        <w:pStyle w:val="null3"/>
        <w:ind w:firstLine="422"/>
      </w:pPr>
      <w:r>
        <w:rPr>
          <w:sz w:val="21"/>
          <w:b/>
          <w:color w:val="000000"/>
        </w:rPr>
        <w:t>九、保密责任</w:t>
      </w:r>
    </w:p>
    <w:p>
      <w:pPr>
        <w:pStyle w:val="null3"/>
        <w:ind w:firstLine="420"/>
      </w:pPr>
      <w:r>
        <w:rPr>
          <w:sz w:val="21"/>
          <w:color w:val="000000"/>
        </w:rPr>
        <w:t>双方应保守通过签订和履行本合同而获取的对方之商业及技术秘密，包括本合同文本，相关技术文件、相关数据，以及其他有关信息。任何一方违反上述约定的，应赔偿合同守约方的损失。本保密条款及保密责任不因合同的解除或终止而消失。</w:t>
      </w:r>
    </w:p>
    <w:p>
      <w:pPr>
        <w:pStyle w:val="null3"/>
        <w:ind w:firstLine="422"/>
      </w:pPr>
      <w:r>
        <w:rPr>
          <w:sz w:val="21"/>
          <w:b/>
          <w:color w:val="000000"/>
        </w:rPr>
        <w:t>十、违约责任</w:t>
      </w:r>
    </w:p>
    <w:p>
      <w:pPr>
        <w:pStyle w:val="null3"/>
        <w:ind w:firstLine="420"/>
      </w:pPr>
      <w:r>
        <w:rPr>
          <w:sz w:val="21"/>
          <w:color w:val="000000"/>
        </w:rPr>
        <w:t>1．乙方交付的货物不符合合同规定的，甲方有权拒收并解除合同，乙方需向甲方支付合同总价10%的违约金。如甲方同意更换的，乙方应于5天内重新提供符合合同约定的货物，乙方未能按期调换的，按逾期交付货物处理，逾期时点自最初约定的交付日期起计。</w:t>
      </w:r>
    </w:p>
    <w:p>
      <w:pPr>
        <w:pStyle w:val="null3"/>
        <w:ind w:firstLine="420"/>
      </w:pPr>
      <w:r>
        <w:rPr>
          <w:sz w:val="21"/>
          <w:color w:val="000000"/>
        </w:rPr>
        <w:t>2．乙方逾期交付货物的，每逾期一天，按合同总价的0.8‰向甲方支付违约金，甲方有权直接从应付给乙方的合同款项中扣除该违约金，且甲方有权要求乙方继续向甲方交付直至符合要求。误期超过15天，甲方有权解除合同，乙方需退还甲方已支付的所有款项，并按合同总价的10%向甲方支付违约金，违约金不足以弥补甲方损失的，乙方应另行赔偿。</w:t>
      </w:r>
    </w:p>
    <w:p>
      <w:pPr>
        <w:pStyle w:val="null3"/>
        <w:ind w:firstLine="420"/>
      </w:pPr>
      <w:r>
        <w:rPr>
          <w:sz w:val="21"/>
          <w:color w:val="000000"/>
        </w:rPr>
        <w:t>3．若乙方未按本合同的约定提供质保期保障服务，甲方有权自行委托第三方提供甲方所需要的技术支持和售后服务，由此造成的包括但不限于第三方维保费用、甲方其他经济损失等均由乙方承担赔偿。</w:t>
      </w:r>
    </w:p>
    <w:p>
      <w:pPr>
        <w:pStyle w:val="null3"/>
        <w:ind w:firstLine="420"/>
      </w:pPr>
      <w:r>
        <w:rPr>
          <w:sz w:val="21"/>
          <w:color w:val="000000"/>
        </w:rPr>
        <w:t>4. 乙方有以下情形之一的，甲方有权解除合同，乙方需退还甲方已支付的所有款项，并按合同总价的10%向甲方支付违约金，违约金不足以弥补甲方损失的，乙方应另行赔偿，具体情形如下：</w:t>
      </w:r>
    </w:p>
    <w:p>
      <w:pPr>
        <w:pStyle w:val="null3"/>
        <w:ind w:firstLine="420"/>
      </w:pPr>
      <w:r>
        <w:rPr>
          <w:sz w:val="21"/>
          <w:color w:val="000000"/>
        </w:rPr>
        <w:t>（</w:t>
      </w:r>
      <w:r>
        <w:rPr>
          <w:sz w:val="21"/>
          <w:color w:val="000000"/>
        </w:rPr>
        <w:t>1）乙方交付的货物存在侵犯他人知识产权、肖像权、技术秘密、商业秘密或其他任何权益的；</w:t>
      </w:r>
    </w:p>
    <w:p>
      <w:pPr>
        <w:pStyle w:val="null3"/>
        <w:ind w:firstLine="420"/>
      </w:pPr>
      <w:r>
        <w:rPr>
          <w:sz w:val="21"/>
          <w:color w:val="000000"/>
        </w:rPr>
        <w:t>（</w:t>
      </w:r>
      <w:r>
        <w:rPr>
          <w:sz w:val="21"/>
          <w:color w:val="000000"/>
        </w:rPr>
        <w:t>2）乙方履行义务不符合约定，经甲方提出后在合理期限内仍未改正的；</w:t>
      </w:r>
    </w:p>
    <w:p>
      <w:pPr>
        <w:pStyle w:val="null3"/>
        <w:ind w:firstLine="420"/>
      </w:pPr>
      <w:r>
        <w:rPr>
          <w:sz w:val="21"/>
          <w:color w:val="000000"/>
        </w:rPr>
        <w:t>（</w:t>
      </w:r>
      <w:r>
        <w:rPr>
          <w:sz w:val="21"/>
          <w:color w:val="000000"/>
        </w:rPr>
        <w:t>3）未经甲方书面同意，乙方将本合同项下的权利或义务转让，或将本合同项下服务转包或分包的；</w:t>
      </w:r>
    </w:p>
    <w:p>
      <w:pPr>
        <w:pStyle w:val="null3"/>
        <w:ind w:firstLine="420"/>
      </w:pPr>
      <w:r>
        <w:rPr>
          <w:sz w:val="21"/>
          <w:color w:val="000000"/>
        </w:rPr>
        <w:t>（</w:t>
      </w:r>
      <w:r>
        <w:rPr>
          <w:sz w:val="21"/>
          <w:color w:val="000000"/>
        </w:rPr>
        <w:t>4）乙方无正当理由逾期交货超过15日的；</w:t>
      </w:r>
    </w:p>
    <w:p>
      <w:pPr>
        <w:pStyle w:val="null3"/>
        <w:ind w:firstLine="420"/>
      </w:pPr>
      <w:r>
        <w:rPr>
          <w:sz w:val="21"/>
          <w:color w:val="000000"/>
        </w:rPr>
        <w:t>（</w:t>
      </w:r>
      <w:r>
        <w:rPr>
          <w:sz w:val="21"/>
          <w:color w:val="000000"/>
        </w:rPr>
        <w:t>5）国家法律规定的其他合同解除情形。</w:t>
      </w:r>
    </w:p>
    <w:p>
      <w:pPr>
        <w:pStyle w:val="null3"/>
        <w:ind w:firstLine="420"/>
      </w:pPr>
      <w:r>
        <w:rPr>
          <w:sz w:val="21"/>
          <w:color w:val="000000"/>
        </w:rPr>
        <w:t>5. 甲方逾期支付货款，经乙方催告后无正当理由仍不支付的，自催告后每逾期一日，应按逾期付款金额每日0.8‰向乙方支付违约金。</w:t>
      </w:r>
    </w:p>
    <w:p>
      <w:pPr>
        <w:pStyle w:val="null3"/>
        <w:ind w:firstLine="420"/>
      </w:pPr>
      <w:r>
        <w:rPr>
          <w:sz w:val="21"/>
          <w:color w:val="000000"/>
        </w:rPr>
        <w:t>6. 本合同所称之损失，包括守约方的直接经济损失和合同履行后可以获得的利益及合理的调查费、评估费、公证费、诉讼费、交通费、律师费等相关法律费用。</w:t>
      </w:r>
    </w:p>
    <w:p>
      <w:pPr>
        <w:pStyle w:val="null3"/>
        <w:ind w:firstLine="422"/>
      </w:pPr>
      <w:r>
        <w:rPr>
          <w:sz w:val="21"/>
          <w:b/>
          <w:color w:val="000000"/>
        </w:rPr>
        <w:t>十一、不可抗力</w:t>
      </w:r>
    </w:p>
    <w:p>
      <w:pPr>
        <w:pStyle w:val="null3"/>
        <w:ind w:firstLine="420"/>
      </w:pPr>
      <w:r>
        <w:rPr>
          <w:sz w:val="21"/>
          <w:color w:val="000000"/>
        </w:rPr>
        <w:t>一方由于不能预见、不能避免并不能克服的客观情况（也即法定不可抗力事由），且该情况是在合同生效后发生的，导致不能或暂时不能全部或部分履行本合同，该方可以免责。但是，受不可抗力事件影响的一方须尽快将事件发生状况通知另一方，并在不可抗力事件影响消除之日起</w:t>
      </w:r>
      <w:r>
        <w:rPr>
          <w:sz w:val="21"/>
          <w:color w:val="000000"/>
        </w:rPr>
        <w:t>10日内将有关机构出具的不可抗力事件证明寄交对方。逾期未提供以上证明的，不能免除违约责任。</w:t>
      </w:r>
    </w:p>
    <w:p>
      <w:pPr>
        <w:pStyle w:val="null3"/>
        <w:ind w:firstLine="422"/>
      </w:pPr>
      <w:r>
        <w:rPr>
          <w:sz w:val="21"/>
          <w:b/>
          <w:color w:val="000000"/>
        </w:rPr>
        <w:t>十二、法律适用与争议解决</w:t>
      </w:r>
    </w:p>
    <w:p>
      <w:pPr>
        <w:pStyle w:val="null3"/>
        <w:ind w:firstLine="420"/>
      </w:pPr>
      <w:r>
        <w:rPr>
          <w:sz w:val="21"/>
          <w:color w:val="000000"/>
        </w:rPr>
        <w:t>1．本合同的成立、有效性、解释、履行、签署、修订和终止以及争议的解决等均应适用中华人民共和国法律。</w:t>
      </w:r>
    </w:p>
    <w:p>
      <w:pPr>
        <w:pStyle w:val="null3"/>
        <w:ind w:firstLine="420"/>
      </w:pPr>
      <w:r>
        <w:rPr>
          <w:sz w:val="21"/>
          <w:color w:val="000000"/>
        </w:rPr>
        <w:t>2．甲乙双方在履行本合同时发生的争议，都应首先由双方通过友好协商解决。双方通过协商仍不能解决争议，双方一致同意向甲方所在地（即广州市天河区）人民法院提起诉讼。</w:t>
      </w:r>
    </w:p>
    <w:p>
      <w:pPr>
        <w:pStyle w:val="null3"/>
        <w:ind w:firstLine="422"/>
      </w:pPr>
      <w:r>
        <w:rPr>
          <w:sz w:val="21"/>
          <w:b/>
          <w:color w:val="000000"/>
        </w:rPr>
        <w:t>十三、通知与送达</w:t>
      </w:r>
    </w:p>
    <w:p>
      <w:pPr>
        <w:pStyle w:val="null3"/>
        <w:ind w:firstLine="420"/>
      </w:pPr>
      <w:r>
        <w:rPr>
          <w:sz w:val="21"/>
          <w:color w:val="000000"/>
        </w:rPr>
        <w:t>一方在本合同履行过程中向对方发出或者提供的所有通知、文件、文书、资料等，均以本合同所列明的地址送达。一方如果迁址、变更电话，应当在变更之日起</w:t>
      </w:r>
      <w:r>
        <w:rPr>
          <w:sz w:val="21"/>
          <w:color w:val="000000"/>
        </w:rPr>
        <w:t>5日内书面通知对方，未履行书面通知义务的，一方按原地址邮寄相关材料或通知相关信息即视为已履行送达义务。当面交付上述材料的，在交付之时视为送达；以邮寄方式交付的，寄出、发出或者投邮后即视为送达。</w:t>
      </w:r>
    </w:p>
    <w:p>
      <w:pPr>
        <w:pStyle w:val="null3"/>
        <w:ind w:firstLine="422"/>
      </w:pPr>
      <w:r>
        <w:rPr>
          <w:sz w:val="21"/>
          <w:b/>
          <w:color w:val="000000"/>
        </w:rPr>
        <w:t>十四、其他约定</w:t>
      </w:r>
    </w:p>
    <w:p>
      <w:pPr>
        <w:pStyle w:val="null3"/>
        <w:ind w:firstLine="420"/>
      </w:pPr>
      <w:r>
        <w:rPr>
          <w:sz w:val="21"/>
          <w:color w:val="000000"/>
        </w:rPr>
        <w:t>1．本合同其他未尽事宜，以项目招投标文件为准；文件未作规定的，应由双方友好协商解决。如需对本合同及其附件作任何修改或补充，须由双方以书面形式做出，并经双方签字盖章后方为有效。修改或补充文件与本合同有不一致的，以修改或补充文件为准。</w:t>
      </w:r>
    </w:p>
    <w:p>
      <w:pPr>
        <w:pStyle w:val="null3"/>
        <w:ind w:firstLine="420"/>
      </w:pPr>
      <w:r>
        <w:rPr>
          <w:sz w:val="21"/>
          <w:color w:val="000000"/>
        </w:rPr>
        <w:t>2. 组成本合同的材料包括_______采购项目(采购编号：_______）的招标文件、乙方投标文件、承诺以及本项目经双方确认的相关材料，合同附件为本合同不可分割的部分。若附件与合同正文有任何不一致，以合同正文为准。</w:t>
      </w:r>
    </w:p>
    <w:p>
      <w:pPr>
        <w:pStyle w:val="null3"/>
        <w:ind w:firstLine="420"/>
      </w:pPr>
      <w:r>
        <w:rPr>
          <w:sz w:val="21"/>
          <w:color w:val="000000"/>
        </w:rPr>
        <w:t>3. 本合同经甲乙双方签字盖章后正式生效。一式6份，甲方持4份，乙方持2份，均为正本，具有同等法律效力。</w:t>
      </w:r>
    </w:p>
    <w:p>
      <w:pPr>
        <w:pStyle w:val="null3"/>
        <w:ind w:firstLine="422"/>
        <w:jc w:val="both"/>
      </w:pPr>
      <w:r>
        <w:rPr>
          <w:sz w:val="21"/>
          <w:b/>
          <w:color w:val="000000"/>
        </w:rPr>
        <w:t>甲乙双方在此确认，本合同为甲乙双方合法之授权代表于广州市天河区签订。</w:t>
      </w:r>
    </w:p>
    <w:p>
      <w:pPr>
        <w:pStyle w:val="null3"/>
        <w:ind w:left="420"/>
      </w:pPr>
      <w:r>
        <w:rPr>
          <w:sz w:val="24"/>
          <w:b/>
          <w:color w:val="000000"/>
        </w:rPr>
        <w:t>（以下无正文）</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800"/>
        <w:gridCol w:w="1208"/>
        <w:gridCol w:w="785"/>
        <w:gridCol w:w="1208"/>
        <w:gridCol w:w="664"/>
        <w:gridCol w:w="634"/>
        <w:gridCol w:w="634"/>
        <w:gridCol w:w="861"/>
        <w:gridCol w:w="1510"/>
      </w:tblGrid>
      <w:tr>
        <w:tc>
          <w:tcPr>
            <w:tcW w:type="dxa" w:w="800"/>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color w:val="000000"/>
              </w:rPr>
              <w:t>甲方</w:t>
            </w:r>
            <w:r>
              <w:br/>
            </w:r>
            <w:r>
              <w:rPr>
                <w:sz w:val="18"/>
                <w:color w:val="000000"/>
              </w:rPr>
              <w:t>名称</w:t>
            </w:r>
          </w:p>
        </w:tc>
        <w:tc>
          <w:tcPr>
            <w:tcW w:type="dxa" w:w="3201"/>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pPr>
            <w:r>
              <w:rPr>
                <w:sz w:val="18"/>
                <w:color w:val="000000"/>
              </w:rPr>
              <w:t>华南师范大学</w:t>
            </w:r>
            <w:r>
              <w:rPr>
                <w:sz w:val="19"/>
              </w:rPr>
              <w:t xml:space="preserve">  </w:t>
            </w:r>
          </w:p>
        </w:tc>
        <w:tc>
          <w:tcPr>
            <w:tcW w:type="dxa" w:w="664"/>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color w:val="000000"/>
              </w:rPr>
              <w:t>乙方</w:t>
            </w:r>
            <w:r>
              <w:br/>
            </w:r>
            <w:r>
              <w:rPr>
                <w:sz w:val="18"/>
                <w:color w:val="000000"/>
              </w:rPr>
              <w:t>名称</w:t>
            </w:r>
          </w:p>
        </w:tc>
        <w:tc>
          <w:tcPr>
            <w:tcW w:type="dxa" w:w="3639"/>
            <w:gridSpan w:val="4"/>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pPr>
            <w:r>
              <w:rPr>
                <w:sz w:val="21"/>
                <w:color w:val="000000"/>
              </w:rPr>
              <w:t>（必填项）</w:t>
            </w:r>
          </w:p>
        </w:tc>
      </w:tr>
      <w:tr>
        <w:tc>
          <w:tcPr>
            <w:tcW w:type="dxa" w:w="800"/>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color w:val="000000"/>
              </w:rPr>
              <w:t>单位</w:t>
            </w:r>
            <w:r>
              <w:br/>
            </w:r>
            <w:r>
              <w:rPr>
                <w:sz w:val="18"/>
                <w:color w:val="000000"/>
              </w:rPr>
              <w:t>地址</w:t>
            </w:r>
          </w:p>
        </w:tc>
        <w:tc>
          <w:tcPr>
            <w:tcW w:type="dxa" w:w="3201"/>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pPr>
            <w:r>
              <w:rPr>
                <w:sz w:val="18"/>
                <w:color w:val="000000"/>
              </w:rPr>
              <w:t>广州市中山大道西</w:t>
            </w:r>
            <w:r>
              <w:rPr>
                <w:sz w:val="18"/>
                <w:color w:val="000000"/>
              </w:rPr>
              <w:t>55号</w:t>
            </w:r>
            <w:r>
              <w:rPr>
                <w:sz w:val="19"/>
              </w:rPr>
              <w:t xml:space="preserve">  </w:t>
            </w:r>
          </w:p>
        </w:tc>
        <w:tc>
          <w:tcPr>
            <w:tcW w:type="dxa" w:w="664"/>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color w:val="000000"/>
              </w:rPr>
              <w:t>单位</w:t>
            </w:r>
            <w:r>
              <w:br/>
            </w:r>
            <w:r>
              <w:rPr>
                <w:sz w:val="18"/>
                <w:color w:val="000000"/>
              </w:rPr>
              <w:t>地址</w:t>
            </w:r>
          </w:p>
        </w:tc>
        <w:tc>
          <w:tcPr>
            <w:tcW w:type="dxa" w:w="3639"/>
            <w:gridSpan w:val="4"/>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pPr>
            <w:r>
              <w:rPr>
                <w:sz w:val="21"/>
                <w:color w:val="000000"/>
              </w:rPr>
              <w:t>（必填项）</w:t>
            </w:r>
          </w:p>
        </w:tc>
      </w:tr>
      <w:tr>
        <w:tc>
          <w:tcPr>
            <w:tcW w:type="dxa" w:w="800"/>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color w:val="000000"/>
              </w:rPr>
              <w:t>联系人</w:t>
            </w:r>
          </w:p>
        </w:tc>
        <w:tc>
          <w:tcPr>
            <w:tcW w:type="dxa" w:w="1208"/>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pPr>
            <w:r>
              <w:rPr>
                <w:sz w:val="21"/>
                <w:color w:val="000000"/>
              </w:rPr>
              <w:t>（必填项）</w:t>
            </w:r>
          </w:p>
        </w:tc>
        <w:tc>
          <w:tcPr>
            <w:tcW w:type="dxa" w:w="785"/>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90"/>
            </w:pPr>
            <w:r>
              <w:rPr>
                <w:sz w:val="18"/>
                <w:color w:val="000000"/>
              </w:rPr>
              <w:t>电话</w:t>
            </w:r>
          </w:p>
        </w:tc>
        <w:tc>
          <w:tcPr>
            <w:tcW w:type="dxa" w:w="1208"/>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pPr>
            <w:r>
              <w:rPr>
                <w:sz w:val="21"/>
                <w:color w:val="000000"/>
              </w:rPr>
              <w:t>（必填项）</w:t>
            </w:r>
          </w:p>
        </w:tc>
        <w:tc>
          <w:tcPr>
            <w:tcW w:type="dxa" w:w="664"/>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color w:val="000000"/>
              </w:rPr>
              <w:t>联系人</w:t>
            </w:r>
          </w:p>
        </w:tc>
        <w:tc>
          <w:tcPr>
            <w:tcW w:type="dxa" w:w="1268"/>
            <w:gridSpan w:val="2"/>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pPr>
            <w:r>
              <w:rPr>
                <w:sz w:val="21"/>
                <w:color w:val="000000"/>
              </w:rPr>
              <w:t>（必填项）</w:t>
            </w:r>
          </w:p>
        </w:tc>
        <w:tc>
          <w:tcPr>
            <w:tcW w:type="dxa" w:w="861"/>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90"/>
            </w:pPr>
            <w:r>
              <w:rPr>
                <w:sz w:val="18"/>
                <w:color w:val="000000"/>
              </w:rPr>
              <w:t>电话</w:t>
            </w:r>
          </w:p>
        </w:tc>
        <w:tc>
          <w:tcPr>
            <w:tcW w:type="dxa" w:w="1510"/>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pPr>
            <w:r>
              <w:rPr>
                <w:sz w:val="21"/>
                <w:color w:val="000000"/>
              </w:rPr>
              <w:t>（必填项）</w:t>
            </w:r>
          </w:p>
        </w:tc>
      </w:tr>
      <w:tr>
        <w:tc>
          <w:tcPr>
            <w:tcW w:type="dxa" w:w="800"/>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color w:val="000000"/>
              </w:rPr>
              <w:t>传真</w:t>
            </w:r>
          </w:p>
        </w:tc>
        <w:tc>
          <w:tcPr>
            <w:tcW w:type="dxa" w:w="1208"/>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pPr>
            <w:r>
              <w:rPr>
                <w:sz w:val="21"/>
                <w:color w:val="000000"/>
              </w:rPr>
              <w:t>（必填项）</w:t>
            </w:r>
          </w:p>
        </w:tc>
        <w:tc>
          <w:tcPr>
            <w:tcW w:type="dxa" w:w="785"/>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90"/>
            </w:pPr>
            <w:r>
              <w:rPr>
                <w:sz w:val="18"/>
                <w:color w:val="000000"/>
              </w:rPr>
              <w:t>邮编</w:t>
            </w:r>
          </w:p>
        </w:tc>
        <w:tc>
          <w:tcPr>
            <w:tcW w:type="dxa" w:w="1208"/>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pPr>
            <w:r>
              <w:rPr>
                <w:sz w:val="21"/>
                <w:color w:val="000000"/>
              </w:rPr>
              <w:t>（必填项）</w:t>
            </w:r>
          </w:p>
        </w:tc>
        <w:tc>
          <w:tcPr>
            <w:tcW w:type="dxa" w:w="664"/>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color w:val="000000"/>
              </w:rPr>
              <w:t>传真</w:t>
            </w:r>
          </w:p>
        </w:tc>
        <w:tc>
          <w:tcPr>
            <w:tcW w:type="dxa" w:w="1268"/>
            <w:gridSpan w:val="2"/>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pPr>
            <w:r>
              <w:rPr>
                <w:sz w:val="21"/>
                <w:color w:val="000000"/>
              </w:rPr>
              <w:t>（必填项）</w:t>
            </w:r>
          </w:p>
        </w:tc>
        <w:tc>
          <w:tcPr>
            <w:tcW w:type="dxa" w:w="861"/>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90"/>
            </w:pPr>
            <w:r>
              <w:rPr>
                <w:sz w:val="18"/>
                <w:color w:val="000000"/>
              </w:rPr>
              <w:t>邮编</w:t>
            </w:r>
          </w:p>
        </w:tc>
        <w:tc>
          <w:tcPr>
            <w:tcW w:type="dxa" w:w="1510"/>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pPr>
            <w:r>
              <w:rPr>
                <w:sz w:val="21"/>
                <w:color w:val="000000"/>
              </w:rPr>
              <w:t>（必填项）</w:t>
            </w:r>
          </w:p>
        </w:tc>
      </w:tr>
      <w:tr>
        <w:tc>
          <w:tcPr>
            <w:tcW w:type="dxa" w:w="800"/>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color w:val="000000"/>
              </w:rPr>
              <w:t>开户</w:t>
            </w:r>
            <w:r>
              <w:br/>
            </w:r>
            <w:r>
              <w:rPr>
                <w:sz w:val="18"/>
                <w:color w:val="000000"/>
              </w:rPr>
              <w:t>银行</w:t>
            </w:r>
          </w:p>
        </w:tc>
        <w:tc>
          <w:tcPr>
            <w:tcW w:type="dxa" w:w="3201"/>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pPr>
            <w:r>
              <w:rPr>
                <w:sz w:val="18"/>
                <w:color w:val="000000"/>
              </w:rPr>
              <w:t>工商银行广州市高新区支行</w:t>
            </w:r>
            <w:r>
              <w:rPr>
                <w:sz w:val="19"/>
              </w:rPr>
              <w:t xml:space="preserve">  </w:t>
            </w:r>
          </w:p>
        </w:tc>
        <w:tc>
          <w:tcPr>
            <w:tcW w:type="dxa" w:w="664"/>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color w:val="000000"/>
              </w:rPr>
              <w:t>开户</w:t>
            </w:r>
            <w:r>
              <w:rPr>
                <w:sz w:val="19"/>
              </w:rPr>
              <w:t xml:space="preserve"> </w:t>
            </w:r>
            <w:r>
              <w:br/>
            </w:r>
            <w:r>
              <w:rPr>
                <w:sz w:val="18"/>
                <w:color w:val="000000"/>
              </w:rPr>
              <w:t>银行</w:t>
            </w:r>
          </w:p>
        </w:tc>
        <w:tc>
          <w:tcPr>
            <w:tcW w:type="dxa" w:w="3639"/>
            <w:gridSpan w:val="4"/>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pPr>
            <w:r>
              <w:rPr>
                <w:sz w:val="21"/>
                <w:color w:val="000000"/>
              </w:rPr>
              <w:t>（必填项）</w:t>
            </w:r>
          </w:p>
        </w:tc>
      </w:tr>
      <w:tr>
        <w:tc>
          <w:tcPr>
            <w:tcW w:type="dxa" w:w="800"/>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color w:val="000000"/>
              </w:rPr>
              <w:t>银行</w:t>
            </w:r>
            <w:r>
              <w:br/>
            </w:r>
            <w:r>
              <w:rPr>
                <w:sz w:val="18"/>
                <w:color w:val="000000"/>
              </w:rPr>
              <w:t>帐号</w:t>
            </w:r>
          </w:p>
        </w:tc>
        <w:tc>
          <w:tcPr>
            <w:tcW w:type="dxa" w:w="3201"/>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pPr>
            <w:r>
              <w:rPr>
                <w:sz w:val="18"/>
                <w:color w:val="000000"/>
              </w:rPr>
              <w:t xml:space="preserve">3602008109000386071  </w:t>
            </w:r>
          </w:p>
        </w:tc>
        <w:tc>
          <w:tcPr>
            <w:tcW w:type="dxa" w:w="664"/>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color w:val="000000"/>
              </w:rPr>
              <w:t>银行</w:t>
            </w:r>
            <w:r>
              <w:rPr>
                <w:sz w:val="19"/>
              </w:rPr>
              <w:t xml:space="preserve"> </w:t>
            </w:r>
            <w:r>
              <w:br/>
            </w:r>
            <w:r>
              <w:rPr>
                <w:sz w:val="18"/>
                <w:color w:val="000000"/>
              </w:rPr>
              <w:t>帐号</w:t>
            </w:r>
          </w:p>
        </w:tc>
        <w:tc>
          <w:tcPr>
            <w:tcW w:type="dxa" w:w="3639"/>
            <w:gridSpan w:val="4"/>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pPr>
            <w:r>
              <w:rPr>
                <w:sz w:val="21"/>
                <w:color w:val="000000"/>
              </w:rPr>
              <w:t>（必填项）</w:t>
            </w:r>
          </w:p>
        </w:tc>
      </w:tr>
      <w:tr>
        <w:tc>
          <w:tcPr>
            <w:tcW w:type="dxa" w:w="800"/>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color w:val="000000"/>
              </w:rPr>
              <w:t>法定代表人</w:t>
            </w:r>
            <w:r>
              <w:rPr>
                <w:sz w:val="18"/>
                <w:color w:val="000000"/>
              </w:rPr>
              <w:t>/委托代理人</w:t>
            </w:r>
          </w:p>
        </w:tc>
        <w:tc>
          <w:tcPr>
            <w:tcW w:type="dxa" w:w="3201"/>
            <w:gridSpan w:val="3"/>
            <w:vMerge w:val="restart"/>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pPr>
            <w:r>
              <w:rPr>
                <w:sz w:val="19"/>
              </w:rPr>
              <w:t xml:space="preserve"> </w:t>
            </w:r>
            <w:r>
              <w:rPr>
                <w:sz w:val="21"/>
                <w:color w:val="000000"/>
              </w:rPr>
              <w:t>（必填项）</w:t>
            </w:r>
          </w:p>
        </w:tc>
        <w:tc>
          <w:tcPr>
            <w:tcW w:type="dxa" w:w="1298"/>
            <w:gridSpan w:val="2"/>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color w:val="000000"/>
              </w:rPr>
              <w:t>法定代表人</w:t>
            </w:r>
            <w:r>
              <w:rPr>
                <w:sz w:val="18"/>
                <w:color w:val="000000"/>
              </w:rPr>
              <w:t>/委托代理人</w:t>
            </w:r>
          </w:p>
        </w:tc>
        <w:tc>
          <w:tcPr>
            <w:tcW w:type="dxa" w:w="3005"/>
            <w:gridSpan w:val="3"/>
            <w:vMerge w:val="restart"/>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pPr>
            <w:r>
              <w:rPr>
                <w:sz w:val="19"/>
              </w:rPr>
              <w:t xml:space="preserve"> </w:t>
            </w:r>
            <w:r>
              <w:rPr>
                <w:sz w:val="21"/>
                <w:color w:val="000000"/>
              </w:rPr>
              <w:t>（必填项）</w:t>
            </w:r>
          </w:p>
        </w:tc>
      </w:tr>
      <w:tr>
        <w:tc>
          <w:tcPr>
            <w:tcW w:type="dxa" w:w="800"/>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color w:val="000000"/>
              </w:rPr>
              <w:t>签订日期、甲方盖章</w:t>
            </w:r>
          </w:p>
        </w:tc>
        <w:tc>
          <w:tcPr>
            <w:tcW w:type="dxa" w:w="3201"/>
            <w:gridSpan w:val="3"/>
            <w:vMerge/>
            <w:tcBorders>
              <w:top w:val="single" w:color="000000" w:sz="4"/>
              <w:left w:val="single" w:color="000000" w:sz="4"/>
              <w:bottom w:val="single" w:color="000000" w:sz="4"/>
              <w:right w:val="none" w:color="000000" w:sz="4"/>
            </w:tcBorders>
          </w:tcPr>
          <w:p/>
        </w:tc>
        <w:tc>
          <w:tcPr>
            <w:tcW w:type="dxa" w:w="1298"/>
            <w:gridSpan w:val="2"/>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color w:val="000000"/>
              </w:rPr>
              <w:t>签订日期、乙方盖章</w:t>
            </w:r>
          </w:p>
        </w:tc>
        <w:tc>
          <w:tcPr>
            <w:tcW w:type="dxa" w:w="3005"/>
            <w:gridSpan w:val="3"/>
            <w:vMerge/>
            <w:tcBorders>
              <w:top w:val="single" w:color="000000" w:sz="4"/>
              <w:left w:val="single" w:color="000000" w:sz="4"/>
              <w:bottom w:val="single" w:color="000000" w:sz="4"/>
              <w:right w:val="single" w:color="000000" w:sz="4"/>
            </w:tcBorders>
          </w:tcPr>
          <w:p/>
        </w:tc>
      </w:tr>
    </w:tbl>
    <w:p>
      <w:pPr>
        <w:pStyle w:val="null3"/>
        <w:ind w:firstLine="200"/>
      </w:pPr>
      <w:r>
        <w:rPr/>
        <w:t xml:space="preserve"> </w:t>
      </w:r>
    </w:p>
    <w:p>
      <w:pPr>
        <w:pStyle w:val="null3"/>
        <w:ind w:firstLine="200"/>
      </w:pPr>
      <w:r>
        <w:rPr>
          <w:sz w:val="21"/>
          <w:color w:val="000000"/>
        </w:rPr>
        <w:t>附件</w:t>
      </w:r>
      <w:r>
        <w:rPr>
          <w:sz w:val="21"/>
          <w:color w:val="000000"/>
        </w:rPr>
        <w:t>1：</w:t>
      </w:r>
    </w:p>
    <w:p>
      <w:pPr>
        <w:pStyle w:val="null3"/>
        <w:jc w:val="center"/>
      </w:pPr>
      <w:r>
        <w:rPr>
          <w:sz w:val="28"/>
          <w:b/>
          <w:color w:val="000000"/>
        </w:rPr>
        <w:t>合同标的</w:t>
      </w:r>
    </w:p>
    <w:p>
      <w:pPr>
        <w:pStyle w:val="null3"/>
        <w:jc w:val="both"/>
      </w:pPr>
      <w:r>
        <w:rPr>
          <w:sz w:val="21"/>
          <w:color w:val="000000"/>
        </w:rPr>
        <w:t>货币单位：人民币元</w:t>
      </w:r>
    </w:p>
    <w:tbl>
      <w:tblPr>
        <w:tblW w:w="0" w:type="auto"/>
        <w:tblBorders>
          <w:top w:val="none" w:color="000000" w:sz="4"/>
          <w:left w:val="none" w:color="000000" w:sz="4"/>
          <w:bottom w:val="none" w:color="000000" w:sz="4"/>
          <w:right w:val="none" w:color="000000" w:sz="4"/>
          <w:insideH w:val="none"/>
          <w:insideV w:val="none"/>
        </w:tblBorders>
      </w:tblPr>
      <w:tblGrid>
        <w:gridCol w:w="393"/>
        <w:gridCol w:w="999"/>
        <w:gridCol w:w="1104"/>
        <w:gridCol w:w="1483"/>
        <w:gridCol w:w="1861"/>
        <w:gridCol w:w="590"/>
        <w:gridCol w:w="530"/>
        <w:gridCol w:w="545"/>
        <w:gridCol w:w="802"/>
        <w:gridCol w:w="0"/>
      </w:tblGrid>
      <w:tr>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项数</w:t>
            </w:r>
          </w:p>
        </w:tc>
        <w:tc>
          <w:tcPr>
            <w:tcW w:type="dxa" w:w="9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货物名称</w:t>
            </w:r>
          </w:p>
        </w:tc>
        <w:tc>
          <w:tcPr>
            <w:tcW w:type="dxa" w:w="1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品牌</w:t>
            </w:r>
          </w:p>
        </w:tc>
        <w:tc>
          <w:tcPr>
            <w:tcW w:type="dxa" w:w="14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型号</w:t>
            </w:r>
          </w:p>
        </w:tc>
        <w:tc>
          <w:tcPr>
            <w:tcW w:type="dxa" w:w="18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详细配置清单</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单位</w:t>
            </w:r>
          </w:p>
        </w:tc>
        <w:tc>
          <w:tcPr>
            <w:tcW w:type="dxa" w:w="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数量</w:t>
            </w:r>
          </w:p>
        </w:tc>
        <w:tc>
          <w:tcPr>
            <w:tcW w:type="dxa" w:w="5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单价</w:t>
            </w:r>
          </w:p>
        </w:tc>
        <w:tc>
          <w:tcPr>
            <w:tcW w:type="dxa" w:w="8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总价</w:t>
            </w:r>
          </w:p>
        </w:tc>
        <w:tc>
          <w:tcPr>
            <w:tcW w:type="dxa" w:w="0"/>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0"/>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0"/>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13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合同总价</w:t>
            </w:r>
          </w:p>
        </w:tc>
        <w:tc>
          <w:tcPr>
            <w:tcW w:type="dxa" w:w="6915"/>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（人民币）：佰拾万仟佰拾元角分（￥</w:t>
            </w:r>
            <w:r>
              <w:rPr>
                <w:sz w:val="21"/>
                <w:color w:val="000000"/>
              </w:rPr>
              <w:t xml:space="preserve">           </w:t>
            </w:r>
            <w:r>
              <w:rPr>
                <w:sz w:val="21"/>
                <w:color w:val="000000"/>
              </w:rPr>
              <w:t>），（</w:t>
            </w:r>
            <w:r>
              <w:rPr>
                <w:sz w:val="21"/>
                <w:color w:val="000000"/>
              </w:rPr>
              <w:t>CNY）</w:t>
            </w:r>
          </w:p>
        </w:tc>
        <w:tc>
          <w:tcPr>
            <w:tcW w:type="dxa" w:w="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bl>
    <w:p>
      <w:pPr>
        <w:pStyle w:val="null3"/>
        <w:jc w:val="both"/>
      </w:pPr>
      <w:r>
        <w:rPr>
          <w:sz w:val="21"/>
          <w:color w:val="000000"/>
        </w:rPr>
        <w:t>注：此表由双方的法定代表人或委托代理人手写签名确认。如果多页的，则每页均需手写签名确认。</w:t>
      </w:r>
    </w:p>
    <w:p>
      <w:pPr>
        <w:pStyle w:val="null3"/>
        <w:spacing w:before="150"/>
        <w:jc w:val="both"/>
      </w:pPr>
      <w:r>
        <w:rPr>
          <w:sz w:val="28"/>
          <w:b/>
          <w:color w:val="000000"/>
        </w:rPr>
        <w:t>甲方</w:t>
      </w:r>
      <w:r>
        <w:rPr>
          <w:sz w:val="28"/>
          <w:b/>
          <w:color w:val="000000"/>
        </w:rPr>
        <w:t>:        乙方:</w:t>
      </w:r>
    </w:p>
    <w:p>
      <w:pPr>
        <w:pStyle w:val="null3"/>
        <w:jc w:val="both"/>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440001-2024-56637</w:t>
      </w:r>
    </w:p>
    <w:p>
      <w:pPr>
        <w:pStyle w:val="null3"/>
        <w:jc w:val="center"/>
        <w:outlineLvl w:val="3"/>
      </w:pPr>
      <w:r>
        <w:rPr>
          <w:sz w:val="24"/>
          <w:b/>
        </w:rPr>
        <w:t>采购项目编号：</w:t>
      </w:r>
      <w:r>
        <w:rPr>
          <w:sz w:val="24"/>
          <w:b/>
        </w:rPr>
        <w:t>0809-24411GDG102020201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华南师范大学南海校园学生公寓学生组合床采购</w:t>
      </w:r>
      <w:r>
        <w:rPr>
          <w:u w:val="single"/>
        </w:rPr>
        <w:t>”</w:t>
      </w:r>
      <w:r>
        <w:rPr/>
        <w:t>项目的招标[采购项目编号为：</w:t>
      </w:r>
      <w:r>
        <w:rPr>
          <w:u w:val="single"/>
        </w:rPr>
        <w:t>0809-24411GDG102020201</w:t>
      </w:r>
      <w:r>
        <w:rPr/>
        <w:t>]，我方愿参与投标。</w:t>
      </w:r>
    </w:p>
    <w:p>
      <w:pPr>
        <w:pStyle w:val="null3"/>
        <w:ind w:firstLine="480"/>
      </w:pPr>
      <w:r>
        <w:rPr/>
        <w:t>我方确认收到贵方提供的</w:t>
      </w:r>
      <w:r>
        <w:rPr>
          <w:u w:val="single"/>
        </w:rPr>
        <w:t>“</w:t>
      </w:r>
      <w:r>
        <w:rPr>
          <w:u w:val="single"/>
        </w:rPr>
        <w:t>华南师范大学南海校园学生公寓学生组合床采购</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华南师范大学南海校园学生公寓学生组合床采购</w:t>
      </w:r>
      <w:r>
        <w:rPr/>
        <w:t>”项目采购[采购项目编号为</w:t>
      </w:r>
      <w:r>
        <w:rPr/>
        <w:t>0809-24411GDG102020201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华南师范大学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华南师范大学南海校园学生公寓学生组合床采购</w:t>
      </w:r>
      <w:r>
        <w:rPr/>
        <w:t>招标中获中标（采购项目编号：</w:t>
      </w:r>
      <w:r>
        <w:rPr/>
        <w:t>0809-24411GDG102020201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华南师范大学南海校园学生公寓学生组合床采购</w:t>
      </w:r>
      <w:r>
        <w:rPr/>
        <w:t>”项目（采购项目编号：</w:t>
      </w:r>
      <w:r>
        <w:rPr/>
        <w:t>0809-24411GDG102020201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 Id="rId7" Target="media/image2.jpeg" Type="http://schemas.openxmlformats.org/officeDocument/2006/relationships/image"/><Relationship Id="rId8" Target="media/image3.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