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highlight w:val="none"/>
          <w14:textFill>
            <w14:solidFill>
              <w14:schemeClr w14:val="tx1"/>
            </w14:solidFill>
          </w14:textFill>
        </w:rPr>
      </w:pPr>
    </w:p>
    <w:p>
      <w:pPr>
        <w:widowControl/>
        <w:spacing w:line="240" w:lineRule="auto"/>
        <w:ind w:right="-333" w:rightChars="-159"/>
        <w:jc w:val="center"/>
        <w:rPr>
          <w:b/>
          <w:bCs/>
          <w:color w:val="000000" w:themeColor="text1"/>
          <w:sz w:val="56"/>
          <w:szCs w:val="72"/>
          <w:highlight w:val="none"/>
          <w:shd w:val="clear" w:color="auto" w:fill="FFFFFF"/>
          <w14:textFill>
            <w14:solidFill>
              <w14:schemeClr w14:val="tx1"/>
            </w14:solidFill>
          </w14:textFill>
        </w:rPr>
      </w:pPr>
      <w:r>
        <w:rPr>
          <w:b/>
          <w:bCs/>
          <w:color w:val="000000" w:themeColor="text1"/>
          <w:sz w:val="56"/>
          <w:szCs w:val="72"/>
          <w:highlight w:val="none"/>
          <w:shd w:val="clear" w:color="auto" w:fill="FFFFFF"/>
          <w14:textFill>
            <w14:solidFill>
              <w14:schemeClr w14:val="tx1"/>
            </w14:solidFill>
          </w14:textFill>
        </w:rPr>
        <w:t>中山大学附属第三医院超高分辨共聚焦扫描显微镜维保服务采购项目</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spacing w:line="240" w:lineRule="auto"/>
        <w:jc w:val="center"/>
        <w:rPr>
          <w:b/>
          <w:bCs/>
          <w:color w:val="000000" w:themeColor="text1"/>
          <w:sz w:val="72"/>
          <w:szCs w:val="72"/>
          <w:highlight w:val="none"/>
          <w:shd w:val="clear" w:color="auto" w:fill="FFFFFF"/>
          <w14:textFill>
            <w14:solidFill>
              <w14:schemeClr w14:val="tx1"/>
            </w14:solidFill>
          </w14:textFill>
        </w:rPr>
      </w:pPr>
      <w:r>
        <w:rPr>
          <w:b/>
          <w:bCs/>
          <w:color w:val="000000" w:themeColor="text1"/>
          <w:sz w:val="72"/>
          <w:szCs w:val="72"/>
          <w:highlight w:val="none"/>
          <w:shd w:val="clear" w:color="auto" w:fill="FFFFFF"/>
          <w14:textFill>
            <w14:solidFill>
              <w14:schemeClr w14:val="tx1"/>
            </w14:solidFill>
          </w14:textFill>
        </w:rPr>
        <w:t>公开招标文件</w:t>
      </w:r>
    </w:p>
    <w:p>
      <w:pPr>
        <w:rPr>
          <w:color w:val="000000" w:themeColor="text1"/>
          <w:highlight w:val="none"/>
          <w14:textFill>
            <w14:solidFill>
              <w14:schemeClr w14:val="tx1"/>
            </w14:solidFill>
          </w14:textFill>
        </w:rPr>
      </w:pPr>
    </w:p>
    <w:p>
      <w:pPr>
        <w:widowControl/>
        <w:spacing w:line="240" w:lineRule="auto"/>
        <w:jc w:val="both"/>
        <w:rPr>
          <w:b/>
          <w:bCs/>
          <w:color w:val="000000" w:themeColor="text1"/>
          <w:sz w:val="30"/>
          <w:szCs w:val="30"/>
          <w:highlight w:val="none"/>
          <w14:textFill>
            <w14:solidFill>
              <w14:schemeClr w14:val="tx1"/>
            </w14:solidFill>
          </w14:textFill>
        </w:rPr>
      </w:pPr>
      <w:r>
        <w:rPr>
          <w:b/>
          <w:bCs/>
          <w:color w:val="000000" w:themeColor="text1"/>
          <w:sz w:val="30"/>
          <w:szCs w:val="30"/>
          <w:highlight w:val="none"/>
          <w14:textFill>
            <w14:solidFill>
              <w14:schemeClr w14:val="tx1"/>
            </w14:solidFill>
          </w14:textFill>
        </w:rPr>
        <w:t>项目编号：ZC2024010008</w:t>
      </w:r>
    </w:p>
    <w:p>
      <w:pPr>
        <w:widowControl/>
        <w:spacing w:line="240" w:lineRule="auto"/>
        <w:jc w:val="both"/>
        <w:rPr>
          <w:b/>
          <w:bCs/>
          <w:color w:val="000000" w:themeColor="text1"/>
          <w:sz w:val="30"/>
          <w:szCs w:val="30"/>
          <w:highlight w:val="none"/>
          <w14:textFill>
            <w14:solidFill>
              <w14:schemeClr w14:val="tx1"/>
            </w14:solidFill>
          </w14:textFill>
        </w:rPr>
      </w:pPr>
      <w:r>
        <w:rPr>
          <w:b/>
          <w:bCs/>
          <w:color w:val="000000" w:themeColor="text1"/>
          <w:sz w:val="30"/>
          <w:szCs w:val="30"/>
          <w:highlight w:val="none"/>
          <w14:textFill>
            <w14:solidFill>
              <w14:schemeClr w14:val="tx1"/>
            </w14:solidFill>
          </w14:textFill>
        </w:rPr>
        <w:t>代理机构编号：</w:t>
      </w:r>
      <w:r>
        <w:rPr>
          <w:rFonts w:hint="eastAsia"/>
          <w:b/>
          <w:bCs/>
          <w:color w:val="000000" w:themeColor="text1"/>
          <w:sz w:val="30"/>
          <w:szCs w:val="30"/>
          <w:highlight w:val="none"/>
          <w14:textFill>
            <w14:solidFill>
              <w14:schemeClr w14:val="tx1"/>
            </w14:solidFill>
          </w14:textFill>
        </w:rPr>
        <w:t>0809-24411GDG303014301</w:t>
      </w:r>
    </w:p>
    <w:p>
      <w:pPr>
        <w:widowControl/>
        <w:spacing w:line="240" w:lineRule="auto"/>
        <w:jc w:val="both"/>
        <w:rPr>
          <w:b/>
          <w:bCs/>
          <w:color w:val="000000" w:themeColor="text1"/>
          <w:sz w:val="30"/>
          <w:szCs w:val="30"/>
          <w:highlight w:val="none"/>
          <w14:textFill>
            <w14:solidFill>
              <w14:schemeClr w14:val="tx1"/>
            </w14:solidFill>
          </w14:textFill>
        </w:rPr>
      </w:pPr>
      <w:r>
        <w:rPr>
          <w:b/>
          <w:bCs/>
          <w:color w:val="000000" w:themeColor="text1"/>
          <w:sz w:val="30"/>
          <w:szCs w:val="30"/>
          <w:highlight w:val="none"/>
          <w14:textFill>
            <w14:solidFill>
              <w14:schemeClr w14:val="tx1"/>
            </w14:solidFill>
          </w14:textFill>
        </w:rPr>
        <w:t>包组：1包组</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spacing w:line="240" w:lineRule="auto"/>
        <w:jc w:val="center"/>
        <w:rPr>
          <w:b/>
          <w:bCs/>
          <w:color w:val="000000" w:themeColor="text1"/>
          <w:sz w:val="36"/>
          <w:szCs w:val="30"/>
          <w:highlight w:val="none"/>
          <w14:textFill>
            <w14:solidFill>
              <w14:schemeClr w14:val="tx1"/>
            </w14:solidFill>
          </w14:textFill>
        </w:rPr>
      </w:pPr>
      <w:r>
        <w:rPr>
          <w:b/>
          <w:bCs/>
          <w:color w:val="000000" w:themeColor="text1"/>
          <w:sz w:val="36"/>
          <w:szCs w:val="30"/>
          <w:highlight w:val="none"/>
          <w14:textFill>
            <w14:solidFill>
              <w14:schemeClr w14:val="tx1"/>
            </w14:solidFill>
          </w14:textFill>
        </w:rPr>
        <w:t>中山大学附属第三医院</w:t>
      </w:r>
    </w:p>
    <w:p>
      <w:pPr>
        <w:widowControl/>
        <w:spacing w:line="240" w:lineRule="auto"/>
        <w:jc w:val="center"/>
        <w:rPr>
          <w:b/>
          <w:bCs/>
          <w:color w:val="000000" w:themeColor="text1"/>
          <w:sz w:val="36"/>
          <w:szCs w:val="30"/>
          <w:highlight w:val="none"/>
          <w14:textFill>
            <w14:solidFill>
              <w14:schemeClr w14:val="tx1"/>
            </w14:solidFill>
          </w14:textFill>
        </w:rPr>
      </w:pPr>
      <w:r>
        <w:rPr>
          <w:rFonts w:hint="eastAsia"/>
          <w:b/>
          <w:bCs/>
          <w:color w:val="000000" w:themeColor="text1"/>
          <w:sz w:val="36"/>
          <w:szCs w:val="30"/>
          <w:highlight w:val="none"/>
          <w14:textFill>
            <w14:solidFill>
              <w14:schemeClr w14:val="tx1"/>
            </w14:solidFill>
          </w14:textFill>
        </w:rPr>
        <w:t>广东华伦招标有限公司</w:t>
      </w:r>
    </w:p>
    <w:p>
      <w:pPr>
        <w:widowControl/>
        <w:spacing w:line="240" w:lineRule="auto"/>
        <w:jc w:val="center"/>
        <w:rPr>
          <w:b/>
          <w:bCs/>
          <w:color w:val="000000" w:themeColor="text1"/>
          <w:sz w:val="36"/>
          <w:szCs w:val="30"/>
          <w:highlight w:val="none"/>
          <w14:textFill>
            <w14:solidFill>
              <w14:schemeClr w14:val="tx1"/>
            </w14:solidFill>
          </w14:textFill>
        </w:rPr>
      </w:pPr>
      <w:r>
        <w:rPr>
          <w:b/>
          <w:bCs/>
          <w:color w:val="000000" w:themeColor="text1"/>
          <w:sz w:val="36"/>
          <w:szCs w:val="30"/>
          <w:highlight w:val="none"/>
          <w14:textFill>
            <w14:solidFill>
              <w14:schemeClr w14:val="tx1"/>
            </w14:solidFill>
          </w14:textFill>
        </w:rPr>
        <w:t>20</w:t>
      </w:r>
      <w:r>
        <w:rPr>
          <w:rFonts w:hint="eastAsia"/>
          <w:b/>
          <w:bCs/>
          <w:color w:val="000000" w:themeColor="text1"/>
          <w:sz w:val="36"/>
          <w:szCs w:val="30"/>
          <w:highlight w:val="none"/>
          <w14:textFill>
            <w14:solidFill>
              <w14:schemeClr w14:val="tx1"/>
            </w14:solidFill>
          </w14:textFill>
        </w:rPr>
        <w:t>24</w:t>
      </w:r>
      <w:r>
        <w:rPr>
          <w:b/>
          <w:bCs/>
          <w:color w:val="000000" w:themeColor="text1"/>
          <w:sz w:val="36"/>
          <w:szCs w:val="30"/>
          <w:highlight w:val="none"/>
          <w14:textFill>
            <w14:solidFill>
              <w14:schemeClr w14:val="tx1"/>
            </w14:solidFill>
          </w14:textFill>
        </w:rPr>
        <w:t>年</w:t>
      </w:r>
      <w:r>
        <w:rPr>
          <w:rFonts w:hint="eastAsia"/>
          <w:b/>
          <w:bCs/>
          <w:color w:val="000000" w:themeColor="text1"/>
          <w:sz w:val="36"/>
          <w:szCs w:val="30"/>
          <w:highlight w:val="none"/>
          <w14:textFill>
            <w14:solidFill>
              <w14:schemeClr w14:val="tx1"/>
            </w14:solidFill>
          </w14:textFill>
        </w:rPr>
        <w:t>0</w:t>
      </w:r>
      <w:r>
        <w:rPr>
          <w:rFonts w:hint="eastAsia"/>
          <w:b/>
          <w:bCs/>
          <w:color w:val="000000" w:themeColor="text1"/>
          <w:sz w:val="36"/>
          <w:szCs w:val="30"/>
          <w:highlight w:val="none"/>
          <w:lang w:val="en-US" w:eastAsia="zh-CN"/>
          <w14:textFill>
            <w14:solidFill>
              <w14:schemeClr w14:val="tx1"/>
            </w14:solidFill>
          </w14:textFill>
        </w:rPr>
        <w:t>3</w:t>
      </w:r>
      <w:r>
        <w:rPr>
          <w:b/>
          <w:bCs/>
          <w:color w:val="000000" w:themeColor="text1"/>
          <w:sz w:val="36"/>
          <w:szCs w:val="30"/>
          <w:highlight w:val="none"/>
          <w14:textFill>
            <w14:solidFill>
              <w14:schemeClr w14:val="tx1"/>
            </w14:solidFill>
          </w14:textFill>
        </w:rPr>
        <w:t>月</w:t>
      </w:r>
      <w:r>
        <w:rPr>
          <w:rFonts w:hint="eastAsia"/>
          <w:b/>
          <w:bCs/>
          <w:color w:val="000000" w:themeColor="text1"/>
          <w:sz w:val="36"/>
          <w:szCs w:val="30"/>
          <w:highlight w:val="none"/>
          <w:lang w:val="en-US" w:eastAsia="zh-CN"/>
          <w14:textFill>
            <w14:solidFill>
              <w14:schemeClr w14:val="tx1"/>
            </w14:solidFill>
          </w14:textFill>
        </w:rPr>
        <w:t>25</w:t>
      </w:r>
      <w:r>
        <w:rPr>
          <w:b/>
          <w:bCs/>
          <w:color w:val="000000" w:themeColor="text1"/>
          <w:sz w:val="36"/>
          <w:szCs w:val="30"/>
          <w:highlight w:val="none"/>
          <w14:textFill>
            <w14:solidFill>
              <w14:schemeClr w14:val="tx1"/>
            </w14:solidFill>
          </w14:textFill>
        </w:rPr>
        <w:t>日</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r>
        <w:rPr>
          <w:color w:val="000000" w:themeColor="text1"/>
          <w:highlight w:val="none"/>
          <w:shd w:val="clear" w:color="auto" w:fill="FFFFFF"/>
          <w14:textFill>
            <w14:solidFill>
              <w14:schemeClr w14:val="tx1"/>
            </w14:solidFill>
          </w14:textFill>
        </w:rPr>
        <w:br w:type="page"/>
      </w:r>
      <w:r>
        <w:rPr>
          <w:b/>
          <w:color w:val="000000" w:themeColor="text1"/>
          <w:sz w:val="32"/>
          <w:szCs w:val="32"/>
          <w:highlight w:val="none"/>
          <w14:textFill>
            <w14:solidFill>
              <w14:schemeClr w14:val="tx1"/>
            </w14:solidFill>
          </w14:textFill>
        </w:rPr>
        <w:t>温馨提示</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一、网络公示的招标文件仅供浏览用，以投标人报名并购买后版本为准。</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二、建议投标人在投标截止时间前30分钟内递交投标文件。</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三、为避免因迟到而失去投标资格，请适当提前到达。</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四、如需投标人支付的各种费用，如招标文件售价、投标保证金和履约保证金等，招标文件将书面详细告知，请投标人按招标文件规定的方式和金额支付。</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五、投标文件编制说明见第五部分，投标人应该按照相关格式要求制作投标文件，并按顺序编制页码。</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六、请仔细检查投标文件是否已按招标文件要求盖章、签名及密封。</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七、如投标人以非独立法人注册的分公司名义代表总公司盖章和签署文件的，须提供总公司的营业执照副本复印件及总公司针对本项目投标的授权书原件。</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八、投标人在提交投标文件截止时间前如要放弃投标，建议于开标时间（提交投标文件截止时间） 的3日前，将《放弃投标声明》发送至</w:t>
      </w:r>
      <w:r>
        <w:rPr>
          <w:rFonts w:hint="eastAsia"/>
          <w:color w:val="000000" w:themeColor="text1"/>
          <w:sz w:val="24"/>
          <w:szCs w:val="24"/>
          <w:highlight w:val="none"/>
          <w14:textFill>
            <w14:solidFill>
              <w14:schemeClr w14:val="tx1"/>
            </w14:solidFill>
          </w14:textFill>
        </w:rPr>
        <w:t>广东华伦招标有限公司</w:t>
      </w:r>
      <w:r>
        <w:rPr>
          <w:color w:val="000000" w:themeColor="text1"/>
          <w:sz w:val="24"/>
          <w:szCs w:val="24"/>
          <w:highlight w:val="none"/>
          <w14:textFill>
            <w14:solidFill>
              <w14:schemeClr w14:val="tx1"/>
            </w14:solidFill>
          </w14:textFill>
        </w:rPr>
        <w:t>邮箱（</w:t>
      </w:r>
      <w:r>
        <w:rPr>
          <w:rFonts w:hint="eastAsia"/>
          <w:color w:val="000000" w:themeColor="text1"/>
          <w:sz w:val="24"/>
          <w:szCs w:val="24"/>
          <w:highlight w:val="none"/>
          <w14:textFill>
            <w14:solidFill>
              <w14:schemeClr w14:val="tx1"/>
            </w14:solidFill>
          </w14:textFill>
        </w:rPr>
        <w:t>hlzb03</w:t>
      </w:r>
      <w:r>
        <w:rPr>
          <w:color w:val="000000" w:themeColor="text1"/>
          <w:sz w:val="24"/>
          <w:szCs w:val="24"/>
          <w:highlight w:val="none"/>
          <w14:textFill>
            <w14:solidFill>
              <w14:schemeClr w14:val="tx1"/>
            </w14:solidFill>
          </w14:textFill>
        </w:rPr>
        <w:t>@163.com）。对您的支持与配合，谨此致谢。</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九、本次招标向中标人收取的招标代理服务费，按中山大学附属第三医院招标代理服务协议有关规定执行。</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十、公开招标失败后，评标委员会可根据项目情况建议重新招标或建议依法变更为竞争性谈判、竞争性磋商、单一来源采购等其它法定采购方式，经报批同意后，继续进行采购。</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十一、本公司将严守法律法规及行业规范完成本项目代理服务，未经委托单位书面同意不增加任何收费项目；严禁员工以口头、书面或暗示等任何形式向招投标相关人员表达有可能影响公开、公平、公正的行为；严禁员工直接或间接接受钱财物品；如有发现，请拨打投诉电话020</w:t>
      </w:r>
      <w:r>
        <w:rPr>
          <w:rFonts w:hint="eastAsia"/>
          <w:color w:val="000000" w:themeColor="text1"/>
          <w:sz w:val="24"/>
          <w:szCs w:val="24"/>
          <w:highlight w:val="none"/>
          <w14:textFill>
            <w14:solidFill>
              <w14:schemeClr w14:val="tx1"/>
            </w14:solidFill>
          </w14:textFill>
        </w:rPr>
        <w:t>-83172166-811</w:t>
      </w:r>
      <w:r>
        <w:rPr>
          <w:color w:val="000000" w:themeColor="text1"/>
          <w:sz w:val="24"/>
          <w:szCs w:val="24"/>
          <w:highlight w:val="none"/>
          <w14:textFill>
            <w14:solidFill>
              <w14:schemeClr w14:val="tx1"/>
            </w14:solidFill>
          </w14:textFill>
        </w:rPr>
        <w:t xml:space="preserve">向我们反映，谢谢！ </w:t>
      </w: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p>
    <w:p>
      <w:pPr>
        <w:autoSpaceDE w:val="0"/>
        <w:autoSpaceDN w:val="0"/>
        <w:adjustRightInd w:val="0"/>
        <w:spacing w:line="360" w:lineRule="auto"/>
        <w:ind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（本提示内容非招标文件的组成部分，仅为善意提醒。如有不一致，以招标文件为准。）</w:t>
      </w:r>
    </w:p>
    <w:p>
      <w:pPr>
        <w:jc w:val="center"/>
        <w:rPr>
          <w:color w:val="000000" w:themeColor="text1"/>
          <w:highlight w:val="none"/>
          <w:shd w:val="clear" w:color="auto" w:fill="FFFFFF"/>
          <w14:textFill>
            <w14:solidFill>
              <w14:schemeClr w14:val="tx1"/>
            </w14:solidFill>
          </w14:textFill>
        </w:rPr>
      </w:pPr>
      <w:r>
        <w:rPr>
          <w:color w:val="000000" w:themeColor="text1"/>
          <w:sz w:val="24"/>
          <w:szCs w:val="24"/>
          <w:highlight w:val="none"/>
          <w14:textFill>
            <w14:solidFill>
              <w14:schemeClr w14:val="tx1"/>
            </w14:solidFill>
          </w14:textFill>
        </w:rPr>
        <w:br w:type="page"/>
      </w:r>
      <w:r>
        <w:rPr>
          <w:b/>
          <w:color w:val="000000" w:themeColor="text1"/>
          <w:sz w:val="32"/>
          <w:szCs w:val="32"/>
          <w:highlight w:val="none"/>
          <w:shd w:val="clear" w:color="auto" w:fill="FFFFFF"/>
          <w14:textFill>
            <w14:solidFill>
              <w14:schemeClr w14:val="tx1"/>
            </w14:solidFill>
          </w14:textFill>
        </w:rPr>
        <w:t>目 录</w:t>
      </w:r>
    </w:p>
    <w:p>
      <w:pPr>
        <w:rPr>
          <w:color w:val="000000" w:themeColor="text1"/>
          <w:highlight w:val="none"/>
          <w:shd w:val="clear" w:color="auto" w:fill="FFFFFF"/>
          <w14:textFill>
            <w14:solidFill>
              <w14:schemeClr w14:val="tx1"/>
            </w14:solidFill>
          </w14:textFill>
        </w:rPr>
      </w:pPr>
    </w:p>
    <w:p>
      <w:pPr>
        <w:rPr>
          <w:color w:val="000000" w:themeColor="text1"/>
          <w:highlight w:val="none"/>
          <w:shd w:val="clear" w:color="auto" w:fill="FFFFFF"/>
          <w14:textFill>
            <w14:solidFill>
              <w14:schemeClr w14:val="tx1"/>
            </w14:solidFill>
          </w14:textFill>
        </w:rPr>
      </w:pPr>
    </w:p>
    <w:p>
      <w:pPr>
        <w:rPr>
          <w:color w:val="000000" w:themeColor="text1"/>
          <w:highlight w:val="none"/>
          <w:shd w:val="clear" w:color="auto" w:fill="FFFFFF"/>
          <w14:textFill>
            <w14:solidFill>
              <w14:schemeClr w14:val="tx1"/>
            </w14:solidFill>
          </w14:textFill>
        </w:rPr>
      </w:pPr>
    </w:p>
    <w:p>
      <w:pPr>
        <w:widowControl/>
        <w:tabs>
          <w:tab w:val="left" w:pos="3600"/>
          <w:tab w:val="clear" w:pos="540"/>
        </w:tabs>
        <w:spacing w:line="240" w:lineRule="auto"/>
        <w:rPr>
          <w:b/>
          <w:color w:val="000000" w:themeColor="text1"/>
          <w:sz w:val="24"/>
          <w:highlight w:val="none"/>
          <w:shd w:val="clear" w:color="auto" w:fill="FFFFFF"/>
          <w14:textFill>
            <w14:solidFill>
              <w14:schemeClr w14:val="tx1"/>
            </w14:solidFill>
          </w14:textFill>
        </w:rPr>
      </w:pPr>
      <w:r>
        <w:rPr>
          <w:b/>
          <w:color w:val="000000" w:themeColor="text1"/>
          <w:sz w:val="24"/>
          <w:highlight w:val="none"/>
          <w:shd w:val="clear" w:color="auto" w:fill="FFFFFF"/>
          <w14:textFill>
            <w14:solidFill>
              <w14:schemeClr w14:val="tx1"/>
            </w14:solidFill>
          </w14:textFill>
        </w:rPr>
        <w:t>第一部分 投标邀请函</w:t>
      </w:r>
    </w:p>
    <w:p>
      <w:pPr>
        <w:widowControl/>
        <w:tabs>
          <w:tab w:val="left" w:pos="3600"/>
          <w:tab w:val="clear" w:pos="540"/>
        </w:tabs>
        <w:spacing w:line="240" w:lineRule="auto"/>
        <w:rPr>
          <w:b/>
          <w:color w:val="000000" w:themeColor="text1"/>
          <w:sz w:val="24"/>
          <w:highlight w:val="none"/>
          <w:shd w:val="clear" w:color="auto" w:fill="FFFFFF"/>
          <w14:textFill>
            <w14:solidFill>
              <w14:schemeClr w14:val="tx1"/>
            </w14:solidFill>
          </w14:textFill>
        </w:rPr>
      </w:pPr>
      <w:r>
        <w:rPr>
          <w:b/>
          <w:color w:val="000000" w:themeColor="text1"/>
          <w:sz w:val="24"/>
          <w:highlight w:val="none"/>
          <w:shd w:val="clear" w:color="auto" w:fill="FFFFFF"/>
          <w14:textFill>
            <w14:solidFill>
              <w14:schemeClr w14:val="tx1"/>
            </w14:solidFill>
          </w14:textFill>
        </w:rPr>
        <w:t>第二部分 用户需求书</w:t>
      </w:r>
    </w:p>
    <w:p>
      <w:pPr>
        <w:widowControl/>
        <w:tabs>
          <w:tab w:val="left" w:pos="3600"/>
          <w:tab w:val="clear" w:pos="540"/>
        </w:tabs>
        <w:spacing w:line="240" w:lineRule="auto"/>
        <w:rPr>
          <w:color w:val="000000" w:themeColor="text1"/>
          <w:sz w:val="24"/>
          <w:highlight w:val="none"/>
          <w:shd w:val="clear" w:color="auto" w:fill="FFFFFF"/>
          <w14:textFill>
            <w14:solidFill>
              <w14:schemeClr w14:val="tx1"/>
            </w14:solidFill>
          </w14:textFill>
        </w:rPr>
      </w:pPr>
      <w:r>
        <w:rPr>
          <w:b/>
          <w:color w:val="000000" w:themeColor="text1"/>
          <w:sz w:val="24"/>
          <w:highlight w:val="none"/>
          <w:shd w:val="clear" w:color="auto" w:fill="FFFFFF"/>
          <w14:textFill>
            <w14:solidFill>
              <w14:schemeClr w14:val="tx1"/>
            </w14:solidFill>
          </w14:textFill>
        </w:rPr>
        <w:t>第三部分 投标人须知</w:t>
      </w:r>
    </w:p>
    <w:p>
      <w:pPr>
        <w:widowControl/>
        <w:tabs>
          <w:tab w:val="left" w:pos="3120"/>
          <w:tab w:val="clear" w:pos="540"/>
        </w:tabs>
        <w:spacing w:line="240" w:lineRule="auto"/>
        <w:ind w:firstLine="720" w:firstLineChars="3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投标人须知前附表</w:t>
      </w:r>
    </w:p>
    <w:p>
      <w:pPr>
        <w:widowControl/>
        <w:tabs>
          <w:tab w:val="left" w:pos="3120"/>
          <w:tab w:val="clear" w:pos="540"/>
        </w:tabs>
        <w:spacing w:line="240" w:lineRule="auto"/>
        <w:ind w:firstLine="720" w:firstLineChars="3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一、说明</w:t>
      </w:r>
      <w:r>
        <w:rPr>
          <w:color w:val="000000" w:themeColor="text1"/>
          <w:sz w:val="24"/>
          <w:highlight w:val="none"/>
          <w:shd w:val="clear" w:color="auto" w:fill="FFFFFF"/>
          <w14:textFill>
            <w14:solidFill>
              <w14:schemeClr w14:val="tx1"/>
            </w14:solidFill>
          </w14:textFill>
        </w:rPr>
        <w:tab/>
      </w:r>
    </w:p>
    <w:p>
      <w:pPr>
        <w:widowControl/>
        <w:tabs>
          <w:tab w:val="left" w:pos="3120"/>
          <w:tab w:val="clear" w:pos="540"/>
        </w:tabs>
        <w:spacing w:line="240" w:lineRule="auto"/>
        <w:ind w:firstLine="720" w:firstLineChars="3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二、招标文件</w:t>
      </w:r>
    </w:p>
    <w:p>
      <w:pPr>
        <w:widowControl/>
        <w:tabs>
          <w:tab w:val="left" w:pos="3120"/>
          <w:tab w:val="clear" w:pos="540"/>
        </w:tabs>
        <w:spacing w:line="240" w:lineRule="auto"/>
        <w:ind w:firstLine="720" w:firstLineChars="3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三、投标文件的编制</w:t>
      </w:r>
      <w:r>
        <w:rPr>
          <w:color w:val="000000" w:themeColor="text1"/>
          <w:sz w:val="24"/>
          <w:highlight w:val="none"/>
          <w:shd w:val="clear" w:color="auto" w:fill="FFFFFF"/>
          <w14:textFill>
            <w14:solidFill>
              <w14:schemeClr w14:val="tx1"/>
            </w14:solidFill>
          </w14:textFill>
        </w:rPr>
        <w:tab/>
      </w:r>
    </w:p>
    <w:p>
      <w:pPr>
        <w:widowControl/>
        <w:tabs>
          <w:tab w:val="left" w:pos="3120"/>
          <w:tab w:val="clear" w:pos="540"/>
        </w:tabs>
        <w:spacing w:line="240" w:lineRule="auto"/>
        <w:ind w:firstLine="720" w:firstLineChars="3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四、投标文件的提交</w:t>
      </w:r>
      <w:r>
        <w:rPr>
          <w:color w:val="000000" w:themeColor="text1"/>
          <w:sz w:val="24"/>
          <w:highlight w:val="none"/>
          <w:shd w:val="clear" w:color="auto" w:fill="FFFFFF"/>
          <w14:textFill>
            <w14:solidFill>
              <w14:schemeClr w14:val="tx1"/>
            </w14:solidFill>
          </w14:textFill>
        </w:rPr>
        <w:tab/>
      </w:r>
    </w:p>
    <w:p>
      <w:pPr>
        <w:widowControl/>
        <w:tabs>
          <w:tab w:val="left" w:pos="3120"/>
          <w:tab w:val="clear" w:pos="540"/>
        </w:tabs>
        <w:spacing w:line="240" w:lineRule="auto"/>
        <w:ind w:firstLine="720" w:firstLineChars="3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五、开标、评标与定标</w:t>
      </w:r>
      <w:r>
        <w:rPr>
          <w:color w:val="000000" w:themeColor="text1"/>
          <w:sz w:val="24"/>
          <w:highlight w:val="none"/>
          <w:shd w:val="clear" w:color="auto" w:fill="FFFFFF"/>
          <w14:textFill>
            <w14:solidFill>
              <w14:schemeClr w14:val="tx1"/>
            </w14:solidFill>
          </w14:textFill>
        </w:rPr>
        <w:tab/>
      </w:r>
    </w:p>
    <w:p>
      <w:pPr>
        <w:widowControl/>
        <w:tabs>
          <w:tab w:val="left" w:pos="3120"/>
          <w:tab w:val="clear" w:pos="540"/>
        </w:tabs>
        <w:spacing w:line="240" w:lineRule="auto"/>
        <w:ind w:firstLine="720" w:firstLineChars="300"/>
        <w:jc w:val="both"/>
        <w:rPr>
          <w:b/>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六、合同的授予</w:t>
      </w:r>
      <w:r>
        <w:rPr>
          <w:b/>
          <w:color w:val="000000" w:themeColor="text1"/>
          <w:sz w:val="24"/>
          <w:highlight w:val="none"/>
          <w:shd w:val="clear" w:color="auto" w:fill="FFFFFF"/>
          <w14:textFill>
            <w14:solidFill>
              <w14:schemeClr w14:val="tx1"/>
            </w14:solidFill>
          </w14:textFill>
        </w:rPr>
        <w:tab/>
      </w:r>
    </w:p>
    <w:p>
      <w:pPr>
        <w:widowControl/>
        <w:tabs>
          <w:tab w:val="left" w:pos="3600"/>
          <w:tab w:val="clear" w:pos="540"/>
        </w:tabs>
        <w:spacing w:line="240" w:lineRule="auto"/>
        <w:rPr>
          <w:b/>
          <w:color w:val="000000" w:themeColor="text1"/>
          <w:sz w:val="24"/>
          <w:highlight w:val="none"/>
          <w:shd w:val="clear" w:color="auto" w:fill="FFFFFF"/>
          <w14:textFill>
            <w14:solidFill>
              <w14:schemeClr w14:val="tx1"/>
            </w14:solidFill>
          </w14:textFill>
        </w:rPr>
      </w:pPr>
    </w:p>
    <w:p>
      <w:pPr>
        <w:widowControl/>
        <w:tabs>
          <w:tab w:val="left" w:pos="3600"/>
          <w:tab w:val="clear" w:pos="540"/>
        </w:tabs>
        <w:spacing w:line="240" w:lineRule="auto"/>
        <w:rPr>
          <w:b/>
          <w:color w:val="000000" w:themeColor="text1"/>
          <w:sz w:val="24"/>
          <w:highlight w:val="none"/>
          <w:shd w:val="clear" w:color="auto" w:fill="FFFFFF"/>
          <w14:textFill>
            <w14:solidFill>
              <w14:schemeClr w14:val="tx1"/>
            </w14:solidFill>
          </w14:textFill>
        </w:rPr>
      </w:pPr>
      <w:r>
        <w:rPr>
          <w:b/>
          <w:color w:val="000000" w:themeColor="text1"/>
          <w:sz w:val="24"/>
          <w:highlight w:val="none"/>
          <w:shd w:val="clear" w:color="auto" w:fill="FFFFFF"/>
          <w14:textFill>
            <w14:solidFill>
              <w14:schemeClr w14:val="tx1"/>
            </w14:solidFill>
          </w14:textFill>
        </w:rPr>
        <w:t>第四部分 合同条款</w:t>
      </w:r>
      <w:r>
        <w:rPr>
          <w:b/>
          <w:color w:val="000000" w:themeColor="text1"/>
          <w:sz w:val="24"/>
          <w:highlight w:val="none"/>
          <w:shd w:val="clear" w:color="auto" w:fill="FFFFFF"/>
          <w14:textFill>
            <w14:solidFill>
              <w14:schemeClr w14:val="tx1"/>
            </w14:solidFill>
          </w14:textFill>
        </w:rPr>
        <w:tab/>
      </w:r>
    </w:p>
    <w:p>
      <w:pPr>
        <w:widowControl/>
        <w:tabs>
          <w:tab w:val="left" w:pos="3600"/>
          <w:tab w:val="clear" w:pos="540"/>
        </w:tabs>
        <w:spacing w:line="240" w:lineRule="auto"/>
        <w:rPr>
          <w:b/>
          <w:color w:val="000000" w:themeColor="text1"/>
          <w:sz w:val="24"/>
          <w:highlight w:val="none"/>
          <w:shd w:val="clear" w:color="auto" w:fill="FFFFFF"/>
          <w14:textFill>
            <w14:solidFill>
              <w14:schemeClr w14:val="tx1"/>
            </w14:solidFill>
          </w14:textFill>
        </w:rPr>
      </w:pPr>
    </w:p>
    <w:p>
      <w:pPr>
        <w:widowControl/>
        <w:tabs>
          <w:tab w:val="left" w:pos="3600"/>
          <w:tab w:val="clear" w:pos="540"/>
        </w:tabs>
        <w:spacing w:line="240" w:lineRule="auto"/>
        <w:rPr>
          <w:b/>
          <w:color w:val="000000" w:themeColor="text1"/>
          <w:sz w:val="24"/>
          <w:highlight w:val="none"/>
          <w:shd w:val="clear" w:color="auto" w:fill="FFFFFF"/>
          <w14:textFill>
            <w14:solidFill>
              <w14:schemeClr w14:val="tx1"/>
            </w14:solidFill>
          </w14:textFill>
        </w:rPr>
      </w:pPr>
      <w:r>
        <w:rPr>
          <w:b/>
          <w:color w:val="000000" w:themeColor="text1"/>
          <w:sz w:val="24"/>
          <w:highlight w:val="none"/>
          <w:shd w:val="clear" w:color="auto" w:fill="FFFFFF"/>
          <w14:textFill>
            <w14:solidFill>
              <w14:schemeClr w14:val="tx1"/>
            </w14:solidFill>
          </w14:textFill>
        </w:rPr>
        <w:t>第五部分 投标文件的材料组成及规定格式</w:t>
      </w:r>
    </w:p>
    <w:p>
      <w:pPr>
        <w:widowControl/>
        <w:tabs>
          <w:tab w:val="left" w:pos="3600"/>
          <w:tab w:val="clear" w:pos="540"/>
        </w:tabs>
        <w:spacing w:line="240" w:lineRule="auto"/>
        <w:ind w:firstLine="1200" w:firstLineChars="5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一、投标文件封面格式</w:t>
      </w:r>
    </w:p>
    <w:p>
      <w:pPr>
        <w:widowControl/>
        <w:tabs>
          <w:tab w:val="left" w:pos="3600"/>
          <w:tab w:val="clear" w:pos="540"/>
        </w:tabs>
        <w:spacing w:line="240" w:lineRule="auto"/>
        <w:ind w:firstLine="1200" w:firstLineChars="5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二、目录</w:t>
      </w:r>
    </w:p>
    <w:p>
      <w:pPr>
        <w:widowControl/>
        <w:tabs>
          <w:tab w:val="left" w:pos="3600"/>
          <w:tab w:val="clear" w:pos="540"/>
        </w:tabs>
        <w:spacing w:line="240" w:lineRule="auto"/>
        <w:ind w:firstLine="1200" w:firstLineChars="5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三、自查表格式</w:t>
      </w:r>
    </w:p>
    <w:p>
      <w:pPr>
        <w:widowControl/>
        <w:tabs>
          <w:tab w:val="left" w:pos="3600"/>
          <w:tab w:val="clear" w:pos="540"/>
        </w:tabs>
        <w:spacing w:line="240" w:lineRule="auto"/>
        <w:ind w:firstLine="1200" w:firstLineChars="500"/>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四、附件</w:t>
      </w:r>
      <w:r>
        <w:rPr>
          <w:rFonts w:hint="eastAsia"/>
          <w:color w:val="000000" w:themeColor="text1"/>
          <w:sz w:val="24"/>
          <w:highlight w:val="none"/>
          <w:shd w:val="clear" w:color="auto" w:fill="FFFFFF"/>
          <w14:textFill>
            <w14:solidFill>
              <w14:schemeClr w14:val="tx1"/>
            </w14:solidFill>
          </w14:textFill>
        </w:rPr>
        <w:t>资料</w:t>
      </w:r>
    </w:p>
    <w:p>
      <w:pPr>
        <w:rPr>
          <w:color w:val="000000" w:themeColor="text1"/>
          <w:highlight w:val="none"/>
          <w:shd w:val="clear" w:color="auto" w:fill="FFFFFF"/>
          <w14:textFill>
            <w14:solidFill>
              <w14:schemeClr w14:val="tx1"/>
            </w14:solidFill>
          </w14:textFill>
        </w:rPr>
      </w:pPr>
    </w:p>
    <w:p>
      <w:pPr>
        <w:rPr>
          <w:color w:val="000000" w:themeColor="text1"/>
          <w:highlight w:val="none"/>
          <w:shd w:val="clear" w:color="auto" w:fill="FFFFFF"/>
          <w14:textFill>
            <w14:solidFill>
              <w14:schemeClr w14:val="tx1"/>
            </w14:solidFill>
          </w14:textFill>
        </w:rPr>
      </w:pPr>
    </w:p>
    <w:p>
      <w:pPr>
        <w:rPr>
          <w:color w:val="000000" w:themeColor="text1"/>
          <w:highlight w:val="none"/>
          <w:shd w:val="clear" w:color="auto" w:fill="FFFFFF"/>
          <w14:textFill>
            <w14:solidFill>
              <w14:schemeClr w14:val="tx1"/>
            </w14:solidFill>
          </w14:textFill>
        </w:rPr>
      </w:pPr>
    </w:p>
    <w:p>
      <w:pPr>
        <w:widowControl/>
        <w:tabs>
          <w:tab w:val="left" w:pos="3600"/>
          <w:tab w:val="clear" w:pos="540"/>
        </w:tabs>
        <w:spacing w:line="360" w:lineRule="auto"/>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说明：</w:t>
      </w:r>
    </w:p>
    <w:p>
      <w:pPr>
        <w:widowControl/>
        <w:tabs>
          <w:tab w:val="left" w:pos="3600"/>
          <w:tab w:val="clear" w:pos="540"/>
        </w:tabs>
        <w:spacing w:line="360" w:lineRule="auto"/>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1．请各供应商务必详细阅读本招标文件的全部条款，以减少不必要的投标失误。</w:t>
      </w:r>
    </w:p>
    <w:p>
      <w:pPr>
        <w:widowControl/>
        <w:tabs>
          <w:tab w:val="left" w:pos="3600"/>
        </w:tabs>
        <w:spacing w:line="360" w:lineRule="auto"/>
        <w:jc w:val="both"/>
        <w:rPr>
          <w:color w:val="000000" w:themeColor="text1"/>
          <w:sz w:val="24"/>
          <w:highlight w:val="none"/>
          <w:shd w:val="clear" w:color="auto" w:fill="FFFFFF"/>
          <w14:textFill>
            <w14:solidFill>
              <w14:schemeClr w14:val="tx1"/>
            </w14:solidFill>
          </w14:textFill>
        </w:rPr>
      </w:pPr>
      <w:r>
        <w:rPr>
          <w:color w:val="000000" w:themeColor="text1"/>
          <w:sz w:val="24"/>
          <w:highlight w:val="none"/>
          <w:shd w:val="clear" w:color="auto" w:fill="FFFFFF"/>
          <w14:textFill>
            <w14:solidFill>
              <w14:schemeClr w14:val="tx1"/>
            </w14:solidFill>
          </w14:textFill>
        </w:rPr>
        <w:t>2．供应商如认为本采购文件</w:t>
      </w:r>
      <w:r>
        <w:rPr>
          <w:rFonts w:hint="eastAsia"/>
          <w:color w:val="000000" w:themeColor="text1"/>
          <w:sz w:val="24"/>
          <w:highlight w:val="none"/>
          <w:shd w:val="clear" w:color="auto" w:fill="FFFFFF"/>
          <w14:textFill>
            <w14:solidFill>
              <w14:schemeClr w14:val="tx1"/>
            </w14:solidFill>
          </w14:textFill>
        </w:rPr>
        <w:t>、采购过程和中标、成交结果</w:t>
      </w:r>
      <w:r>
        <w:rPr>
          <w:color w:val="000000" w:themeColor="text1"/>
          <w:sz w:val="24"/>
          <w:highlight w:val="none"/>
          <w:shd w:val="clear" w:color="auto" w:fill="FFFFFF"/>
          <w14:textFill>
            <w14:solidFill>
              <w14:schemeClr w14:val="tx1"/>
            </w14:solidFill>
          </w14:textFill>
        </w:rPr>
        <w:t>使自己的权益受到损害的，</w:t>
      </w:r>
      <w:r>
        <w:rPr>
          <w:rFonts w:hint="eastAsia"/>
          <w:color w:val="000000" w:themeColor="text1"/>
          <w:sz w:val="24"/>
          <w:highlight w:val="none"/>
          <w:shd w:val="clear" w:color="auto" w:fill="FFFFFF"/>
          <w14:textFill>
            <w14:solidFill>
              <w14:schemeClr w14:val="tx1"/>
            </w14:solidFill>
          </w14:textFill>
        </w:rPr>
        <w:t>可以在知道或者应知其权益受到损害之日</w:t>
      </w:r>
      <w:r>
        <w:rPr>
          <w:color w:val="000000" w:themeColor="text1"/>
          <w:sz w:val="24"/>
          <w:highlight w:val="none"/>
          <w:shd w:val="clear" w:color="auto" w:fill="FFFFFF"/>
          <w14:textFill>
            <w14:solidFill>
              <w14:schemeClr w14:val="tx1"/>
            </w14:solidFill>
          </w14:textFill>
        </w:rPr>
        <w:t>起7个工作日内</w:t>
      </w:r>
      <w:r>
        <w:rPr>
          <w:rFonts w:hint="eastAsia"/>
          <w:color w:val="000000" w:themeColor="text1"/>
          <w:sz w:val="24"/>
          <w:highlight w:val="none"/>
          <w:shd w:val="clear" w:color="auto" w:fill="FFFFFF"/>
          <w14:textFill>
            <w14:solidFill>
              <w14:schemeClr w14:val="tx1"/>
            </w14:solidFill>
          </w14:textFill>
        </w:rPr>
        <w:t>，以书面形式向采购代理机构</w:t>
      </w:r>
      <w:r>
        <w:rPr>
          <w:color w:val="000000" w:themeColor="text1"/>
          <w:sz w:val="24"/>
          <w:highlight w:val="none"/>
          <w:shd w:val="clear" w:color="auto" w:fill="FFFFFF"/>
          <w14:textFill>
            <w14:solidFill>
              <w14:schemeClr w14:val="tx1"/>
            </w14:solidFill>
          </w14:textFill>
        </w:rPr>
        <w:t>提出</w:t>
      </w:r>
      <w:r>
        <w:rPr>
          <w:rFonts w:hint="eastAsia"/>
          <w:color w:val="000000" w:themeColor="text1"/>
          <w:sz w:val="24"/>
          <w:highlight w:val="none"/>
          <w:shd w:val="clear" w:color="auto" w:fill="FFFFFF"/>
          <w14:textFill>
            <w14:solidFill>
              <w14:schemeClr w14:val="tx1"/>
            </w14:solidFill>
          </w14:textFill>
        </w:rPr>
        <w:t>质疑</w:t>
      </w:r>
      <w:r>
        <w:rPr>
          <w:color w:val="000000" w:themeColor="text1"/>
          <w:sz w:val="24"/>
          <w:highlight w:val="none"/>
          <w:shd w:val="clear" w:color="auto" w:fill="FFFFFF"/>
          <w14:textFill>
            <w14:solidFill>
              <w14:schemeClr w14:val="tx1"/>
            </w14:solidFill>
          </w14:textFill>
        </w:rPr>
        <w:t>。</w:t>
      </w:r>
    </w:p>
    <w:p>
      <w:pPr>
        <w:rPr>
          <w:color w:val="000000" w:themeColor="text1"/>
          <w:highlight w:val="none"/>
          <w:shd w:val="clear" w:color="auto" w:fill="FFFFFF"/>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headerReference r:id="rId5" w:type="default"/>
          <w:footerReference r:id="rId6" w:type="default"/>
          <w:pgSz w:w="11906" w:h="16838"/>
          <w:pgMar w:top="1304" w:right="1106" w:bottom="1304" w:left="1418" w:header="851" w:footer="992" w:gutter="0"/>
          <w:pgNumType w:start="1"/>
          <w:cols w:space="720" w:num="1"/>
          <w:docGrid w:type="linesAndChars" w:linePitch="312" w:charSpace="0"/>
        </w:sectPr>
      </w:pPr>
    </w:p>
    <w:p>
      <w:pPr>
        <w:pStyle w:val="2"/>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jc w:val="center"/>
        <w:rPr>
          <w:color w:val="000000" w:themeColor="text1"/>
          <w:sz w:val="52"/>
          <w:szCs w:val="52"/>
          <w:highlight w:val="none"/>
          <w14:textFill>
            <w14:solidFill>
              <w14:schemeClr w14:val="tx1"/>
            </w14:solidFill>
          </w14:textFill>
        </w:rPr>
      </w:pPr>
      <w:bookmarkStart w:id="0" w:name="_Toc102987380"/>
      <w:bookmarkStart w:id="1" w:name="_Toc102987753"/>
      <w:bookmarkStart w:id="2" w:name="_Toc102987718"/>
      <w:r>
        <w:rPr>
          <w:color w:val="000000" w:themeColor="text1"/>
          <w:sz w:val="52"/>
          <w:szCs w:val="52"/>
          <w:highlight w:val="none"/>
          <w14:textFill>
            <w14:solidFill>
              <w14:schemeClr w14:val="tx1"/>
            </w14:solidFill>
          </w14:textFill>
        </w:rPr>
        <w:t>第一部分 投标邀请函</w:t>
      </w:r>
      <w:bookmarkEnd w:id="0"/>
      <w:bookmarkEnd w:id="1"/>
      <w:bookmarkEnd w:id="2"/>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bCs/>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3" w:name="_Toc19659"/>
      <w:r>
        <w:rPr>
          <w:b/>
          <w:color w:val="000000" w:themeColor="text1"/>
          <w:sz w:val="32"/>
          <w:szCs w:val="32"/>
          <w:highlight w:val="none"/>
          <w14:textFill>
            <w14:solidFill>
              <w14:schemeClr w14:val="tx1"/>
            </w14:solidFill>
          </w14:textFill>
        </w:rPr>
        <w:t>投标邀请函</w:t>
      </w:r>
      <w:bookmarkEnd w:id="3"/>
    </w:p>
    <w:p>
      <w:pPr>
        <w:widowControl/>
        <w:tabs>
          <w:tab w:val="left" w:pos="3600"/>
        </w:tabs>
        <w:jc w:val="both"/>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color w:val="000000" w:themeColor="text1"/>
          <w:sz w:val="24"/>
          <w:highlight w:val="none"/>
          <w14:textFill>
            <w14:solidFill>
              <w14:schemeClr w14:val="tx1"/>
            </w14:solidFill>
          </w14:textFill>
        </w:rPr>
        <w:t>中山大学附属第三医院根据《中华人民共和国政府采购法》及其配套的法规、规章、政策和医院管理要求</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以公开招标方式采购下列</w:t>
      </w:r>
      <w:r>
        <w:rPr>
          <w:rFonts w:hint="eastAsia"/>
          <w:color w:val="000000" w:themeColor="text1"/>
          <w:sz w:val="24"/>
          <w:highlight w:val="none"/>
          <w14:textFill>
            <w14:solidFill>
              <w14:schemeClr w14:val="tx1"/>
            </w14:solidFill>
          </w14:textFill>
        </w:rPr>
        <w:t>服务</w:t>
      </w:r>
      <w:r>
        <w:rPr>
          <w:color w:val="000000" w:themeColor="text1"/>
          <w:sz w:val="24"/>
          <w:highlight w:val="none"/>
          <w14:textFill>
            <w14:solidFill>
              <w14:schemeClr w14:val="tx1"/>
            </w14:solidFill>
          </w14:textFill>
        </w:rPr>
        <w:t>。欢迎符合资格条件的供应商投标。</w:t>
      </w:r>
    </w:p>
    <w:p>
      <w:pPr>
        <w:widowControl/>
        <w:tabs>
          <w:tab w:val="left" w:pos="3600"/>
          <w:tab w:val="clear" w:pos="540"/>
        </w:tabs>
        <w:ind w:firstLine="470" w:firstLineChars="196"/>
        <w:jc w:val="both"/>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一．项目概况</w:t>
      </w:r>
    </w:p>
    <w:p>
      <w:pPr>
        <w:widowControl/>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1．项目名称：</w:t>
      </w:r>
      <w:r>
        <w:rPr>
          <w:rFonts w:hint="eastAsia"/>
          <w:color w:val="000000" w:themeColor="text1"/>
          <w:sz w:val="24"/>
          <w:highlight w:val="none"/>
          <w14:textFill>
            <w14:solidFill>
              <w14:schemeClr w14:val="tx1"/>
            </w14:solidFill>
          </w14:textFill>
        </w:rPr>
        <w:t>中山大学附属第三医院超高分辨共聚焦扫描显微镜维保服务采购项目</w:t>
      </w:r>
    </w:p>
    <w:p>
      <w:pPr>
        <w:widowControl/>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2．项目编号：</w:t>
      </w:r>
      <w:r>
        <w:rPr>
          <w:rFonts w:hint="eastAsia"/>
          <w:color w:val="000000" w:themeColor="text1"/>
          <w:sz w:val="24"/>
          <w:highlight w:val="none"/>
          <w14:textFill>
            <w14:solidFill>
              <w14:schemeClr w14:val="tx1"/>
            </w14:solidFill>
          </w14:textFill>
        </w:rPr>
        <w:t>ZC2024010008</w:t>
      </w:r>
    </w:p>
    <w:p>
      <w:pPr>
        <w:widowControl/>
        <w:ind w:firstLine="480" w:firstLineChars="200"/>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3．项目预算及经费来源：</w:t>
      </w:r>
    </w:p>
    <w:p>
      <w:pPr>
        <w:widowControl/>
        <w:ind w:left="0" w:leftChars="0" w:firstLine="840" w:firstLineChars="350"/>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项目预算</w:t>
      </w:r>
      <w:r>
        <w:rPr>
          <w:rFonts w:hint="eastAsia"/>
          <w:color w:val="000000" w:themeColor="text1"/>
          <w:sz w:val="24"/>
          <w:highlight w:val="none"/>
          <w14:textFill>
            <w14:solidFill>
              <w14:schemeClr w14:val="tx1"/>
            </w14:solidFill>
          </w14:textFill>
        </w:rPr>
        <w:t>：152.3万元</w:t>
      </w:r>
      <w:r>
        <w:rPr>
          <w:color w:val="000000" w:themeColor="text1"/>
          <w:sz w:val="24"/>
          <w:highlight w:val="none"/>
          <w14:textFill>
            <w14:solidFill>
              <w14:schemeClr w14:val="tx1"/>
            </w14:solidFill>
          </w14:textFill>
        </w:rPr>
        <w:t>人民币。经费来源</w:t>
      </w:r>
      <w:r>
        <w:rPr>
          <w:rFonts w:hint="eastAsia"/>
          <w:color w:val="000000" w:themeColor="text1"/>
          <w:sz w:val="24"/>
          <w:highlight w:val="none"/>
          <w14:textFill>
            <w14:solidFill>
              <w14:schemeClr w14:val="tx1"/>
            </w14:solidFill>
          </w14:textFill>
        </w:rPr>
        <w:t>已落实</w:t>
      </w:r>
      <w:r>
        <w:rPr>
          <w:color w:val="000000" w:themeColor="text1"/>
          <w:sz w:val="24"/>
          <w:highlight w:val="none"/>
          <w14:textFill>
            <w14:solidFill>
              <w14:schemeClr w14:val="tx1"/>
            </w14:solidFill>
          </w14:textFill>
        </w:rPr>
        <w:t>。</w:t>
      </w:r>
    </w:p>
    <w:p>
      <w:pPr>
        <w:widowControl/>
        <w:ind w:firstLine="480" w:firstLineChars="200"/>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4．最高限价：</w:t>
      </w:r>
      <w:r>
        <w:rPr>
          <w:rFonts w:hint="eastAsia"/>
          <w:color w:val="000000" w:themeColor="text1"/>
          <w:sz w:val="24"/>
          <w:highlight w:val="none"/>
          <w14:textFill>
            <w14:solidFill>
              <w14:schemeClr w14:val="tx1"/>
            </w14:solidFill>
          </w14:textFill>
        </w:rPr>
        <w:t>152.2万</w:t>
      </w:r>
      <w:r>
        <w:rPr>
          <w:color w:val="000000" w:themeColor="text1"/>
          <w:sz w:val="24"/>
          <w:highlight w:val="none"/>
          <w14:textFill>
            <w14:solidFill>
              <w14:schemeClr w14:val="tx1"/>
            </w14:solidFill>
          </w14:textFill>
        </w:rPr>
        <w:t>元人民币。</w:t>
      </w:r>
    </w:p>
    <w:p>
      <w:pPr>
        <w:widowControl/>
        <w:ind w:firstLine="480" w:firstLineChars="200"/>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5．采购需求：</w:t>
      </w:r>
    </w:p>
    <w:p>
      <w:pPr>
        <w:widowControl/>
        <w:ind w:firstLine="480" w:firstLineChars="200"/>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（1）具体</w:t>
      </w:r>
      <w:r>
        <w:rPr>
          <w:rFonts w:hint="eastAsia"/>
          <w:color w:val="000000" w:themeColor="text1"/>
          <w:sz w:val="24"/>
          <w:highlight w:val="none"/>
          <w14:textFill>
            <w14:solidFill>
              <w14:schemeClr w14:val="tx1"/>
            </w14:solidFill>
          </w14:textFill>
        </w:rPr>
        <w:t>包组</w:t>
      </w:r>
      <w:r>
        <w:rPr>
          <w:color w:val="000000" w:themeColor="text1"/>
          <w:sz w:val="24"/>
          <w:highlight w:val="none"/>
          <w14:textFill>
            <w14:solidFill>
              <w14:schemeClr w14:val="tx1"/>
            </w14:solidFill>
          </w14:textFill>
        </w:rPr>
        <w:t>划分如下：</w:t>
      </w:r>
    </w:p>
    <w:tbl>
      <w:tblPr>
        <w:tblStyle w:val="39"/>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2453"/>
        <w:gridCol w:w="909"/>
        <w:gridCol w:w="1636"/>
        <w:gridCol w:w="1841"/>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36" w:type="pct"/>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包组</w:t>
            </w:r>
          </w:p>
        </w:tc>
        <w:tc>
          <w:tcPr>
            <w:tcW w:w="1279" w:type="pct"/>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采购内容</w:t>
            </w:r>
          </w:p>
        </w:tc>
        <w:tc>
          <w:tcPr>
            <w:tcW w:w="474"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服务期</w:t>
            </w:r>
          </w:p>
        </w:tc>
        <w:tc>
          <w:tcPr>
            <w:tcW w:w="853" w:type="pct"/>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预算金额</w:t>
            </w:r>
          </w:p>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（人民币）</w:t>
            </w:r>
          </w:p>
        </w:tc>
        <w:tc>
          <w:tcPr>
            <w:tcW w:w="960"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最高限价</w: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（人民币）</w:t>
            </w:r>
          </w:p>
        </w:tc>
        <w:tc>
          <w:tcPr>
            <w:tcW w:w="1096" w:type="pct"/>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服务标准要求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336"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w:t>
            </w:r>
          </w:p>
        </w:tc>
        <w:tc>
          <w:tcPr>
            <w:tcW w:w="1279"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超高分辨共聚焦扫描显微镜维保服务</w:t>
            </w:r>
          </w:p>
        </w:tc>
        <w:tc>
          <w:tcPr>
            <w:tcW w:w="474"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3年</w:t>
            </w:r>
          </w:p>
        </w:tc>
        <w:tc>
          <w:tcPr>
            <w:tcW w:w="853"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152.3万元</w:t>
            </w:r>
          </w:p>
        </w:tc>
        <w:tc>
          <w:tcPr>
            <w:tcW w:w="960"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152.2万元</w:t>
            </w:r>
          </w:p>
        </w:tc>
        <w:tc>
          <w:tcPr>
            <w:tcW w:w="1096" w:type="pct"/>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符合国家和招标文件相关要求，详见招标文件</w:t>
            </w:r>
          </w:p>
        </w:tc>
      </w:tr>
    </w:tbl>
    <w:p>
      <w:pPr>
        <w:widowControl/>
        <w:tabs>
          <w:tab w:val="left" w:pos="780"/>
        </w:tabs>
        <w:ind w:left="478" w:leftChars="228"/>
        <w:jc w:val="both"/>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注：1）投标人必须对项目内全部内容进行投标，不允许只对其中部分内容进行投标。</w:t>
      </w:r>
    </w:p>
    <w:p>
      <w:pPr>
        <w:widowControl/>
        <w:tabs>
          <w:tab w:val="left" w:pos="780"/>
        </w:tabs>
        <w:ind w:left="478" w:leftChars="228" w:firstLine="480" w:firstLineChars="200"/>
        <w:jc w:val="both"/>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2）投标人报价不得高于</w:t>
      </w:r>
      <w:r>
        <w:rPr>
          <w:rFonts w:hint="eastAsia"/>
          <w:bCs/>
          <w:color w:val="000000" w:themeColor="text1"/>
          <w:sz w:val="24"/>
          <w:highlight w:val="none"/>
          <w14:textFill>
            <w14:solidFill>
              <w14:schemeClr w14:val="tx1"/>
            </w14:solidFill>
          </w14:textFill>
        </w:rPr>
        <w:t>最高限价</w:t>
      </w:r>
      <w:r>
        <w:rPr>
          <w:bCs/>
          <w:color w:val="000000" w:themeColor="text1"/>
          <w:sz w:val="24"/>
          <w:highlight w:val="none"/>
          <w14:textFill>
            <w14:solidFill>
              <w14:schemeClr w14:val="tx1"/>
            </w14:solidFill>
          </w14:textFill>
        </w:rPr>
        <w:t>，否则将作无效投标处理。</w:t>
      </w:r>
    </w:p>
    <w:p>
      <w:pPr>
        <w:widowControl/>
        <w:tabs>
          <w:tab w:val="left" w:pos="780"/>
        </w:tabs>
        <w:ind w:left="478" w:leftChars="228" w:firstLine="480" w:firstLineChars="200"/>
        <w:jc w:val="both"/>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3）本项目不属于专门面向中小企业采购项目。本项目所属行业属于</w:t>
      </w:r>
      <w:r>
        <w:rPr>
          <w:rFonts w:hint="eastAsia"/>
          <w:bCs/>
          <w:color w:val="000000" w:themeColor="text1"/>
          <w:sz w:val="24"/>
          <w:highlight w:val="none"/>
          <w14:textFill>
            <w14:solidFill>
              <w14:schemeClr w14:val="tx1"/>
            </w14:solidFill>
          </w14:textFill>
        </w:rPr>
        <w:t>其他未列明行业</w:t>
      </w:r>
      <w:r>
        <w:rPr>
          <w:bCs/>
          <w:color w:val="000000" w:themeColor="text1"/>
          <w:sz w:val="24"/>
          <w:highlight w:val="none"/>
          <w14:textFill>
            <w14:solidFill>
              <w14:schemeClr w14:val="tx1"/>
            </w14:solidFill>
          </w14:textFill>
        </w:rPr>
        <w:t>。</w:t>
      </w:r>
    </w:p>
    <w:p>
      <w:pPr>
        <w:widowControl/>
        <w:tabs>
          <w:tab w:val="left" w:pos="780"/>
        </w:tabs>
        <w:ind w:left="478" w:leftChars="228" w:firstLine="480" w:firstLineChars="200"/>
        <w:jc w:val="both"/>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4</w:t>
      </w:r>
      <w:r>
        <w:rPr>
          <w:bCs/>
          <w:color w:val="000000" w:themeColor="text1"/>
          <w:sz w:val="24"/>
          <w:highlight w:val="none"/>
          <w14:textFill>
            <w14:solidFill>
              <w14:schemeClr w14:val="tx1"/>
            </w14:solidFill>
          </w14:textFill>
        </w:rPr>
        <w:t>）需要落实的政府采购政策：《政府采购促进中小企业发展管理办法》（财库〔2020〕46号）、《关于政府采购支持监狱企业发展有关问题的通知》(财库〔2014〕68号)、《关于促进残疾人就业政府采购政策的通知》（财库〔2017〕141号)、《关于调整优化节能产品、环境标志产品政府采购执行机制的通知》（财库〔2019〕9号）</w:t>
      </w:r>
      <w:r>
        <w:rPr>
          <w:rFonts w:hint="eastAsia"/>
          <w:bCs/>
          <w:color w:val="000000" w:themeColor="text1"/>
          <w:sz w:val="24"/>
          <w:highlight w:val="none"/>
          <w14:textFill>
            <w14:solidFill>
              <w14:schemeClr w14:val="tx1"/>
            </w14:solidFill>
          </w14:textFill>
        </w:rPr>
        <w:t>、《关于印发节能产品政府采购品目清单的通知》（财库〔2019〕19号）、《关于印发环境标志产品政府采购品目清单的通知》（财库〔2019〕18号）、《商品包装政府采购需求标准（试行）》及《快递包装政府采购需求标准（试行）》（财办库〔2020〕123号）</w:t>
      </w:r>
      <w:r>
        <w:rPr>
          <w:bCs/>
          <w:color w:val="000000" w:themeColor="text1"/>
          <w:sz w:val="24"/>
          <w:highlight w:val="none"/>
          <w14:textFill>
            <w14:solidFill>
              <w14:schemeClr w14:val="tx1"/>
            </w14:solidFill>
          </w14:textFill>
        </w:rPr>
        <w:t>等。</w:t>
      </w:r>
    </w:p>
    <w:p>
      <w:pPr>
        <w:widowControl/>
        <w:tabs>
          <w:tab w:val="left" w:pos="780"/>
        </w:tabs>
        <w:ind w:left="478" w:leftChars="228"/>
        <w:jc w:val="both"/>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（2）</w:t>
      </w:r>
      <w:r>
        <w:rPr>
          <w:rFonts w:hint="eastAsia"/>
          <w:bCs/>
          <w:color w:val="000000" w:themeColor="text1"/>
          <w:sz w:val="24"/>
          <w:highlight w:val="none"/>
          <w14:textFill>
            <w14:solidFill>
              <w14:schemeClr w14:val="tx1"/>
            </w14:solidFill>
          </w14:textFill>
        </w:rPr>
        <w:t>项目实施期限</w:t>
      </w:r>
      <w:r>
        <w:rPr>
          <w:bCs/>
          <w:color w:val="000000" w:themeColor="text1"/>
          <w:sz w:val="24"/>
          <w:highlight w:val="none"/>
          <w14:textFill>
            <w14:solidFill>
              <w14:schemeClr w14:val="tx1"/>
            </w14:solidFill>
          </w14:textFill>
        </w:rPr>
        <w:t>：合同签订后</w:t>
      </w:r>
      <w:r>
        <w:rPr>
          <w:rFonts w:hint="eastAsia"/>
          <w:bCs/>
          <w:color w:val="000000" w:themeColor="text1"/>
          <w:sz w:val="24"/>
          <w:highlight w:val="none"/>
          <w14:textFill>
            <w14:solidFill>
              <w14:schemeClr w14:val="tx1"/>
            </w14:solidFill>
          </w14:textFill>
        </w:rPr>
        <w:t>3年</w:t>
      </w:r>
      <w:r>
        <w:rPr>
          <w:bCs/>
          <w:color w:val="000000" w:themeColor="text1"/>
          <w:sz w:val="24"/>
          <w:highlight w:val="none"/>
          <w14:textFill>
            <w14:solidFill>
              <w14:schemeClr w14:val="tx1"/>
            </w14:solidFill>
          </w14:textFill>
        </w:rPr>
        <w:t>。</w:t>
      </w:r>
    </w:p>
    <w:p>
      <w:pPr>
        <w:widowControl/>
        <w:tabs>
          <w:tab w:val="left" w:pos="780"/>
        </w:tabs>
        <w:ind w:left="478" w:leftChars="228"/>
        <w:jc w:val="both"/>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（3）</w:t>
      </w:r>
      <w:r>
        <w:rPr>
          <w:rFonts w:hint="eastAsia"/>
          <w:bCs/>
          <w:color w:val="000000" w:themeColor="text1"/>
          <w:sz w:val="24"/>
          <w:highlight w:val="none"/>
          <w14:textFill>
            <w14:solidFill>
              <w14:schemeClr w14:val="tx1"/>
            </w14:solidFill>
          </w14:textFill>
        </w:rPr>
        <w:t>项目实施地点</w:t>
      </w:r>
      <w:r>
        <w:rPr>
          <w:bCs/>
          <w:color w:val="000000" w:themeColor="text1"/>
          <w:sz w:val="24"/>
          <w:highlight w:val="none"/>
          <w14:textFill>
            <w14:solidFill>
              <w14:schemeClr w14:val="tx1"/>
            </w14:solidFill>
          </w14:textFill>
        </w:rPr>
        <w:t>：中山大学附属第三医院（广州市天河区天河路600号）采购人指定地点</w:t>
      </w:r>
      <w:r>
        <w:rPr>
          <w:rFonts w:hint="eastAsia"/>
          <w:bCs/>
          <w:color w:val="000000" w:themeColor="text1"/>
          <w:sz w:val="24"/>
          <w:highlight w:val="none"/>
          <w14:textFill>
            <w14:solidFill>
              <w14:schemeClr w14:val="tx1"/>
            </w14:solidFill>
          </w14:textFill>
        </w:rPr>
        <w:t>（中山大学附属第三医院岭南医院）</w:t>
      </w:r>
      <w:r>
        <w:rPr>
          <w:bCs/>
          <w:color w:val="000000" w:themeColor="text1"/>
          <w:sz w:val="24"/>
          <w:highlight w:val="none"/>
          <w14:textFill>
            <w14:solidFill>
              <w14:schemeClr w14:val="tx1"/>
            </w14:solidFill>
          </w14:textFill>
        </w:rPr>
        <w:t>。</w:t>
      </w:r>
    </w:p>
    <w:p>
      <w:pPr>
        <w:widowControl/>
        <w:tabs>
          <w:tab w:val="left" w:pos="780"/>
        </w:tabs>
        <w:ind w:left="478" w:leftChars="228"/>
        <w:jc w:val="both"/>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6．合同履行期限：项目采购合同生效之日起至甲乙双方义务履行完毕。</w:t>
      </w:r>
    </w:p>
    <w:p>
      <w:pPr>
        <w:rPr>
          <w:color w:val="000000" w:themeColor="text1"/>
          <w:highlight w:val="none"/>
          <w14:textFill>
            <w14:solidFill>
              <w14:schemeClr w14:val="tx1"/>
            </w14:solidFill>
          </w14:textFill>
        </w:rPr>
      </w:pPr>
    </w:p>
    <w:p>
      <w:pPr>
        <w:widowControl/>
        <w:ind w:left="1918" w:leftChars="228" w:hanging="1440" w:hangingChars="600"/>
        <w:jc w:val="both"/>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二、投标人资格要求：</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1.投标人须符合《中华人民共和国政府采购法》第二十二条规定条件：</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（1）具有独立承担民事责任的能力；【提供有效的营业执照</w:t>
      </w:r>
      <w:r>
        <w:rPr>
          <w:rFonts w:hint="eastAsia"/>
          <w:color w:val="000000" w:themeColor="text1"/>
          <w:sz w:val="24"/>
          <w:highlight w:val="none"/>
          <w14:textFill>
            <w14:solidFill>
              <w14:schemeClr w14:val="tx1"/>
            </w14:solidFill>
          </w14:textFill>
        </w:rPr>
        <w:t>或事业单位法人证书、其他组织的营业执照或执业许可证、自然人身份证明</w:t>
      </w:r>
      <w:r>
        <w:rPr>
          <w:color w:val="000000" w:themeColor="text1"/>
          <w:sz w:val="24"/>
          <w:highlight w:val="none"/>
          <w14:textFill>
            <w14:solidFill>
              <w14:schemeClr w14:val="tx1"/>
            </w14:solidFill>
          </w14:textFill>
        </w:rPr>
        <w:t>等相关证明副本复印件，如投标人为自然人的需提供自然人身份证明</w:t>
      </w:r>
      <w:r>
        <w:rPr>
          <w:rFonts w:hint="eastAsia"/>
          <w:color w:val="000000" w:themeColor="text1"/>
          <w:sz w:val="24"/>
          <w:highlight w:val="none"/>
          <w14:textFill>
            <w14:solidFill>
              <w14:schemeClr w14:val="tx1"/>
            </w14:solidFill>
          </w14:textFill>
        </w:rPr>
        <w:t>；如投标人以非独立法人注册的分公司名义代表总公司盖章和签署文件参与本项目投标的，须提供总公司的营业执照副本扫描件及总公司针对本项目授权分公司投标的授权书</w:t>
      </w:r>
      <w:r>
        <w:rPr>
          <w:color w:val="000000" w:themeColor="text1"/>
          <w:sz w:val="24"/>
          <w:highlight w:val="none"/>
          <w14:textFill>
            <w14:solidFill>
              <w14:schemeClr w14:val="tx1"/>
            </w14:solidFill>
          </w14:textFill>
        </w:rPr>
        <w:t>】</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（2）具有良好的商业信誉和健全的财务会计制度；【</w:t>
      </w:r>
      <w:r>
        <w:rPr>
          <w:rFonts w:hint="eastAsia"/>
          <w:color w:val="000000" w:themeColor="text1"/>
          <w:sz w:val="24"/>
          <w:highlight w:val="none"/>
          <w14:textFill>
            <w14:solidFill>
              <w14:schemeClr w14:val="tx1"/>
            </w14:solidFill>
          </w14:textFill>
        </w:rPr>
        <w:t>以投标人在《投标人的资格声明》中的承诺为准</w:t>
      </w:r>
      <w:r>
        <w:rPr>
          <w:color w:val="000000" w:themeColor="text1"/>
          <w:sz w:val="24"/>
          <w:highlight w:val="none"/>
          <w14:textFill>
            <w14:solidFill>
              <w14:schemeClr w14:val="tx1"/>
            </w14:solidFill>
          </w14:textFill>
        </w:rPr>
        <w:t>】</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（3）具有履行合同所必需的设备和专业技术能力；【</w:t>
      </w:r>
      <w:r>
        <w:rPr>
          <w:rFonts w:hint="eastAsia"/>
          <w:color w:val="000000" w:themeColor="text1"/>
          <w:sz w:val="24"/>
          <w:highlight w:val="none"/>
          <w14:textFill>
            <w14:solidFill>
              <w14:schemeClr w14:val="tx1"/>
            </w14:solidFill>
          </w14:textFill>
        </w:rPr>
        <w:t>以投标人在《投标人的资格声明》中的承诺为准</w:t>
      </w:r>
      <w:r>
        <w:rPr>
          <w:color w:val="000000" w:themeColor="text1"/>
          <w:sz w:val="24"/>
          <w:highlight w:val="none"/>
          <w14:textFill>
            <w14:solidFill>
              <w14:schemeClr w14:val="tx1"/>
            </w14:solidFill>
          </w14:textFill>
        </w:rPr>
        <w:t>】</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（4）有依法缴纳税收和社会保障资金的良好记录；【</w:t>
      </w:r>
      <w:r>
        <w:rPr>
          <w:rFonts w:hint="eastAsia"/>
          <w:color w:val="000000" w:themeColor="text1"/>
          <w:sz w:val="24"/>
          <w:highlight w:val="none"/>
          <w14:textFill>
            <w14:solidFill>
              <w14:schemeClr w14:val="tx1"/>
            </w14:solidFill>
          </w14:textFill>
        </w:rPr>
        <w:t>以投标人在《投标人的资格声明》中的承诺为准</w:t>
      </w:r>
      <w:r>
        <w:rPr>
          <w:color w:val="000000" w:themeColor="text1"/>
          <w:sz w:val="24"/>
          <w:highlight w:val="none"/>
          <w14:textFill>
            <w14:solidFill>
              <w14:schemeClr w14:val="tx1"/>
            </w14:solidFill>
          </w14:textFill>
        </w:rPr>
        <w:t>】</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提供参加政府采购活动前3年内在经营活动中没有重大违法记录的书面声明【重大违法记录，是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以投标人在《投标人的资格声明》中的承诺为准】</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（6）法律、行政法规规定的其他条件。</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投标人未被列入“信用中国”网站（www.creditchina.gov.cn）“失信被执行人”、“重大税收违法</w:t>
      </w:r>
      <w:r>
        <w:rPr>
          <w:rFonts w:hint="eastAsia"/>
          <w:color w:val="000000" w:themeColor="text1"/>
          <w:sz w:val="24"/>
          <w:highlight w:val="none"/>
          <w14:textFill>
            <w14:solidFill>
              <w14:schemeClr w14:val="tx1"/>
            </w14:solidFill>
          </w14:textFill>
        </w:rPr>
        <w:t>失信主体</w:t>
      </w:r>
      <w:r>
        <w:rPr>
          <w:color w:val="000000" w:themeColor="text1"/>
          <w:sz w:val="24"/>
          <w:highlight w:val="none"/>
          <w14:textFill>
            <w14:solidFill>
              <w14:schemeClr w14:val="tx1"/>
            </w14:solidFill>
          </w14:textFill>
        </w:rPr>
        <w:t>”、“政府采购严重违法失信名单”；不处于中国政府采购网（www.ccgp.gov.cn）“政府采购严重违法失信行为信息记录”中的禁止参加政府采购活动期间；【以代理机构于评标当天在“信用中国”网站（www.creditchina.gov.cn）及中国政府采购网(www.ccgp.gov.cn)查询结果为准，同时对信用信息查询记录进行存档。如相关失信记录已失效或查询不到，则必须出具其信用良好的承诺书原件扫描件】</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不同的投标人之间有下列情形之一的，不接受作为参与同一采购项目竞争的投标人：</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（1）法定代表人或单位负责人为同一人或者存在直接控股、管理关系的投标人。【</w:t>
      </w:r>
      <w:r>
        <w:rPr>
          <w:rFonts w:hint="eastAsia"/>
          <w:color w:val="000000" w:themeColor="text1"/>
          <w:sz w:val="24"/>
          <w:highlight w:val="none"/>
          <w14:textFill>
            <w14:solidFill>
              <w14:schemeClr w14:val="tx1"/>
            </w14:solidFill>
          </w14:textFill>
        </w:rPr>
        <w:t>以投标人在《投标人声明函》中的承诺为准</w:t>
      </w:r>
      <w:r>
        <w:rPr>
          <w:color w:val="000000" w:themeColor="text1"/>
          <w:sz w:val="24"/>
          <w:highlight w:val="none"/>
          <w:lang w:val="zh-CN"/>
          <w14:textFill>
            <w14:solidFill>
              <w14:schemeClr w14:val="tx1"/>
            </w14:solidFill>
          </w14:textFill>
        </w:rPr>
        <w:t>】</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（2）为采购项目提供整体设计、规范编制或者项目管理、监理、检测等服务的投标人。</w:t>
      </w:r>
      <w:r>
        <w:rPr>
          <w:color w:val="000000" w:themeColor="text1"/>
          <w:sz w:val="24"/>
          <w:highlight w:val="none"/>
          <w:lang w:val="zh-CN"/>
          <w14:textFill>
            <w14:solidFill>
              <w14:schemeClr w14:val="tx1"/>
            </w14:solidFill>
          </w14:textFill>
        </w:rPr>
        <w:t>【</w:t>
      </w:r>
      <w:r>
        <w:rPr>
          <w:rFonts w:hint="eastAsia"/>
          <w:color w:val="000000" w:themeColor="text1"/>
          <w:sz w:val="24"/>
          <w:highlight w:val="none"/>
          <w14:textFill>
            <w14:solidFill>
              <w14:schemeClr w14:val="tx1"/>
            </w14:solidFill>
          </w14:textFill>
        </w:rPr>
        <w:t>以投标人在《投标人声明函》中的承诺为准</w:t>
      </w:r>
      <w:r>
        <w:rPr>
          <w:color w:val="000000" w:themeColor="text1"/>
          <w:sz w:val="24"/>
          <w:highlight w:val="none"/>
          <w:lang w:val="zh-CN"/>
          <w14:textFill>
            <w14:solidFill>
              <w14:schemeClr w14:val="tx1"/>
            </w14:solidFill>
          </w14:textFill>
        </w:rPr>
        <w:t>】</w:t>
      </w:r>
    </w:p>
    <w:p>
      <w:pPr>
        <w:widowControl/>
        <w:ind w:firstLine="470" w:firstLineChars="196"/>
        <w:jc w:val="both"/>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本项目不允许联合体投标。不接受中标备选方案。</w:t>
      </w:r>
    </w:p>
    <w:p>
      <w:pPr>
        <w:widowControl/>
        <w:ind w:firstLine="470" w:firstLineChars="196"/>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5. </w:t>
      </w:r>
      <w:r>
        <w:rPr>
          <w:color w:val="000000" w:themeColor="text1"/>
          <w:sz w:val="24"/>
          <w:highlight w:val="none"/>
          <w14:textFill>
            <w14:solidFill>
              <w14:schemeClr w14:val="tx1"/>
            </w14:solidFill>
          </w14:textFill>
        </w:rPr>
        <w:t>投标人已登记报名并</w:t>
      </w:r>
      <w:r>
        <w:rPr>
          <w:rFonts w:hint="eastAsia"/>
          <w:color w:val="000000" w:themeColor="text1"/>
          <w:sz w:val="24"/>
          <w:highlight w:val="none"/>
          <w14:textFill>
            <w14:solidFill>
              <w14:schemeClr w14:val="tx1"/>
            </w14:solidFill>
          </w14:textFill>
        </w:rPr>
        <w:t>按以下方式合法</w:t>
      </w:r>
      <w:r>
        <w:rPr>
          <w:color w:val="000000" w:themeColor="text1"/>
          <w:sz w:val="24"/>
          <w:highlight w:val="none"/>
          <w14:textFill>
            <w14:solidFill>
              <w14:schemeClr w14:val="tx1"/>
            </w14:solidFill>
          </w14:textFill>
        </w:rPr>
        <w:t>获取本项目招标文件。</w:t>
      </w:r>
    </w:p>
    <w:p>
      <w:pPr>
        <w:widowControl/>
        <w:ind w:left="1918" w:leftChars="228" w:hanging="1440" w:hangingChars="600"/>
        <w:jc w:val="both"/>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三、报名及招标文件的获取</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1.时间：2024年</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26</w:t>
      </w:r>
      <w:r>
        <w:rPr>
          <w:rFonts w:hint="eastAsia"/>
          <w:color w:val="000000" w:themeColor="text1"/>
          <w:sz w:val="24"/>
          <w:highlight w:val="none"/>
          <w14:textFill>
            <w14:solidFill>
              <w14:schemeClr w14:val="tx1"/>
            </w14:solidFill>
          </w14:textFill>
        </w:rPr>
        <w:t>日至2024年</w:t>
      </w:r>
      <w:r>
        <w:rPr>
          <w:rFonts w:hint="eastAsia"/>
          <w:color w:val="000000" w:themeColor="text1"/>
          <w:sz w:val="24"/>
          <w:highlight w:val="none"/>
          <w:lang w:val="en-US" w:eastAsia="zh-CN"/>
          <w14:textFill>
            <w14:solidFill>
              <w14:schemeClr w14:val="tx1"/>
            </w14:solidFill>
          </w14:textFill>
        </w:rPr>
        <w:t>4</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1</w:t>
      </w:r>
      <w:r>
        <w:rPr>
          <w:rFonts w:hint="eastAsia"/>
          <w:color w:val="000000" w:themeColor="text1"/>
          <w:sz w:val="24"/>
          <w:highlight w:val="none"/>
          <w14:textFill>
            <w14:solidFill>
              <w14:schemeClr w14:val="tx1"/>
            </w14:solidFill>
          </w14:textFill>
        </w:rPr>
        <w:t>日（招标文件的发售期限自开始之日起不得少于5个工作日），每天上午09:00至12:00，下午14:30至17:30（北京时间，法定节假日除外）</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2.地点：广东华伦招标有限公司网站“广东华伦内控管理系统供应商在线服务”（https://www.gdhualun.com.cn/）</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方式：网上获取方式（只接受网上支付）。广东华伦招标有限公司网站（https://www.gdhualun.com.cn/）；供应商可在上述日期内登录我公司网站“广东华伦内控管理系统供应商在线服务”（https://www.gdhualun.com.cn/）购买采购文件。平台操作相关问题请查询网站“通知公告”栏目（https://www.gdhualun.com.cn/announce/）中《供应商操作指南》（或咨询我公司020-83172166转206）。本公司只接受通过以上方式正式获取招标文件的供应商参加投标。</w:t>
      </w:r>
    </w:p>
    <w:p>
      <w:pPr>
        <w:widowControl/>
        <w:ind w:firstLine="480" w:firstLineChars="200"/>
        <w:jc w:val="both"/>
        <w:rPr>
          <w:color w:val="000000" w:themeColor="text1"/>
          <w:highlight w:val="none"/>
          <w:shd w:val="clear" w:color="auto" w:fill="FFFFFF"/>
          <w14:textFill>
            <w14:solidFill>
              <w14:schemeClr w14:val="tx1"/>
            </w14:solidFill>
          </w14:textFill>
        </w:rPr>
      </w:pPr>
      <w:r>
        <w:rPr>
          <w:rFonts w:hint="eastAsia"/>
          <w:color w:val="000000" w:themeColor="text1"/>
          <w:sz w:val="24"/>
          <w:highlight w:val="none"/>
          <w14:textFill>
            <w14:solidFill>
              <w14:schemeClr w14:val="tx1"/>
            </w14:solidFill>
          </w14:textFill>
        </w:rPr>
        <w:t xml:space="preserve">4.供应商如认为本采购文件、采购过程和中标、成交结果使自己的权益受到损害的，可以在知道或者应知其权益受到损害之日起7个工作日内，以书面形式向采购代理机构提出质疑。 </w:t>
      </w:r>
      <w:r>
        <w:rPr>
          <w:color w:val="000000" w:themeColor="text1"/>
          <w:highlight w:val="none"/>
          <w14:textFill>
            <w14:solidFill>
              <w14:schemeClr w14:val="tx1"/>
            </w14:solidFill>
          </w14:textFill>
        </w:rPr>
        <w:t xml:space="preserve"> </w:t>
      </w:r>
    </w:p>
    <w:p>
      <w:pPr>
        <w:widowControl/>
        <w:ind w:left="1918" w:leftChars="228" w:hanging="1440" w:hangingChars="600"/>
        <w:jc w:val="both"/>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四、投标文件的递交</w:t>
      </w:r>
    </w:p>
    <w:p>
      <w:pPr>
        <w:widowControl/>
        <w:ind w:firstLine="495"/>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1.截止时间：2024年</w:t>
      </w:r>
      <w:r>
        <w:rPr>
          <w:rFonts w:hint="eastAsia"/>
          <w:color w:val="000000" w:themeColor="text1"/>
          <w:sz w:val="24"/>
          <w:highlight w:val="none"/>
          <w:lang w:val="en-US" w:eastAsia="zh-CN"/>
          <w14:textFill>
            <w14:solidFill>
              <w14:schemeClr w14:val="tx1"/>
            </w14:solidFill>
          </w14:textFill>
        </w:rPr>
        <w:t>4</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16</w:t>
      </w:r>
      <w:r>
        <w:rPr>
          <w:rFonts w:hint="eastAsia"/>
          <w:color w:val="000000" w:themeColor="text1"/>
          <w:sz w:val="24"/>
          <w:highlight w:val="none"/>
          <w14:textFill>
            <w14:solidFill>
              <w14:schemeClr w14:val="tx1"/>
            </w14:solidFill>
          </w14:textFill>
        </w:rPr>
        <w:t>日</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点</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0分（北京时间）（截止时间前30分钟开始受理投标文件）</w:t>
      </w:r>
    </w:p>
    <w:p>
      <w:pPr>
        <w:widowControl/>
        <w:ind w:firstLine="495"/>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2.地点：广州市越秀区广仁路1号广仁大厦6楼（广东华伦招标有限公司开标室）</w:t>
      </w:r>
    </w:p>
    <w:p>
      <w:pPr>
        <w:widowControl/>
        <w:ind w:firstLine="495"/>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详见招标公告及其变更公告（如有）。</w:t>
      </w:r>
    </w:p>
    <w:p>
      <w:pPr>
        <w:widowControl/>
        <w:ind w:firstLine="495"/>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3.逾期送达的或者未送达指定地点的投标文件，招标人不予受理。</w:t>
      </w:r>
    </w:p>
    <w:p>
      <w:pPr>
        <w:widowControl/>
        <w:ind w:left="1918" w:leftChars="228" w:hanging="1440" w:hangingChars="600"/>
        <w:jc w:val="both"/>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五、公告期限</w:t>
      </w:r>
    </w:p>
    <w:p>
      <w:pPr>
        <w:widowControl/>
        <w:ind w:firstLine="495"/>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招标公告期限为5个工作日。</w:t>
      </w:r>
    </w:p>
    <w:p>
      <w:pPr>
        <w:widowControl/>
        <w:ind w:left="1918" w:leftChars="228" w:hanging="1440" w:hangingChars="600"/>
        <w:jc w:val="both"/>
        <w:rPr>
          <w:b/>
          <w:bCs/>
          <w:color w:val="000000" w:themeColor="text1"/>
          <w:sz w:val="24"/>
          <w:highlight w:val="none"/>
          <w14:textFill>
            <w14:solidFill>
              <w14:schemeClr w14:val="tx1"/>
            </w14:solidFill>
          </w14:textFill>
        </w:rPr>
      </w:pPr>
    </w:p>
    <w:p>
      <w:pPr>
        <w:widowControl/>
        <w:ind w:left="1918" w:leftChars="228" w:hanging="1440" w:hangingChars="600"/>
        <w:jc w:val="both"/>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六、对本次招标提出询问，请按以下方式联系。</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采购人：中山大学附属第三医院</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地址：广州市天河区天河路600号</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联系人：崔老师</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联系电话：020-85253453</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采购代理机构：广东华伦招标有限公司</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联系地址：广州市广仁路1号广仁大厦7楼</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联系人：黄小姐、陈工、罗工</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联系电话：020-83172166-863（834）</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邮箱：hlzb03@163.com</w:t>
      </w:r>
    </w:p>
    <w:p>
      <w:pPr>
        <w:widowControl/>
        <w:ind w:firstLine="495"/>
        <w:jc w:val="both"/>
        <w:rPr>
          <w:color w:val="000000" w:themeColor="text1"/>
          <w:sz w:val="24"/>
          <w:highlight w:val="none"/>
          <w14:textFill>
            <w14:solidFill>
              <w14:schemeClr w14:val="tx1"/>
            </w14:solidFill>
          </w14:textFill>
        </w:rPr>
      </w:pPr>
    </w:p>
    <w:p>
      <w:pPr>
        <w:widowControl/>
        <w:ind w:left="1918" w:leftChars="228" w:hanging="1440" w:hangingChars="600"/>
        <w:jc w:val="both"/>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七、标书款及投标保证金</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（一）标书售价： 300 元。</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（二）投标保证金：具体见招标文件第三部分投标人须知</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我公司可提供纸质招标文件和购买招标文件的电子发票。有需要的供应商成功获取网上招标文件后，可在规定的获取招标文件时间段内到我公司现场（广州市广仁路1号广仁大厦7楼）领取纸质招标文件。购买招标文件的电子发票将以短信方式发送到供应商在我公司平台的预留手机号码。联系人：华伦前台，联系电话：020-83172166转0。招标文件一经售出，概不退还。</w:t>
      </w:r>
      <w:bookmarkStart w:id="135" w:name="_GoBack"/>
      <w:bookmarkEnd w:id="135"/>
      <w:r>
        <w:rPr>
          <w:rFonts w:hint="eastAsia"/>
          <w:color w:val="000000" w:themeColor="text1"/>
          <w:sz w:val="24"/>
          <w:highlight w:val="none"/>
          <w14:textFill>
            <w14:solidFill>
              <w14:schemeClr w14:val="tx1"/>
            </w14:solidFill>
          </w14:textFill>
        </w:rPr>
        <w:t xml:space="preserve">  </w:t>
      </w:r>
    </w:p>
    <w:p>
      <w:pPr>
        <w:widowControl/>
        <w:ind w:left="1918" w:leftChars="228" w:hanging="1440" w:hangingChars="600"/>
        <w:jc w:val="both"/>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八、发布公告的媒介</w:t>
      </w:r>
    </w:p>
    <w:p>
      <w:pPr>
        <w:widowControl/>
        <w:ind w:firstLine="480" w:firstLineChars="200"/>
        <w:jc w:val="both"/>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项目的发布、修改、澄清和补充通知将在中山大学附属第三医院官网（https://www.zssy.com.cn/）、中国政府采购网（http://www.ccgp.gov.cn）及广东华伦招标有限公司（https://www.gdhualun.com.cn）发布，敬请各投标人留意，采购人不再另行通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spacing w:before="312" w:beforeLines="100" w:after="156" w:afterLines="50" w:line="280" w:lineRule="exact"/>
        <w:ind w:left="2398" w:leftChars="228" w:hanging="1920" w:hangingChars="600"/>
        <w:jc w:val="center"/>
        <w:rPr>
          <w:b/>
          <w:color w:val="000000" w:themeColor="text1"/>
          <w:sz w:val="32"/>
          <w:szCs w:val="32"/>
          <w:highlight w:val="none"/>
          <w14:textFill>
            <w14:solidFill>
              <w14:schemeClr w14:val="tx1"/>
            </w14:solidFill>
          </w14:textFill>
        </w:rPr>
      </w:pPr>
      <w:r>
        <w:rPr>
          <w:b/>
          <w:color w:val="000000" w:themeColor="text1"/>
          <w:sz w:val="32"/>
          <w:szCs w:val="32"/>
          <w:highlight w:val="none"/>
          <w14:textFill>
            <w14:solidFill>
              <w14:schemeClr w14:val="tx1"/>
            </w14:solidFill>
          </w14:textFill>
        </w:rPr>
        <w:t>特别提示：</w:t>
      </w:r>
    </w:p>
    <w:p>
      <w:pPr>
        <w:rPr>
          <w:color w:val="000000" w:themeColor="text1"/>
          <w:highlight w:val="none"/>
          <w14:textFill>
            <w14:solidFill>
              <w14:schemeClr w14:val="tx1"/>
            </w14:solidFill>
          </w14:textFill>
        </w:rPr>
      </w:pP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投标人须对其所提供资料的真实性负责，如有作假，一经发现立即取消投标资格。投标人在本项目中存在下列行为的，将被视为失信行为列入供应商评价记录，情节严重者将可能导致在网上进行实名通报：</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1.从开标之日起到投标有效期满前，投标人撤回</w:t>
      </w:r>
      <w:r>
        <w:rPr>
          <w:rFonts w:hint="eastAsia"/>
          <w:color w:val="000000" w:themeColor="text1"/>
          <w:sz w:val="24"/>
          <w:highlight w:val="none"/>
          <w14:textFill>
            <w14:solidFill>
              <w14:schemeClr w14:val="tx1"/>
            </w14:solidFill>
          </w14:textFill>
        </w:rPr>
        <w:t>或撤销</w:t>
      </w:r>
      <w:r>
        <w:rPr>
          <w:color w:val="000000" w:themeColor="text1"/>
          <w:sz w:val="24"/>
          <w:highlight w:val="none"/>
          <w14:textFill>
            <w14:solidFill>
              <w14:schemeClr w14:val="tx1"/>
            </w14:solidFill>
          </w14:textFill>
        </w:rPr>
        <w:t>投标；</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2.中标后无正当理由放弃中标或不与采购人签订合同的；</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3.中标人未能按招标文件的要求在规定期限内提交履约保证金（如需）；</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4.投标人在采购或合同签订过程中存在欺诈行为（包括但不限于拖延签订、提供虚假证明材料、不按采购人要求做履约准备）；</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5.将中标项目转让给他人，或者在投标文件中未说明，且未经采购人同意，违反招标文件规定，将中标项目分包给他人的。</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6.投标人放弃投标，未在开标时间（投标截止时间）提前至少3天以书面形式告知采购人或者代理机构的；</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7.投标人存在串通投标、围标的情况；</w:t>
      </w:r>
    </w:p>
    <w:p>
      <w:pPr>
        <w:widowControl/>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8.法律、法规或本招标（采购）文件规定的其他情形。</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spacing w:line="360" w:lineRule="auto"/>
        <w:ind w:left="1918" w:leftChars="228" w:hanging="1440" w:hangingChars="600"/>
        <w:jc w:val="righ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广东华伦招标有限公司</w:t>
      </w:r>
    </w:p>
    <w:p>
      <w:pPr>
        <w:widowControl/>
        <w:spacing w:line="360" w:lineRule="auto"/>
        <w:ind w:left="1918" w:leftChars="228" w:hanging="1440" w:hangingChars="600"/>
        <w:jc w:val="righ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中山大学附属第三医院招标采购中心</w:t>
      </w:r>
    </w:p>
    <w:p>
      <w:pPr>
        <w:widowControl/>
        <w:spacing w:line="360" w:lineRule="auto"/>
        <w:ind w:left="1918" w:leftChars="228" w:hanging="1440" w:hangingChars="600"/>
        <w:jc w:val="right"/>
        <w:rPr>
          <w:color w:val="000000" w:themeColor="text1"/>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2024年</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25</w:t>
      </w:r>
      <w:r>
        <w:rPr>
          <w:rFonts w:hint="eastAsia"/>
          <w:color w:val="000000" w:themeColor="text1"/>
          <w:sz w:val="24"/>
          <w:highlight w:val="none"/>
          <w14:textFill>
            <w14:solidFill>
              <w14:schemeClr w14:val="tx1"/>
            </w14:solidFill>
          </w14:textFill>
        </w:rPr>
        <w:t>日</w:t>
      </w:r>
    </w:p>
    <w:p>
      <w:pPr>
        <w:rPr>
          <w:color w:val="000000" w:themeColor="text1"/>
          <w:sz w:val="84"/>
          <w:szCs w:val="84"/>
          <w:highlight w:val="none"/>
          <w14:textFill>
            <w14:solidFill>
              <w14:schemeClr w14:val="tx1"/>
            </w14:solidFill>
          </w14:textFill>
        </w:rPr>
      </w:pPr>
      <w:r>
        <w:rPr>
          <w:color w:val="000000" w:themeColor="text1"/>
          <w:highlight w:val="none"/>
          <w14:textFill>
            <w14:solidFill>
              <w14:schemeClr w14:val="tx1"/>
            </w14:solidFill>
          </w14:textFill>
        </w:rPr>
        <w:br w:type="page"/>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jc w:val="center"/>
        <w:rPr>
          <w:color w:val="000000" w:themeColor="text1"/>
          <w:sz w:val="52"/>
          <w:szCs w:val="52"/>
          <w:highlight w:val="none"/>
          <w14:textFill>
            <w14:solidFill>
              <w14:schemeClr w14:val="tx1"/>
            </w14:solidFill>
          </w14:textFill>
        </w:rPr>
      </w:pPr>
      <w:bookmarkStart w:id="4" w:name="_Toc102987381"/>
      <w:bookmarkStart w:id="5" w:name="_Toc102987719"/>
      <w:bookmarkStart w:id="6" w:name="_Toc102987754"/>
      <w:r>
        <w:rPr>
          <w:color w:val="000000" w:themeColor="text1"/>
          <w:sz w:val="52"/>
          <w:szCs w:val="52"/>
          <w:highlight w:val="none"/>
          <w14:textFill>
            <w14:solidFill>
              <w14:schemeClr w14:val="tx1"/>
            </w14:solidFill>
          </w14:textFill>
        </w:rPr>
        <w:t>第二部分 用户需求书</w:t>
      </w:r>
      <w:bookmarkEnd w:id="4"/>
      <w:bookmarkEnd w:id="5"/>
      <w:bookmarkEnd w:id="6"/>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br w:type="page"/>
      </w:r>
      <w:r>
        <w:rPr>
          <w:b/>
          <w:color w:val="000000" w:themeColor="text1"/>
          <w:sz w:val="32"/>
          <w:szCs w:val="32"/>
          <w:highlight w:val="none"/>
          <w14:textFill>
            <w14:solidFill>
              <w14:schemeClr w14:val="tx1"/>
            </w14:solidFill>
          </w14:textFill>
        </w:rPr>
        <w:t>第二部分 用户需求书</w:t>
      </w:r>
    </w:p>
    <w:p>
      <w:pPr>
        <w:autoSpaceDE w:val="0"/>
        <w:autoSpaceDN w:val="0"/>
        <w:adjustRightInd w:val="0"/>
        <w:ind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1.以下需求仅作为技术/服务的客观描述，无限制性或指向性。</w:t>
      </w:r>
    </w:p>
    <w:p>
      <w:pPr>
        <w:autoSpaceDE w:val="0"/>
        <w:autoSpaceDN w:val="0"/>
        <w:adjustRightInd w:val="0"/>
        <w:ind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2.以下有关政策、标准、规范等，如有更新的，以最新现行版本为准。</w:t>
      </w:r>
    </w:p>
    <w:p>
      <w:pPr>
        <w:autoSpaceDE w:val="0"/>
        <w:autoSpaceDN w:val="0"/>
        <w:adjustRightInd w:val="0"/>
        <w:ind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3.除另有说明外，以下需求所述的“大于”“小于”“以上”“以下”等描述或符号均包含本数。</w:t>
      </w:r>
    </w:p>
    <w:p>
      <w:pPr>
        <w:autoSpaceDE w:val="0"/>
        <w:autoSpaceDN w:val="0"/>
        <w:adjustRightInd w:val="0"/>
        <w:ind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除另有说明外，以下需求所述区间范围的是指：响应数值在该区间范围内，或响应区间能涵盖该范围的，均为符合要求；响应数值不在该范围内，或响应区间不能涵盖该范围的，均为负偏离。所述固定数值的可以完整、明确地描述采购标的需实现的功能或者目标、满足的质量、安全、技术规格、物理特性等技术要求，是指：响应数值满足或优于该固定数值的，均为符合要求；响应数值劣于该固定数值的，均为负偏离。</w:t>
      </w:r>
    </w:p>
    <w:p>
      <w:pPr>
        <w:autoSpaceDE w:val="0"/>
        <w:autoSpaceDN w:val="0"/>
        <w:adjustRightInd w:val="0"/>
        <w:ind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5.以下有关配置的要求仅列出主要设备/部件需求，投标人必须确保设备及所有部件的完整性和可靠性，对于招标文件没有列出，而对该设备满足采购需求、正常运行和维护必不可少的部件、配件等，投标人有责任给予补充，且均已包含在总价内。</w:t>
      </w:r>
    </w:p>
    <w:p>
      <w:pPr>
        <w:autoSpaceDE w:val="0"/>
        <w:autoSpaceDN w:val="0"/>
        <w:adjustRightInd w:val="0"/>
        <w:ind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6.用户需求书中标注有“★”号的条款必须实质性响应，负偏离（不满足要求）将导致投标无效；标有“▲”的为重要指标，负偏离（不满足要求）将在评审评分中按照评分细则进行扣分，但不会导致投标无效。</w:t>
      </w:r>
    </w:p>
    <w:p>
      <w:pPr>
        <w:widowControl/>
        <w:spacing w:after="156" w:afterLines="50"/>
        <w:ind w:left="1918" w:leftChars="228" w:hanging="1440" w:hangingChars="600"/>
        <w:rPr>
          <w:color w:val="000000" w:themeColor="text1"/>
          <w:sz w:val="24"/>
          <w:szCs w:val="24"/>
          <w:highlight w:val="none"/>
          <w14:textFill>
            <w14:solidFill>
              <w14:schemeClr w14:val="tx1"/>
            </w14:solidFill>
          </w14:textFill>
        </w:rPr>
      </w:pPr>
    </w:p>
    <w:p>
      <w:pPr>
        <w:widowControl/>
        <w:spacing w:after="156" w:afterLines="50"/>
        <w:ind w:left="1918" w:leftChars="228" w:hanging="1440" w:hangingChars="6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一、采购项目基本情况</w:t>
      </w:r>
    </w:p>
    <w:p>
      <w:pPr>
        <w:autoSpaceDE w:val="0"/>
        <w:autoSpaceDN w:val="0"/>
        <w:adjustRightInd w:val="0"/>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（一）项目名称：中山大学附属第三医院超高分辨共聚焦扫描显微镜维保服务采购项目</w:t>
      </w:r>
    </w:p>
    <w:p>
      <w:pPr>
        <w:autoSpaceDE w:val="0"/>
        <w:autoSpaceDN w:val="0"/>
        <w:adjustRightInd w:val="0"/>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（二）项目采购背景及目的：以确保超高分辨共聚焦扫描显微镜能够正常使用。</w:t>
      </w:r>
    </w:p>
    <w:tbl>
      <w:tblPr>
        <w:tblStyle w:val="40"/>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704"/>
        <w:gridCol w:w="1566"/>
        <w:gridCol w:w="1463"/>
        <w:gridCol w:w="2051"/>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1704"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维保设备名称</w:t>
            </w:r>
          </w:p>
        </w:tc>
        <w:tc>
          <w:tcPr>
            <w:tcW w:w="1566"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品牌型号</w:t>
            </w:r>
          </w:p>
        </w:tc>
        <w:tc>
          <w:tcPr>
            <w:tcW w:w="1463"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采购日期</w: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（年月）</w:t>
            </w:r>
          </w:p>
        </w:tc>
        <w:tc>
          <w:tcPr>
            <w:tcW w:w="2051"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维保设备采购金额（万元）</w:t>
            </w:r>
          </w:p>
        </w:tc>
        <w:tc>
          <w:tcPr>
            <w:tcW w:w="1957"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是否购买过维修服务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704"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超高分辨共聚焦扫描显微镜维保</w:t>
            </w:r>
          </w:p>
        </w:tc>
        <w:tc>
          <w:tcPr>
            <w:tcW w:w="1566"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LSM880</w:t>
            </w:r>
          </w:p>
        </w:tc>
        <w:tc>
          <w:tcPr>
            <w:tcW w:w="1463"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2019年5月</w:t>
            </w:r>
          </w:p>
        </w:tc>
        <w:tc>
          <w:tcPr>
            <w:tcW w:w="2051"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432.1</w:t>
            </w:r>
          </w:p>
        </w:tc>
        <w:tc>
          <w:tcPr>
            <w:tcW w:w="1957" w:type="dxa"/>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无</w:t>
            </w:r>
          </w:p>
        </w:tc>
      </w:tr>
    </w:tbl>
    <w:p>
      <w:pPr>
        <w:autoSpaceDE w:val="0"/>
        <w:autoSpaceDN w:val="0"/>
        <w:adjustRightInd w:val="0"/>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（三）项目预算：预算金额：3年共152.3万元；总价限价：3年共152.2万元。</w:t>
      </w:r>
    </w:p>
    <w:p>
      <w:pPr>
        <w:autoSpaceDE w:val="0"/>
        <w:autoSpaceDN w:val="0"/>
        <w:adjustRightInd w:val="0"/>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（四）经费来源：已落实。</w:t>
      </w:r>
    </w:p>
    <w:p>
      <w:pPr>
        <w:rPr>
          <w:color w:val="000000" w:themeColor="text1"/>
          <w:highlight w:val="none"/>
          <w14:textFill>
            <w14:solidFill>
              <w14:schemeClr w14:val="tx1"/>
            </w14:solidFill>
          </w14:textFill>
        </w:rPr>
      </w:pPr>
    </w:p>
    <w:p>
      <w:pPr>
        <w:widowControl/>
        <w:spacing w:after="156" w:afterLines="50"/>
        <w:ind w:left="1918" w:leftChars="228" w:hanging="1440" w:hangingChars="6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二、采购项目需求</w:t>
      </w:r>
    </w:p>
    <w:p>
      <w:pPr>
        <w:widowControl/>
        <w:spacing w:after="156" w:afterLines="50"/>
        <w:ind w:left="1918" w:leftChars="228" w:hanging="1440" w:hangingChars="600"/>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（一）采购标的：</w:t>
      </w:r>
    </w:p>
    <w:tbl>
      <w:tblPr>
        <w:tblStyle w:val="39"/>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441"/>
        <w:gridCol w:w="1191"/>
        <w:gridCol w:w="2553"/>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76"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包组</w:t>
            </w:r>
          </w:p>
        </w:tc>
        <w:tc>
          <w:tcPr>
            <w:tcW w:w="1273"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采购内容</w:t>
            </w:r>
          </w:p>
        </w:tc>
        <w:tc>
          <w:tcPr>
            <w:tcW w:w="621"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服务期</w:t>
            </w:r>
          </w:p>
        </w:tc>
        <w:tc>
          <w:tcPr>
            <w:tcW w:w="1331"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预算金额（人民币）</w:t>
            </w:r>
          </w:p>
        </w:tc>
        <w:tc>
          <w:tcPr>
            <w:tcW w:w="1297"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最高限价（人民币）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476"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w:t>
            </w:r>
          </w:p>
        </w:tc>
        <w:tc>
          <w:tcPr>
            <w:tcW w:w="1273"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超高分辨共聚焦扫描显微镜维保服务</w:t>
            </w:r>
          </w:p>
        </w:tc>
        <w:tc>
          <w:tcPr>
            <w:tcW w:w="621"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3年</w:t>
            </w:r>
          </w:p>
        </w:tc>
        <w:tc>
          <w:tcPr>
            <w:tcW w:w="1331"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152.3万元</w:t>
            </w:r>
          </w:p>
        </w:tc>
        <w:tc>
          <w:tcPr>
            <w:tcW w:w="1297" w:type="pct"/>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152.2万元</w:t>
            </w:r>
          </w:p>
        </w:tc>
      </w:tr>
    </w:tbl>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widowControl/>
        <w:spacing w:after="156" w:afterLines="50"/>
        <w:ind w:left="1918" w:leftChars="228" w:hanging="1440" w:hangingChars="600"/>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w:t>
      </w:r>
      <w:r>
        <w:rPr>
          <w:rFonts w:hint="eastAsia"/>
          <w:b/>
          <w:color w:val="000000" w:themeColor="text1"/>
          <w:sz w:val="24"/>
          <w:szCs w:val="24"/>
          <w:highlight w:val="none"/>
          <w14:textFill>
            <w14:solidFill>
              <w14:schemeClr w14:val="tx1"/>
            </w14:solidFill>
          </w14:textFill>
        </w:rPr>
        <w:t>二</w:t>
      </w:r>
      <w:r>
        <w:rPr>
          <w:b/>
          <w:color w:val="000000" w:themeColor="text1"/>
          <w:sz w:val="24"/>
          <w:szCs w:val="24"/>
          <w:highlight w:val="none"/>
          <w14:textFill>
            <w14:solidFill>
              <w14:schemeClr w14:val="tx1"/>
            </w14:solidFill>
          </w14:textFill>
        </w:rPr>
        <w:t>）技术商务要求</w:t>
      </w:r>
    </w:p>
    <w:p>
      <w:pPr>
        <w:widowControl/>
        <w:ind w:left="1918" w:leftChars="228" w:hanging="1440" w:hangingChars="6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1.商务要求</w:t>
      </w:r>
    </w:p>
    <w:p>
      <w:pPr>
        <w:widowControl/>
        <w:ind w:left="1918" w:leftChars="228" w:hanging="1440" w:hangingChars="6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（1）付款方式</w:t>
      </w:r>
    </w:p>
    <w:tbl>
      <w:tblPr>
        <w:tblStyle w:val="39"/>
        <w:tblW w:w="46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8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pct"/>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4536" w:type="pct"/>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付款条件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pct"/>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536" w:type="pct"/>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签订后，乙方将设备现有故障解决并校准调试，待设备恢复正常运行三个月，并完成第一次保养后，提交书面支付申请，甲方收到乙方书面支付申请及开具的等额正式发票后【60】个工作日内，向乙方支付人民币【合同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pct"/>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536" w:type="pct"/>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甲方收到乙方开具等额的</w:t>
            </w: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增值税普通发票 □增值税专用发票后，按上述期限向乙方付款。乙方须提前提供合法有效的等额发票，否则甲方有权顺延付款。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pct"/>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c>
          <w:tcPr>
            <w:tcW w:w="4536" w:type="pct"/>
            <w:vAlign w:val="center"/>
          </w:tcPr>
          <w:p>
            <w:pPr>
              <w:rPr>
                <w:color w:val="000000" w:themeColor="text1"/>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widowControl/>
        <w:spacing w:line="425" w:lineRule="atLeast"/>
        <w:ind w:left="1918" w:leftChars="228" w:hanging="1440" w:hangingChars="600"/>
        <w:jc w:val="both"/>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（2）其他要求</w:t>
      </w:r>
    </w:p>
    <w:tbl>
      <w:tblPr>
        <w:tblStyle w:val="39"/>
        <w:tblW w:w="46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085"/>
        <w:gridCol w:w="541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3"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序号</w:t>
            </w:r>
          </w:p>
        </w:tc>
        <w:tc>
          <w:tcPr>
            <w:tcW w:w="610"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内容</w:t>
            </w:r>
          </w:p>
        </w:tc>
        <w:tc>
          <w:tcPr>
            <w:tcW w:w="3043"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说明和要求</w:t>
            </w:r>
          </w:p>
        </w:tc>
        <w:tc>
          <w:tcPr>
            <w:tcW w:w="973" w:type="pct"/>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关键参数标记“★”，重要参数标记“▲”，普通参数不做标记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3"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w:t>
            </w:r>
          </w:p>
        </w:tc>
        <w:tc>
          <w:tcPr>
            <w:tcW w:w="610"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验收要求</w:t>
            </w:r>
          </w:p>
        </w:tc>
        <w:tc>
          <w:tcPr>
            <w:tcW w:w="3043"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 维保服务作业应符合国家、地方、行业规范，确保仪器设备处于技术状态良好、安全、稳定、持续运行的要求。</w:t>
            </w:r>
          </w:p>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 验收标准：服务验收以甲乙双方共同确认的仪器处于正常工作状态为准。</w:t>
            </w:r>
          </w:p>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 每次维保服务工作结束并得到甲方认可后，乙方需填写并签署维保报告一式两份，甲乙各一份。乙方每次维护后应对设备的现状、甲方使用中需要注意的内容写入维保报告。</w:t>
            </w:r>
          </w:p>
        </w:tc>
        <w:tc>
          <w:tcPr>
            <w:tcW w:w="973" w:type="pct"/>
          </w:tcPr>
          <w:p>
            <w:pPr>
              <w:widowControl/>
              <w:spacing w:line="240" w:lineRule="auto"/>
              <w:rPr>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373"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p>
        </w:tc>
        <w:tc>
          <w:tcPr>
            <w:tcW w:w="610"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报价要求</w:t>
            </w:r>
          </w:p>
        </w:tc>
        <w:tc>
          <w:tcPr>
            <w:tcW w:w="3043"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本项目最高限价：人民币 </w:t>
            </w:r>
            <w:r>
              <w:rPr>
                <w:rFonts w:hint="eastAsia"/>
                <w:color w:val="000000" w:themeColor="text1"/>
                <w:sz w:val="24"/>
                <w:szCs w:val="24"/>
                <w:highlight w:val="none"/>
                <w14:textFill>
                  <w14:solidFill>
                    <w14:schemeClr w14:val="tx1"/>
                  </w14:solidFill>
                </w14:textFill>
              </w:rPr>
              <w:t>152.2</w:t>
            </w:r>
            <w:r>
              <w:rPr>
                <w:color w:val="000000" w:themeColor="text1"/>
                <w:sz w:val="24"/>
                <w:szCs w:val="24"/>
                <w:highlight w:val="none"/>
                <w14:textFill>
                  <w14:solidFill>
                    <w14:schemeClr w14:val="tx1"/>
                  </w14:solidFill>
                </w14:textFill>
              </w:rPr>
              <w:t xml:space="preserve"> 万元，投标</w:t>
            </w:r>
            <w:r>
              <w:rPr>
                <w:rFonts w:hint="eastAsia"/>
                <w:color w:val="000000" w:themeColor="text1"/>
                <w:sz w:val="24"/>
                <w:szCs w:val="24"/>
                <w:highlight w:val="none"/>
                <w14:textFill>
                  <w14:solidFill>
                    <w14:schemeClr w14:val="tx1"/>
                  </w14:solidFill>
                </w14:textFill>
              </w:rPr>
              <w:t>总</w:t>
            </w:r>
            <w:r>
              <w:rPr>
                <w:color w:val="000000" w:themeColor="text1"/>
                <w:sz w:val="24"/>
                <w:szCs w:val="24"/>
                <w:highlight w:val="none"/>
                <w14:textFill>
                  <w14:solidFill>
                    <w14:schemeClr w14:val="tx1"/>
                  </w14:solidFill>
                </w14:textFill>
              </w:rPr>
              <w:t>报价不得超过最高限价。</w:t>
            </w:r>
          </w:p>
        </w:tc>
        <w:tc>
          <w:tcPr>
            <w:tcW w:w="973" w:type="pct"/>
            <w:vAlign w:val="center"/>
          </w:tcPr>
          <w:p>
            <w:pPr>
              <w:widowControl/>
              <w:spacing w:line="24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373" w:type="pct"/>
            <w:vAlign w:val="center"/>
          </w:tcPr>
          <w:p>
            <w:pPr>
              <w:widowControl/>
              <w:spacing w:line="24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3</w:t>
            </w:r>
          </w:p>
        </w:tc>
        <w:tc>
          <w:tcPr>
            <w:tcW w:w="610" w:type="pct"/>
            <w:vAlign w:val="center"/>
          </w:tcPr>
          <w:p>
            <w:pPr>
              <w:widowControl/>
              <w:spacing w:line="24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经验要求</w:t>
            </w:r>
          </w:p>
        </w:tc>
        <w:tc>
          <w:tcPr>
            <w:tcW w:w="3043" w:type="pct"/>
            <w:vAlign w:val="center"/>
          </w:tcPr>
          <w:p>
            <w:pPr>
              <w:widowControl/>
              <w:spacing w:line="24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投标人应具备与本项目设备同品牌同类的设备维保经验，并在过往的项目中获得用户的好评。</w:t>
            </w:r>
          </w:p>
        </w:tc>
        <w:tc>
          <w:tcPr>
            <w:tcW w:w="973" w:type="pct"/>
            <w:vAlign w:val="center"/>
          </w:tcPr>
          <w:p>
            <w:pPr>
              <w:widowControl/>
              <w:spacing w:line="240" w:lineRule="auto"/>
              <w:rPr>
                <w:color w:val="000000" w:themeColor="text1"/>
                <w:sz w:val="24"/>
                <w:szCs w:val="24"/>
                <w:highlight w:val="none"/>
                <w14:textFill>
                  <w14:solidFill>
                    <w14:schemeClr w14:val="tx1"/>
                  </w14:solidFill>
                </w14:textFill>
              </w:rPr>
            </w:pPr>
          </w:p>
        </w:tc>
      </w:tr>
    </w:tbl>
    <w:p>
      <w:pPr>
        <w:rPr>
          <w:color w:val="000000" w:themeColor="text1"/>
          <w:highlight w:val="none"/>
          <w14:textFill>
            <w14:solidFill>
              <w14:schemeClr w14:val="tx1"/>
            </w14:solidFill>
          </w14:textFill>
        </w:rPr>
        <w:sectPr>
          <w:footerReference r:id="rId7" w:type="default"/>
          <w:pgSz w:w="11906" w:h="16838"/>
          <w:pgMar w:top="1304" w:right="1106" w:bottom="1304" w:left="1418" w:header="851" w:footer="992" w:gutter="0"/>
          <w:pgNumType w:fmt="decimal" w:start="1"/>
          <w:cols w:space="720" w:num="1"/>
          <w:docGrid w:type="linesAndChars" w:linePitch="312" w:charSpace="0"/>
        </w:sectPr>
      </w:pPr>
    </w:p>
    <w:p>
      <w:pPr>
        <w:widowControl/>
        <w:ind w:left="1918" w:leftChars="228" w:hanging="1440" w:hangingChars="6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2.技术要求</w:t>
      </w:r>
    </w:p>
    <w:p>
      <w:pPr>
        <w:rPr>
          <w:color w:val="000000" w:themeColor="text1"/>
          <w:highlight w:val="none"/>
          <w14:textFill>
            <w14:solidFill>
              <w14:schemeClr w14:val="tx1"/>
            </w14:solidFill>
          </w14:textFill>
        </w:rPr>
      </w:pPr>
    </w:p>
    <w:tbl>
      <w:tblPr>
        <w:tblStyle w:val="40"/>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8295" w:type="dxa"/>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8295" w:type="dxa"/>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现有设备名称、品牌、型号：超高分辨共聚焦扫描显微镜/蔡司/LSM880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8295" w:type="dxa"/>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维保服务期限：3年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 w:type="dxa"/>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8295" w:type="dxa"/>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服务内容及要求</w:t>
            </w:r>
          </w:p>
          <w:p>
            <w:pPr>
              <w:jc w:val="both"/>
              <w:rPr>
                <w:color w:val="000000" w:themeColor="text1"/>
                <w:highlight w:val="none"/>
                <w14:textFill>
                  <w14:solidFill>
                    <w14:schemeClr w14:val="tx1"/>
                  </w14:solidFill>
                </w14:textFill>
              </w:rPr>
            </w:pP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一、关键参数</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★1.维保服务内容：本维保指针对蔡司品牌的超高分辨共聚焦扫描显微镜LSM880 with Airyscan（SN2811000534）提供三年维保服务。此维保服务包含但不限于对设备进行维修、保养和更换配件，承担配件（包括此显微镜配备的四个激光器及其配套电源、光路元件、冷却系统、成像系统、活细胞体系、载物台、检测器、Airyscan模块等）、劳务和差旅等费用，服务期以合同约定为准。但不包含移机服务和耗材（包括物镜、冷却液、荧光灯泡、卤素灯泡、PC电脑、设备升级及第三方产品）。</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★2.投标人承诺合同签订后，在采购人要求下即及时更换氩离子激光器及其配套电源和一个RGB Interface板。以及在需要时，提供两个汞灯灯泡，两瓶镜油，五个卤素灯泡。</w:t>
            </w:r>
          </w:p>
          <w:p>
            <w:pPr>
              <w:jc w:val="both"/>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3.</w:t>
            </w:r>
            <w:r>
              <w:rPr>
                <w:rStyle w:val="47"/>
                <w:rFonts w:hint="eastAsia"/>
                <w:color w:val="000000" w:themeColor="text1"/>
                <w:kern w:val="2"/>
                <w:highlight w:val="none"/>
                <w14:textFill>
                  <w14:solidFill>
                    <w14:schemeClr w14:val="tx1"/>
                  </w14:solidFill>
                </w14:textFill>
              </w:rPr>
              <w:t>相关配套服务</w:t>
            </w:r>
            <w:r>
              <w:rPr>
                <w:rFonts w:hint="eastAsia"/>
                <w:color w:val="000000" w:themeColor="text1"/>
                <w:highlight w:val="none"/>
                <w14:textFill>
                  <w14:solidFill>
                    <w14:schemeClr w14:val="tx1"/>
                  </w14:solidFill>
                </w14:textFill>
              </w:rPr>
              <w:t>：投标人本次投标报价中应包含提供蔡司显微镜Axio Imager.Z2(SN3523001201), 蔡司显微镜Axio Observer.Z1(SN3851002884)三年维修保养服务，包含但不限于对设备进行维修、保养和更换配件，承担配件、劳务和差旅等费用（不包含移机，耗材，物镜，PC电脑，设备升级及第三方产品， 相关服务要求和标准与共聚焦显微镜的保持一致）。服务期具体起止时间以合同约定为准。</w:t>
            </w:r>
          </w:p>
          <w:p>
            <w:pPr>
              <w:pStyle w:val="2"/>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激光器更换的判断标准：（1）激光器损坏导致无法出光；（2）激光器光源散点，无法通过校准；（3）激光器能量低于指定数值，指定数值如下：光纤端能量Laser405（11.8mw）氩离子激光器（9.1mw）Laser543（0.5mw）Laser561（10.2mw）Laser594（1mw）Laser633（2.3mw）。</w:t>
            </w:r>
          </w:p>
          <w:p>
            <w:pPr>
              <w:jc w:val="both"/>
              <w:rPr>
                <w:color w:val="000000" w:themeColor="text1"/>
                <w:highlight w:val="none"/>
                <w14:textFill>
                  <w14:solidFill>
                    <w14:schemeClr w14:val="tx1"/>
                  </w14:solidFill>
                </w14:textFill>
              </w:rPr>
            </w:pP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二、重要参数</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投标人应当在项目所在地有固定人员提供持续的维保服务，或者承诺中标后在项目所在地设置固定人员提供服务（投标文件中提供服务人员清单、联系方式及证书或承诺函）。投标人不得随意更换服务联系人，如更换服务联系人，应提前告知采购人，并须经得采购人同意。</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应当具备专业的技术人员团队，以确保每一次维保过程均能符合设备原制造商对这种设备的既定维保程序及实施标准，并能对维保设备的运行状况持续跟进和及时响应。因此，投标人拟派的技术人员至少有</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名具有维保设备原制造商授权培训并颁发的资质证书（须提供由设备原制造商盖章确认的资质证书作为证明文件），或者具有设备原制造商对其维保能力认可的其他有效资质（须提供由设备原制造商发出或盖章的有效证明材料）。</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▲3.投标人应在项目所在地或附近地区具有或承诺中标后设置常用备件库，为所维保设备保证备件的存储并优先提供备件的发货及维修更换，以确保备件能够在72小时内到达项目所在地（投标文件中应提供</w:t>
            </w:r>
            <w:r>
              <w:rPr>
                <w:rFonts w:hint="eastAsia" w:ascii="宋体" w:hAnsi="宋体" w:cs="宋体"/>
                <w:color w:val="000000" w:themeColor="text1"/>
                <w:highlight w:val="none"/>
                <w14:textFill>
                  <w14:solidFill>
                    <w14:schemeClr w14:val="tx1"/>
                  </w14:solidFill>
                </w14:textFill>
              </w:rPr>
              <w:t>①</w:t>
            </w:r>
            <w:r>
              <w:rPr>
                <w:rFonts w:hint="eastAsia"/>
                <w:color w:val="000000" w:themeColor="text1"/>
                <w:highlight w:val="none"/>
                <w14:textFill>
                  <w14:solidFill>
                    <w14:schemeClr w14:val="tx1"/>
                  </w14:solidFill>
                </w14:textFill>
              </w:rPr>
              <w:t>备件库的租赁合同或产权证明复印件，或将设置常用备件库的承诺函，及</w:t>
            </w:r>
            <w:r>
              <w:rPr>
                <w:rFonts w:hint="eastAsia" w:ascii="宋体" w:hAnsi="宋体" w:cs="宋体"/>
                <w:color w:val="000000" w:themeColor="text1"/>
                <w:highlight w:val="none"/>
                <w14:textFill>
                  <w14:solidFill>
                    <w14:schemeClr w14:val="tx1"/>
                  </w14:solidFill>
                </w14:textFill>
              </w:rPr>
              <w:t>②承诺72小时内运抵的</w:t>
            </w:r>
            <w:r>
              <w:rPr>
                <w:rFonts w:hint="eastAsia"/>
                <w:color w:val="000000" w:themeColor="text1"/>
                <w:highlight w:val="none"/>
                <w14:textFill>
                  <w14:solidFill>
                    <w14:schemeClr w14:val="tx1"/>
                  </w14:solidFill>
                </w14:textFill>
              </w:rPr>
              <w:t>备件清单）。</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投标人应当承诺维保服务中所更换的零配件为与原设备零配件同一生产厂家和同一型号规格的全新未开封零配件，保证设备在每次维保服务后符合设备原制造商标准或相应的国家质量标准的要求。更换零配件时提供零配件的相关供货证明材料，包括但不限于：生产厂家质量证明（如国内供货）、进口产品报关单（如国外供货）。备件供应在整个维保合同期须100%保障（投标文件中提供承诺函）。</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保证开机率：投标人应当承诺在服务期内（每天24小时，全年365个自然日），所保设备开机率至少应达到95%，即正常开机时间达到每年346.75个自然日，停机时间不超过18.25个自然日。一个自然日内停机超过8小时，按停机1个自然日计算；一个自然日内停机不超过8小时即恢复正常，按停机0.5个自然日计算。当开机率低于95%，每降低1%，维保期免费顺延30个自然日；当开机率低于90%，中标人应按合同总价款（三年合同总价款）的10%向采购人支付违约金（采购人可以以未支付的维保服务费抵扣），并对采购人因此遭受的所有损失进行赔偿。（开机率的计算统计，以采购人根据维保设备使用的实际情况统计为准。）</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投标人应当具备服务专线电话，提供全天候保修服务及服务热线电话在线技术支持。电话服务时间：每天24小时，全年365天；现场服务时间：每天上午8:00到下午5:30，如遇服务时间外的紧急加班服务，人员的紧急加班服务费用包含在本次报价中。报修后，初次电话响应时间30分钟内；现场响应时间8小时内。</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▲7.修复时间要求</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（1）故障修复时间不超过24小时，如遇设备故障严重无法在24小时内修复，投标人有义务提供解决方案，并保证在3个自然日内使设备恢复正常运行；</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如在3个自然日内无法使设备恢复正常运行，有义务优先提供备机（备机要求能实现原机的基本功能，品牌型号不限），过程涉及的任何费用均包含在本项目投标报价中，采购人不再向投标人支付任何费用。</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（3）采购人在使用备机时，投标人应尽快修复维保设备至正常使用状态。同时，采购人有权另行聘请第三方予以解决，发生的费用由投标人承担。</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投标人在采购人报修后1自然日不能提供有效服务（即按以上各项要求响应、派人维修或提供备机）的，则每延迟1自然日，本项目维保服务期限自动延长3个自然日，并对采购人造成的损失，承担全部赔偿责任。</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投标人每年至少对维保设备进行4次维护保养服务，服务包括但不限于设备安全检查，光路校准，设备除尘，物镜清理，运行状态检查，定期更换易损零部件等，以确保设备符合设备原制造商的使用标准或相应的国家质量标准的要求，服务完毕后1个工作日内向采购人提供书面报告。书面报告需经过科室仪器管理人员签字确认方有效。</w:t>
            </w:r>
          </w:p>
          <w:p>
            <w:pPr>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softHyphen/>
            </w:r>
            <w:r>
              <w:rPr>
                <w:rFonts w:hint="eastAsia"/>
                <w:color w:val="000000" w:themeColor="text1"/>
                <w:highlight w:val="none"/>
                <w14:textFill>
                  <w14:solidFill>
                    <w14:schemeClr w14:val="tx1"/>
                  </w14:solidFill>
                </w14:textFill>
              </w:rPr>
              <w:t>三、一般参数</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1.投标人在每年度服务结束后，向采购人提交年度服务报告，报告内容至少包括维修情况、服务总结、设备运行情况分析、设备存在问题及建议，以及后续整改措施等以保证仪器的正常运行。</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应当对维保信息记录的完整性负责：每次维保服务有工单，每台设备有状态标识及现场维保记录，每次服务可溯源，采购人在需要维保信息记录的时候，投标人可以按采购人要求及时提供。（投标文件中提供投标人自有设计的服务工单、状态标识相关模板）。</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3.服务期内，投标人应提供设备使用咨询及必要的现场培训服务，投标人不得以任何理由拒绝采购人的合理要求。</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四、其他要求</w:t>
            </w:r>
          </w:p>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在充分了解本项目的采购需求后，应形成有针对性、有高度可行性、有诚意维保服务实施方案（包括免费保修时间和范围、响应和解决问题时间、日常维护、巡检、保养方案等），以反映投标人的整体服务能力。</w:t>
            </w: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autoSpaceDE w:val="0"/>
        <w:autoSpaceDN w:val="0"/>
        <w:adjustRightInd w:val="0"/>
        <w:ind w:firstLine="480" w:firstLineChars="200"/>
        <w:jc w:val="both"/>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三、本项目其它需要特别说明的情况</w:t>
      </w:r>
    </w:p>
    <w:p>
      <w:pPr>
        <w:autoSpaceDE w:val="0"/>
        <w:autoSpaceDN w:val="0"/>
        <w:adjustRightInd w:val="0"/>
        <w:ind w:firstLine="480" w:firstLineChars="200"/>
        <w:jc w:val="both"/>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1.投标人应针对本项目用户需求书标注“★”和“▲”的技术参数响应情况提供有效的佐证材料，</w:t>
      </w:r>
      <w:r>
        <w:rPr>
          <w:rFonts w:hint="eastAsia"/>
          <w:b/>
          <w:bCs/>
          <w:color w:val="000000" w:themeColor="text1"/>
          <w:sz w:val="24"/>
          <w:szCs w:val="24"/>
          <w:highlight w:val="none"/>
          <w14:textFill>
            <w14:solidFill>
              <w14:schemeClr w14:val="tx1"/>
            </w14:solidFill>
          </w14:textFill>
        </w:rPr>
        <w:t>以佐证所投产品的相应的技术参数及功能，</w:t>
      </w:r>
      <w:r>
        <w:rPr>
          <w:b/>
          <w:bCs/>
          <w:color w:val="000000" w:themeColor="text1"/>
          <w:sz w:val="24"/>
          <w:szCs w:val="24"/>
          <w:highlight w:val="none"/>
          <w14:textFill>
            <w14:solidFill>
              <w14:schemeClr w14:val="tx1"/>
            </w14:solidFill>
          </w14:textFill>
        </w:rPr>
        <w:t>包括但不限于列有技术参数且完整的厂家产品彩页，或厂家官方网站公布的截图，或厂家产品说明书，或经厂家确认的证明材料</w:t>
      </w:r>
      <w:r>
        <w:rPr>
          <w:rFonts w:hint="eastAsia"/>
          <w:b/>
          <w:bCs/>
          <w:color w:val="000000" w:themeColor="text1"/>
          <w:sz w:val="24"/>
          <w:szCs w:val="24"/>
          <w:highlight w:val="none"/>
          <w14:textFill>
            <w14:solidFill>
              <w14:schemeClr w14:val="tx1"/>
            </w14:solidFill>
          </w14:textFill>
        </w:rPr>
        <w:t>（投标人为厂家的，不能仅以技术响应偏离表为佐证材料，需提供详细的功能参数说明并加盖厂家公章）</w:t>
      </w:r>
      <w:r>
        <w:rPr>
          <w:b/>
          <w:bCs/>
          <w:color w:val="000000" w:themeColor="text1"/>
          <w:sz w:val="24"/>
          <w:szCs w:val="24"/>
          <w:highlight w:val="none"/>
          <w14:textFill>
            <w14:solidFill>
              <w14:schemeClr w14:val="tx1"/>
            </w14:solidFill>
          </w14:textFill>
        </w:rPr>
        <w:t>，或第三方机构出具的检测报告，</w:t>
      </w:r>
      <w:r>
        <w:rPr>
          <w:rFonts w:hint="eastAsia"/>
          <w:b/>
          <w:bCs/>
          <w:color w:val="000000" w:themeColor="text1"/>
          <w:sz w:val="24"/>
          <w:szCs w:val="24"/>
          <w:highlight w:val="none"/>
          <w14:textFill>
            <w14:solidFill>
              <w14:schemeClr w14:val="tx1"/>
            </w14:solidFill>
          </w14:textFill>
        </w:rPr>
        <w:t>或演示视频（可以在提交投标文件截止时间前以光盘或U盘的形式密封邮寄到采购代理机构，请注明项目名称和编号）等。</w:t>
      </w:r>
      <w:r>
        <w:rPr>
          <w:b/>
          <w:bCs/>
          <w:color w:val="000000" w:themeColor="text1"/>
          <w:sz w:val="24"/>
          <w:szCs w:val="24"/>
          <w:highlight w:val="none"/>
          <w14:textFill>
            <w14:solidFill>
              <w14:schemeClr w14:val="tx1"/>
            </w14:solidFill>
          </w14:textFill>
        </w:rPr>
        <w:t>如用户需求书中有明确提供的证明资料，则以用户需求书中要求的为准。如上述资料未能体现招标需求的所有参数，则相应的技术参数响应可被视为负偏离。</w:t>
      </w:r>
    </w:p>
    <w:p>
      <w:pPr>
        <w:autoSpaceDE w:val="0"/>
        <w:autoSpaceDN w:val="0"/>
        <w:adjustRightInd w:val="0"/>
        <w:ind w:firstLine="480" w:firstLineChars="200"/>
        <w:jc w:val="both"/>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2.本项目已经公布预算</w:t>
      </w:r>
      <w:r>
        <w:rPr>
          <w:rFonts w:hint="eastAsia"/>
          <w:b/>
          <w:bCs/>
          <w:color w:val="000000" w:themeColor="text1"/>
          <w:sz w:val="24"/>
          <w:szCs w:val="24"/>
          <w:highlight w:val="none"/>
          <w14:textFill>
            <w14:solidFill>
              <w14:schemeClr w14:val="tx1"/>
            </w14:solidFill>
          </w14:textFill>
        </w:rPr>
        <w:t>和最高限价</w:t>
      </w:r>
      <w:r>
        <w:rPr>
          <w:b/>
          <w:bCs/>
          <w:color w:val="000000" w:themeColor="text1"/>
          <w:sz w:val="24"/>
          <w:szCs w:val="24"/>
          <w:highlight w:val="none"/>
          <w14:textFill>
            <w14:solidFill>
              <w14:schemeClr w14:val="tx1"/>
            </w14:solidFill>
          </w14:textFill>
        </w:rPr>
        <w:t>，报价超过项目最高限价的投标文件为无效投标文件。</w:t>
      </w:r>
    </w:p>
    <w:p>
      <w:pPr>
        <w:autoSpaceDE w:val="0"/>
        <w:autoSpaceDN w:val="0"/>
        <w:adjustRightInd w:val="0"/>
        <w:ind w:firstLine="480" w:firstLineChars="200"/>
        <w:jc w:val="both"/>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★3.本项目不允许转包，中标人不得对用户需求书中的主体内容进行分包。</w:t>
      </w:r>
    </w:p>
    <w:p>
      <w:pPr>
        <w:autoSpaceDE w:val="0"/>
        <w:autoSpaceDN w:val="0"/>
        <w:adjustRightInd w:val="0"/>
        <w:ind w:firstLine="480" w:firstLineChars="200"/>
        <w:jc w:val="both"/>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★4.招标文件第四部分中的合同条款均为不可负偏离条款，任何负偏离响应将导致投标无效，请投标人谨慎响应。</w:t>
      </w:r>
    </w:p>
    <w:p>
      <w:pPr>
        <w:autoSpaceDE w:val="0"/>
        <w:autoSpaceDN w:val="0"/>
        <w:adjustRightInd w:val="0"/>
        <w:ind w:firstLine="480" w:firstLineChars="200"/>
        <w:jc w:val="both"/>
        <w:rPr>
          <w:b/>
          <w:bCs/>
          <w:color w:val="000000" w:themeColor="text1"/>
          <w:sz w:val="24"/>
          <w:szCs w:val="24"/>
          <w:highlight w:val="none"/>
          <w14:textFill>
            <w14:solidFill>
              <w14:schemeClr w14:val="tx1"/>
            </w14:solidFill>
          </w14:textFill>
        </w:rPr>
      </w:pPr>
      <w:r>
        <w:rPr>
          <w:rFonts w:hint="eastAsia"/>
          <w:b/>
          <w:bCs/>
          <w:color w:val="000000" w:themeColor="text1"/>
          <w:sz w:val="24"/>
          <w:szCs w:val="24"/>
          <w:highlight w:val="none"/>
          <w14:textFill>
            <w14:solidFill>
              <w14:schemeClr w14:val="tx1"/>
            </w14:solidFill>
          </w14:textFill>
        </w:rPr>
        <w:t>★5.招标文件第二部分《用户需求书》的“付款方式”为不可负偏离条款，任何负偏离响应将导致投标无效，请投标人谨慎响应。</w:t>
      </w:r>
    </w:p>
    <w:p>
      <w:pPr>
        <w:rPr>
          <w:color w:val="000000" w:themeColor="text1"/>
          <w:sz w:val="84"/>
          <w:szCs w:val="84"/>
          <w:highlight w:val="none"/>
          <w14:textFill>
            <w14:solidFill>
              <w14:schemeClr w14:val="tx1"/>
            </w14:solidFill>
          </w14:textFill>
        </w:rPr>
      </w:pPr>
      <w:r>
        <w:rPr>
          <w:color w:val="000000" w:themeColor="text1"/>
          <w:highlight w:val="none"/>
          <w14:textFill>
            <w14:solidFill>
              <w14:schemeClr w14:val="tx1"/>
            </w14:solidFill>
          </w14:textFill>
        </w:rPr>
        <w:br w:type="page"/>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widowControl/>
        <w:jc w:val="center"/>
        <w:rPr>
          <w:b w:val="0"/>
          <w:color w:val="000000" w:themeColor="text1"/>
          <w:sz w:val="52"/>
          <w:szCs w:val="52"/>
          <w:highlight w:val="none"/>
          <w14:textFill>
            <w14:solidFill>
              <w14:schemeClr w14:val="tx1"/>
            </w14:solidFill>
          </w14:textFill>
        </w:rPr>
      </w:pPr>
      <w:bookmarkStart w:id="7" w:name="_Toc102987755"/>
      <w:bookmarkStart w:id="8" w:name="_Toc102987382"/>
      <w:bookmarkStart w:id="9" w:name="_Toc102987720"/>
      <w:r>
        <w:rPr>
          <w:b w:val="0"/>
          <w:color w:val="000000" w:themeColor="text1"/>
          <w:sz w:val="52"/>
          <w:szCs w:val="52"/>
          <w:highlight w:val="none"/>
          <w14:textFill>
            <w14:solidFill>
              <w14:schemeClr w14:val="tx1"/>
            </w14:solidFill>
          </w14:textFill>
        </w:rPr>
        <w:t>第三部分 投标人须知</w:t>
      </w:r>
      <w:bookmarkEnd w:id="7"/>
      <w:bookmarkEnd w:id="8"/>
      <w:bookmarkEnd w:id="9"/>
    </w:p>
    <w:p>
      <w:pPr>
        <w:jc w:val="center"/>
        <w:rPr>
          <w:color w:val="000000" w:themeColor="text1"/>
          <w:highlight w:val="none"/>
          <w14:textFill>
            <w14:solidFill>
              <w14:schemeClr w14:val="tx1"/>
            </w14:solidFill>
          </w14:textFill>
        </w:rPr>
      </w:pPr>
      <w:r>
        <w:rPr>
          <w:color w:val="000000" w:themeColor="text1"/>
          <w:sz w:val="44"/>
          <w:szCs w:val="44"/>
          <w:highlight w:val="none"/>
          <w14:textFill>
            <w14:solidFill>
              <w14:schemeClr w14:val="tx1"/>
            </w14:solidFill>
          </w14:textFill>
        </w:rPr>
        <w:br w:type="page"/>
      </w:r>
      <w:bookmarkStart w:id="10" w:name="_Toc102987383"/>
      <w:bookmarkStart w:id="11" w:name="_Toc102987721"/>
      <w:bookmarkStart w:id="12" w:name="_Toc22590"/>
      <w:bookmarkStart w:id="13" w:name="_Toc102987756"/>
      <w:r>
        <w:rPr>
          <w:b/>
          <w:color w:val="000000" w:themeColor="text1"/>
          <w:sz w:val="28"/>
          <w:szCs w:val="28"/>
          <w:highlight w:val="none"/>
          <w14:textFill>
            <w14:solidFill>
              <w14:schemeClr w14:val="tx1"/>
            </w14:solidFill>
          </w14:textFill>
        </w:rPr>
        <w:t>投标人须知前附表</w:t>
      </w:r>
      <w:bookmarkEnd w:id="10"/>
      <w:bookmarkEnd w:id="11"/>
      <w:bookmarkEnd w:id="12"/>
      <w:bookmarkEnd w:id="13"/>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860"/>
        <w:gridCol w:w="8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43" w:type="dxa"/>
            <w:vAlign w:val="center"/>
          </w:tcPr>
          <w:p>
            <w:pPr>
              <w:spacing w:line="240" w:lineRule="auto"/>
              <w:jc w:val="center"/>
              <w:rPr>
                <w:b/>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条款号</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项目名称：</w:t>
            </w:r>
            <w:r>
              <w:rPr>
                <w:rFonts w:hint="eastAsia"/>
                <w:color w:val="000000" w:themeColor="text1"/>
                <w:highlight w:val="none"/>
                <w14:textFill>
                  <w14:solidFill>
                    <w14:schemeClr w14:val="tx1"/>
                  </w14:solidFill>
                </w14:textFill>
              </w:rPr>
              <w:t>中山大学附属第三医院超高分辨共聚焦扫描显微镜维保服务采购项目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3" w:type="dxa"/>
            <w:vAlign w:val="center"/>
          </w:tcPr>
          <w:p>
            <w:pPr>
              <w:spacing w:line="240" w:lineRule="auto"/>
              <w:ind w:left="420"/>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 中山大学附属第三医院</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 广州市天河区天河路 600 号</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项目联系人： 崔老师</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电话： 020-85253453</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传真： /</w:t>
            </w:r>
          </w:p>
          <w:p>
            <w:pPr>
              <w:spacing w:line="280" w:lineRule="exact"/>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邮编： 510630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采购代理机构：广东华伦招标有限公司</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联系地址：广州市广仁路1号广仁大厦7楼</w:t>
            </w:r>
            <w:r>
              <w:rPr>
                <w:rFonts w:hint="eastAsia"/>
                <w:color w:val="000000" w:themeColor="text1"/>
                <w:highlight w:val="none"/>
                <w14:textFill>
                  <w14:solidFill>
                    <w14:schemeClr w14:val="tx1"/>
                  </w14:solidFill>
                </w14:textFill>
              </w:rPr>
              <w:tab/>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联系人：黄小姐、陈工、罗工</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联系电话：020-83172166-863（843）</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传真：/</w:t>
            </w:r>
          </w:p>
          <w:p>
            <w:pPr>
              <w:pStyle w:val="114"/>
              <w:ind w:left="840" w:hanging="840" w:hangingChars="400"/>
              <w:rPr>
                <w:rFonts w:ascii="Times New Roman"/>
                <w:color w:val="000000" w:themeColor="text1"/>
                <w:sz w:val="21"/>
                <w:szCs w:val="21"/>
                <w:highlight w:val="none"/>
                <w:u w:color="000000"/>
                <w14:textFill>
                  <w14:solidFill>
                    <w14:schemeClr w14:val="tx1"/>
                  </w14:solidFill>
                </w14:textFill>
              </w:rPr>
            </w:pPr>
            <w:r>
              <w:rPr>
                <w:rFonts w:hint="eastAsia" w:ascii="Times New Roman"/>
                <w:color w:val="000000" w:themeColor="text1"/>
                <w:sz w:val="21"/>
                <w:szCs w:val="21"/>
                <w:highlight w:val="none"/>
                <w:u w:color="000000"/>
                <w14:textFill>
                  <w14:solidFill>
                    <w14:schemeClr w14:val="tx1"/>
                  </w14:solidFill>
                </w14:textFill>
              </w:rPr>
              <w:t>邮箱：hlzb03@163.com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项目编号：ZC2024010008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项目预算：152.3万元人民币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1.6</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资金来源：已落实。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资格审查方式：□资格预审√资格后审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服务期：见《用户需求书》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合格投标人：详见招标公告 “投标人资格要求”。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exact"/>
          <w:jc w:val="center"/>
        </w:trPr>
        <w:tc>
          <w:tcPr>
            <w:tcW w:w="643" w:type="dxa"/>
            <w:vAlign w:val="center"/>
          </w:tcPr>
          <w:p>
            <w:pPr>
              <w:spacing w:line="240" w:lineRule="auto"/>
              <w:ind w:left="420"/>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6.2</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在提交投标文件截止时间前，无论出于何种原因，采购人或采购代理机构可主动或在解答投标人提出的需澄清问题时对招标文件进行修改。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43" w:type="dxa"/>
            <w:vAlign w:val="center"/>
          </w:tcPr>
          <w:p>
            <w:pPr>
              <w:spacing w:line="240" w:lineRule="auto"/>
              <w:ind w:left="420"/>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9.1</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是否收取投标保证金：</w:t>
            </w:r>
            <w:r>
              <w:rPr>
                <w:b/>
                <w:color w:val="000000" w:themeColor="text1"/>
                <w:highlight w:val="none"/>
                <w14:textFill>
                  <w14:solidFill>
                    <w14:schemeClr w14:val="tx1"/>
                  </w14:solidFill>
                </w14:textFill>
              </w:rPr>
              <w:t xml:space="preserve">是  </w:t>
            </w:r>
            <w:r>
              <w:rPr>
                <w:rFonts w:ascii="Segoe UI Symbol" w:hAnsi="Segoe UI Symbol" w:cs="Segoe UI Symbol"/>
                <w:b/>
                <w:color w:val="000000" w:themeColor="text1"/>
                <w:highlight w:val="none"/>
                <w14:textFill>
                  <w14:solidFill>
                    <w14:schemeClr w14:val="tx1"/>
                  </w14:solidFill>
                </w14:textFill>
              </w:rPr>
              <w:t>☑</w:t>
            </w:r>
            <w:r>
              <w:rPr>
                <w:b/>
                <w:color w:val="000000" w:themeColor="text1"/>
                <w:highlight w:val="none"/>
                <w14:textFill>
                  <w14:solidFill>
                    <w14:schemeClr w14:val="tx1"/>
                  </w14:solidFill>
                </w14:textFill>
              </w:rPr>
              <w:t xml:space="preserve">  否  </w:t>
            </w:r>
            <w:r>
              <w:rPr>
                <w:rFonts w:hint="eastAsia" w:ascii="宋体" w:hAnsi="宋体"/>
                <w:b/>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1"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9.2</w:t>
            </w:r>
          </w:p>
        </w:tc>
        <w:tc>
          <w:tcPr>
            <w:tcW w:w="8095" w:type="dxa"/>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（1）金额：</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人民币   10000   元；</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（2）递交时间：提交投标文件截止时间前完成缴纳或递交。投标人必须提前办理缴纳投标保证金的事宜，否则需自行承担保证金无法成功缴纳的风险。</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（3）形式（可自行选择）：银行转账、支票、汇票、本票、投标保函或担保函或保证保险函。</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（4）有效期：与投标有效期一致。</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（5）缴纳方式：</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①如采用银行转账形式提交的，请供应商自行登录广东华伦招标有限公司网站“广东华伦内控管理系统供应商在线服务”查询由系统随机为每位供应商随机分配的投标保证金缴纳账号（此账号仅限收取投标保证金）。详细操作详见广东华伦招标有限公司网站（https://www.gdhualun.com.cn/）“通知公告”栏中《广东华伦内控管理系统供应商操作指南》。缴纳凭证的原件可单独封装并放在投标文件中，复印件或打印件同时放在投标文件中，注明事由：（项目文件编号0809-XXXXXXXX）投标保证金。到账情况以提交投标文件截止时间时广东华伦招标有限公司查询的信息为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②如采用支票、汇票、本票形式提交的：票据原件可单独封装并放入投标文件内，与投标文件同时送达指定的投标文件递交地点，票据复印件或打印件放入投标文件中。注明事由：（项目文件编号0809-XXXXXXXX）投标保证金。</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③如采用金融机构、担保公司或保险机构开具的投标保函或担保函或保证保险函等形式提交的，保函或担保函或保证保险函须开具给采购人（保险受益人须为采购人），并与投标文件一同递交（原件可单独封装并放在投标文件中，复印件或打印件同时放在投标文件中）。</w:t>
            </w:r>
          </w:p>
          <w:p>
            <w:pPr>
              <w:spacing w:line="28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如供应商根据相关规定可办理电子保函的，电子保函与纸质保函具有同样效力。供应商须提供电子保函打印件或购买凭证作为核验凭证，并与投标文件一同递交（可单独封装并放在投标文件中）。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exac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10.12</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本项目向中标人收取招标代理服务费，按有关规定执行。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16.2</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投标有效期：自投标截止之日起</w:t>
            </w:r>
            <w:r>
              <w:rPr>
                <w:b/>
                <w:color w:val="000000" w:themeColor="text1"/>
                <w:highlight w:val="none"/>
                <w14:textFill>
                  <w14:solidFill>
                    <w14:schemeClr w14:val="tx1"/>
                  </w14:solidFill>
                </w14:textFill>
              </w:rPr>
              <w:t>90日历天</w:t>
            </w:r>
            <w:r>
              <w:rPr>
                <w:rFonts w:hint="eastAsia"/>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17</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招标文件中的重要条款不允许负偏离，如投标文件中对重要条款有负偏离，则是投标人的风险。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18</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无效投标：详见</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投标人须知</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无效投标</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643" w:type="dxa"/>
            <w:vAlign w:val="center"/>
          </w:tcPr>
          <w:p>
            <w:pPr>
              <w:spacing w:line="240" w:lineRule="auto"/>
              <w:ind w:left="420"/>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四、投标文件的提交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投标文件的密封和标记详见</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投标人须知</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21</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投标截止</w:t>
            </w:r>
            <w:r>
              <w:rPr>
                <w:rFonts w:hint="eastAsia"/>
                <w:color w:val="000000" w:themeColor="text1"/>
                <w:highlight w:val="none"/>
                <w14:textFill>
                  <w14:solidFill>
                    <w14:schemeClr w14:val="tx1"/>
                  </w14:solidFill>
                </w14:textFill>
              </w:rPr>
              <w:t>时</w:t>
            </w:r>
            <w:r>
              <w:rPr>
                <w:color w:val="000000" w:themeColor="text1"/>
                <w:highlight w:val="none"/>
                <w14:textFill>
                  <w14:solidFill>
                    <w14:schemeClr w14:val="tx1"/>
                  </w14:solidFill>
                </w14:textFill>
              </w:rPr>
              <w:t>间：见采购公告</w:t>
            </w:r>
            <w:r>
              <w:rPr>
                <w:rFonts w:hint="eastAsia"/>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22</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投标文件数量要求：</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同时报名多个</w:t>
            </w:r>
            <w:r>
              <w:rPr>
                <w:rFonts w:hint="eastAsia"/>
                <w:color w:val="000000" w:themeColor="text1"/>
                <w:highlight w:val="none"/>
                <w14:textFill>
                  <w14:solidFill>
                    <w14:schemeClr w14:val="tx1"/>
                  </w14:solidFill>
                </w14:textFill>
              </w:rPr>
              <w:t>包组（</w:t>
            </w:r>
            <w:r>
              <w:rPr>
                <w:color w:val="000000" w:themeColor="text1"/>
                <w:highlight w:val="none"/>
                <w14:textFill>
                  <w14:solidFill>
                    <w14:schemeClr w14:val="tx1"/>
                  </w14:solidFill>
                </w14:textFill>
              </w:rPr>
              <w:t>标段</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的，投标文件必须分</w:t>
            </w:r>
            <w:r>
              <w:rPr>
                <w:rFonts w:hint="eastAsia"/>
                <w:color w:val="000000" w:themeColor="text1"/>
                <w:highlight w:val="none"/>
                <w14:textFill>
                  <w14:solidFill>
                    <w14:schemeClr w14:val="tx1"/>
                  </w14:solidFill>
                </w14:textFill>
              </w:rPr>
              <w:t>包组（</w:t>
            </w:r>
            <w:r>
              <w:rPr>
                <w:color w:val="000000" w:themeColor="text1"/>
                <w:highlight w:val="none"/>
                <w14:textFill>
                  <w14:solidFill>
                    <w14:schemeClr w14:val="tx1"/>
                  </w14:solidFill>
                </w14:textFill>
              </w:rPr>
              <w:t>标段</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制作。</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1.纸质件：正本壹份、副本</w:t>
            </w:r>
            <w:r>
              <w:rPr>
                <w:rFonts w:hint="eastAsia"/>
                <w:color w:val="000000" w:themeColor="text1"/>
                <w:highlight w:val="none"/>
                <w14:textFill>
                  <w14:solidFill>
                    <w14:schemeClr w14:val="tx1"/>
                  </w14:solidFill>
                </w14:textFill>
              </w:rPr>
              <w:t>五</w:t>
            </w:r>
            <w:r>
              <w:rPr>
                <w:color w:val="000000" w:themeColor="text1"/>
                <w:highlight w:val="none"/>
                <w14:textFill>
                  <w14:solidFill>
                    <w14:schemeClr w14:val="tx1"/>
                  </w14:solidFill>
                </w14:textFill>
              </w:rPr>
              <w:t>份。（结合实际调整）</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电子文档（U盘或光盘）1份，若项目分多个标段，则须分标段制作光盘各一份。文档命名格式为“项目编号”+“包号”+“公司全称”，不分包组的均默认包号为“1”，须保证技术响应信息、商务响应信息、报价表等关键内容与纸质件完全一致且完整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23.4</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在提交投标文件截止时间起至投标有效期终止日前，投标人撤销投标文件的，保证金不予退还。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3" w:type="dxa"/>
            <w:vAlign w:val="center"/>
          </w:tcPr>
          <w:p>
            <w:pPr>
              <w:spacing w:line="240" w:lineRule="auto"/>
              <w:ind w:left="420"/>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五、开标、评标与定标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24.1</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按《投标邀请函》中规定的日期、时间进行开标活动。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43" w:type="dxa"/>
            <w:vAlign w:val="center"/>
          </w:tcPr>
          <w:p>
            <w:pPr>
              <w:pStyle w:val="49"/>
              <w:numPr>
                <w:ilvl w:val="0"/>
                <w:numId w:val="3"/>
              </w:numPr>
              <w:spacing w:line="240" w:lineRule="auto"/>
              <w:ind w:firstLineChars="0"/>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27.1</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投标人未按《资格审查表》提供完整、有效资格证明材料的，作无效投标处理。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28.3</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29.1</w:t>
            </w:r>
          </w:p>
        </w:tc>
        <w:tc>
          <w:tcPr>
            <w:tcW w:w="8095"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投标文件的评价采用</w:t>
            </w:r>
            <w:r>
              <w:rPr>
                <w:b/>
                <w:color w:val="000000" w:themeColor="text1"/>
                <w:highlight w:val="none"/>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30.2</w:t>
            </w:r>
          </w:p>
        </w:tc>
        <w:tc>
          <w:tcPr>
            <w:tcW w:w="8095" w:type="dxa"/>
            <w:vAlign w:val="center"/>
          </w:tcPr>
          <w:p>
            <w:pPr>
              <w:tabs>
                <w:tab w:val="left" w:pos="90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中标人确定后，中标结果将在中山大学附属第三医院官网（https://www.zssy.com.cn/）、中国政府采购网（http://www.ccgp.gov.cn）及</w:t>
            </w:r>
            <w:r>
              <w:rPr>
                <w:rFonts w:hint="eastAsia"/>
                <w:color w:val="000000" w:themeColor="text1"/>
                <w:highlight w:val="none"/>
                <w14:textFill>
                  <w14:solidFill>
                    <w14:schemeClr w14:val="tx1"/>
                  </w14:solidFill>
                </w14:textFill>
              </w:rPr>
              <w:t>广东华伦招标有限公司</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https://www.gdhualun.com.cn</w:t>
            </w:r>
            <w:r>
              <w:rPr>
                <w:color w:val="000000" w:themeColor="text1"/>
                <w:highlight w:val="none"/>
                <w14:textFill>
                  <w14:solidFill>
                    <w14:schemeClr w14:val="tx1"/>
                  </w14:solidFill>
                </w14:textFill>
              </w:rPr>
              <w:t>）进行公告发布。同时，向中标人发出《中标通知书》，《中标通知书》对中标人和采购人具有同等法律效力。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31</w:t>
            </w:r>
          </w:p>
        </w:tc>
        <w:tc>
          <w:tcPr>
            <w:tcW w:w="8095" w:type="dxa"/>
            <w:vAlign w:val="center"/>
          </w:tcPr>
          <w:p>
            <w:pPr>
              <w:tabs>
                <w:tab w:val="left" w:pos="90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投标人的书面质疑应按《政府采购质疑和投诉办法》（中华人民共和国财政部令第94 号）第十二条规定的格式和内容提交，具体格式可在中山大学附属第三医院</w:t>
            </w:r>
            <w:r>
              <w:rPr>
                <w:rFonts w:hint="eastAsia"/>
                <w:color w:val="000000" w:themeColor="text1"/>
                <w:highlight w:val="none"/>
                <w14:textFill>
                  <w14:solidFill>
                    <w14:schemeClr w14:val="tx1"/>
                  </w14:solidFill>
                </w14:textFill>
              </w:rPr>
              <w:t>官</w:t>
            </w:r>
            <w:r>
              <w:rPr>
                <w:color w:val="000000" w:themeColor="text1"/>
                <w:highlight w:val="none"/>
                <w14:textFill>
                  <w14:solidFill>
                    <w14:schemeClr w14:val="tx1"/>
                  </w14:solidFill>
                </w14:textFill>
              </w:rPr>
              <w:t>网（https://www.zssy.com.cn/）下载。</w:t>
            </w:r>
          </w:p>
          <w:p>
            <w:pPr>
              <w:tabs>
                <w:tab w:val="left" w:pos="900"/>
              </w:tabs>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质疑受理机构：广东华伦招标有限公司；</w:t>
            </w:r>
          </w:p>
          <w:p>
            <w:pPr>
              <w:tabs>
                <w:tab w:val="left" w:pos="900"/>
              </w:tabs>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联系部门：总工室；</w:t>
            </w:r>
          </w:p>
          <w:p>
            <w:pPr>
              <w:tabs>
                <w:tab w:val="left" w:pos="900"/>
              </w:tabs>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电话：020-83172166-811；</w:t>
            </w:r>
          </w:p>
          <w:p>
            <w:pPr>
              <w:tabs>
                <w:tab w:val="left" w:pos="900"/>
              </w:tabs>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地址：广东省广州市越秀区广仁路1号广仁大厦7楼。</w:t>
            </w:r>
          </w:p>
          <w:p>
            <w:pPr>
              <w:tabs>
                <w:tab w:val="left" w:pos="900"/>
              </w:tabs>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邮箱：hlzb03@163.com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43" w:type="dxa"/>
            <w:vAlign w:val="center"/>
          </w:tcPr>
          <w:p>
            <w:pPr>
              <w:numPr>
                <w:ilvl w:val="0"/>
                <w:numId w:val="3"/>
              </w:numPr>
              <w:spacing w:line="240" w:lineRule="auto"/>
              <w:jc w:val="center"/>
              <w:rPr>
                <w:color w:val="000000" w:themeColor="text1"/>
                <w:highlight w:val="none"/>
                <w14:textFill>
                  <w14:solidFill>
                    <w14:schemeClr w14:val="tx1"/>
                  </w14:solidFill>
                </w14:textFill>
              </w:rPr>
            </w:pPr>
          </w:p>
        </w:tc>
        <w:tc>
          <w:tcPr>
            <w:tcW w:w="860" w:type="dxa"/>
            <w:vAlign w:val="center"/>
          </w:tcPr>
          <w:p>
            <w:pPr>
              <w:spacing w:line="240" w:lineRule="auto"/>
              <w:jc w:val="center"/>
              <w:rPr>
                <w:color w:val="000000" w:themeColor="text1"/>
                <w:highlight w:val="none"/>
                <w14:textFill>
                  <w14:solidFill>
                    <w14:schemeClr w14:val="tx1"/>
                  </w14:solidFill>
                </w14:textFill>
              </w:rPr>
            </w:pPr>
            <w:r>
              <w:rPr>
                <w:rStyle w:val="47"/>
                <w:color w:val="000000" w:themeColor="text1"/>
                <w:kern w:val="2"/>
                <w:highlight w:val="none"/>
                <w14:textFill>
                  <w14:solidFill>
                    <w14:schemeClr w14:val="tx1"/>
                  </w14:solidFill>
                </w14:textFill>
              </w:rPr>
              <w:t>37</w:t>
            </w:r>
          </w:p>
        </w:tc>
        <w:tc>
          <w:tcPr>
            <w:tcW w:w="8095" w:type="dxa"/>
            <w:vAlign w:val="center"/>
          </w:tcPr>
          <w:p>
            <w:pPr>
              <w:tabs>
                <w:tab w:val="left" w:pos="900"/>
              </w:tabs>
              <w:spacing w:line="240" w:lineRule="auto"/>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本项目不收取履约保证金</w:t>
            </w:r>
            <w:r>
              <w:rPr>
                <w:color w:val="000000" w:themeColor="text1"/>
                <w:highlight w:val="none"/>
                <w14:textFill>
                  <w14:solidFill>
                    <w14:schemeClr w14:val="tx1"/>
                  </w14:solidFill>
                </w14:textFill>
              </w:rPr>
              <w:t>。</w:t>
            </w:r>
          </w:p>
        </w:tc>
      </w:tr>
    </w:tbl>
    <w:p>
      <w:pPr>
        <w:jc w:val="center"/>
        <w:rPr>
          <w:color w:val="000000" w:themeColor="text1"/>
          <w:highlight w:val="none"/>
          <w14:textFill>
            <w14:solidFill>
              <w14:schemeClr w14:val="tx1"/>
            </w14:solidFill>
          </w14:textFill>
        </w:rPr>
      </w:pPr>
      <w:bookmarkStart w:id="14" w:name="_Toc4305"/>
      <w:r>
        <w:rPr>
          <w:color w:val="000000" w:themeColor="text1"/>
          <w:highlight w:val="none"/>
          <w14:textFill>
            <w14:solidFill>
              <w14:schemeClr w14:val="tx1"/>
            </w14:solidFill>
          </w14:textFill>
        </w:rPr>
        <w:br w:type="page"/>
      </w:r>
      <w:r>
        <w:rPr>
          <w:b/>
          <w:color w:val="000000" w:themeColor="text1"/>
          <w:sz w:val="28"/>
          <w:szCs w:val="28"/>
          <w:highlight w:val="none"/>
          <w14:textFill>
            <w14:solidFill>
              <w14:schemeClr w14:val="tx1"/>
            </w14:solidFill>
          </w14:textFill>
        </w:rPr>
        <w:t>投标人须知</w:t>
      </w:r>
      <w:bookmarkEnd w:id="14"/>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bookmarkStart w:id="15" w:name="_Toc102987384"/>
      <w:bookmarkStart w:id="16" w:name="_Toc102987757"/>
      <w:bookmarkStart w:id="17" w:name="_Toc102987722"/>
      <w:bookmarkStart w:id="18" w:name="_说明"/>
      <w:r>
        <w:rPr>
          <w:rFonts w:ascii="Times New Roman" w:hAnsi="Times New Roman" w:eastAsia="宋体"/>
          <w:color w:val="000000" w:themeColor="text1"/>
          <w:sz w:val="24"/>
          <w:szCs w:val="24"/>
          <w:highlight w:val="none"/>
          <w14:textFill>
            <w14:solidFill>
              <w14:schemeClr w14:val="tx1"/>
            </w14:solidFill>
          </w14:textFill>
        </w:rPr>
        <w:t>一、说明</w:t>
      </w:r>
      <w:bookmarkEnd w:id="15"/>
      <w:bookmarkEnd w:id="16"/>
      <w:bookmarkEnd w:id="17"/>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（一）项目说明</w:t>
      </w:r>
    </w:p>
    <w:bookmarkEnd w:id="18"/>
    <w:p>
      <w:pPr>
        <w:tabs>
          <w:tab w:val="left" w:pos="360"/>
          <w:tab w:val="clear" w:pos="540"/>
        </w:tabs>
        <w:ind w:firstLine="480" w:firstLineChars="200"/>
        <w:jc w:val="both"/>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1.适用范围</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1.1本招标文件仅适用于“</w:t>
      </w:r>
      <w:r>
        <w:rPr>
          <w:rFonts w:hint="eastAsia"/>
          <w:color w:val="000000" w:themeColor="text1"/>
          <w:sz w:val="24"/>
          <w:szCs w:val="24"/>
          <w:highlight w:val="none"/>
          <w14:textFill>
            <w14:solidFill>
              <w14:schemeClr w14:val="tx1"/>
            </w14:solidFill>
          </w14:textFill>
        </w:rPr>
        <w:t>中山大学附属第三医院超高分辨共聚焦扫描显微镜维保服务采购项目</w:t>
      </w:r>
      <w:r>
        <w:rPr>
          <w:color w:val="000000" w:themeColor="text1"/>
          <w:sz w:val="24"/>
          <w:szCs w:val="24"/>
          <w:highlight w:val="none"/>
          <w14:textFill>
            <w14:solidFill>
              <w14:schemeClr w14:val="tx1"/>
            </w14:solidFill>
          </w14:textFill>
        </w:rPr>
        <w:t>”采购活动的实施。</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1.2采购人：中山大学附属第三医院。</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1.3采购代理机构：</w:t>
      </w:r>
      <w:r>
        <w:rPr>
          <w:rFonts w:hint="eastAsia"/>
          <w:color w:val="000000" w:themeColor="text1"/>
          <w:sz w:val="24"/>
          <w:szCs w:val="24"/>
          <w:highlight w:val="none"/>
          <w14:textFill>
            <w14:solidFill>
              <w14:schemeClr w14:val="tx1"/>
            </w14:solidFill>
          </w14:textFill>
        </w:rPr>
        <w:t>广东华伦招标有限</w:t>
      </w:r>
      <w:r>
        <w:rPr>
          <w:color w:val="000000" w:themeColor="text1"/>
          <w:sz w:val="24"/>
          <w:szCs w:val="24"/>
          <w:highlight w:val="none"/>
          <w14:textFill>
            <w14:solidFill>
              <w14:schemeClr w14:val="tx1"/>
            </w14:solidFill>
          </w14:textFill>
        </w:rPr>
        <w:t>公司。</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1.4采购项目编号：</w:t>
      </w:r>
      <w:r>
        <w:rPr>
          <w:rFonts w:hint="eastAsia"/>
          <w:color w:val="000000" w:themeColor="text1"/>
          <w:sz w:val="24"/>
          <w:szCs w:val="24"/>
          <w:highlight w:val="none"/>
          <w14:textFill>
            <w14:solidFill>
              <w14:schemeClr w14:val="tx1"/>
            </w14:solidFill>
          </w14:textFill>
        </w:rPr>
        <w:t>ZC2024010008</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1.5项目预算： </w:t>
      </w:r>
      <w:r>
        <w:rPr>
          <w:rFonts w:hint="eastAsia"/>
          <w:color w:val="000000" w:themeColor="text1"/>
          <w:sz w:val="24"/>
          <w:szCs w:val="24"/>
          <w:highlight w:val="none"/>
          <w14:textFill>
            <w14:solidFill>
              <w14:schemeClr w14:val="tx1"/>
            </w14:solidFill>
          </w14:textFill>
        </w:rPr>
        <w:t>152.3万</w:t>
      </w:r>
      <w:r>
        <w:rPr>
          <w:color w:val="000000" w:themeColor="text1"/>
          <w:sz w:val="24"/>
          <w:szCs w:val="24"/>
          <w:highlight w:val="none"/>
          <w14:textFill>
            <w14:solidFill>
              <w14:schemeClr w14:val="tx1"/>
            </w14:solidFill>
          </w14:textFill>
        </w:rPr>
        <w:t>元人民币</w:t>
      </w:r>
      <w:r>
        <w:rPr>
          <w:rFonts w:hint="eastAsia"/>
          <w:color w:val="000000" w:themeColor="text1"/>
          <w:sz w:val="24"/>
          <w:szCs w:val="24"/>
          <w:highlight w:val="none"/>
          <w14:textFill>
            <w14:solidFill>
              <w14:schemeClr w14:val="tx1"/>
            </w14:solidFill>
          </w14:textFill>
        </w:rPr>
        <w:t>，最高限价152.2万元人民币。</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1.6资金</w:t>
      </w:r>
      <w:r>
        <w:rPr>
          <w:rFonts w:hint="eastAsia"/>
          <w:color w:val="000000" w:themeColor="text1"/>
          <w:sz w:val="24"/>
          <w:szCs w:val="24"/>
          <w:highlight w:val="none"/>
          <w14:textFill>
            <w14:solidFill>
              <w14:schemeClr w14:val="tx1"/>
            </w14:solidFill>
          </w14:textFill>
        </w:rPr>
        <w:t>来源</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已落实</w:t>
      </w:r>
      <w:r>
        <w:rPr>
          <w:color w:val="000000" w:themeColor="text1"/>
          <w:sz w:val="24"/>
          <w:szCs w:val="24"/>
          <w:highlight w:val="none"/>
          <w14:textFill>
            <w14:solidFill>
              <w14:schemeClr w14:val="tx1"/>
            </w14:solidFill>
          </w14:textFill>
        </w:rPr>
        <w:t>。</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2.招标要求</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1</w:t>
      </w:r>
      <w:r>
        <w:rPr>
          <w:color w:val="000000" w:themeColor="text1"/>
          <w:sz w:val="24"/>
          <w:szCs w:val="24"/>
          <w:highlight w:val="none"/>
          <w14:textFill>
            <w14:solidFill>
              <w14:schemeClr w14:val="tx1"/>
            </w14:solidFill>
          </w14:textFill>
        </w:rPr>
        <w:t xml:space="preserve"> 须满足的本项目交货期：投标人应根据“用户需求书”的相关要求制定设备的供货时间（到货、安装、验收）。</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2</w:t>
      </w:r>
      <w:r>
        <w:rPr>
          <w:color w:val="000000" w:themeColor="text1"/>
          <w:sz w:val="24"/>
          <w:szCs w:val="24"/>
          <w:highlight w:val="none"/>
          <w14:textFill>
            <w14:solidFill>
              <w14:schemeClr w14:val="tx1"/>
            </w14:solidFill>
          </w14:textFill>
        </w:rPr>
        <w:t>投标人的投标报价必须按照“投标明细报价表”的格式要求进行相应报价。</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3</w:t>
      </w:r>
      <w:r>
        <w:rPr>
          <w:color w:val="000000" w:themeColor="text1"/>
          <w:sz w:val="24"/>
          <w:szCs w:val="24"/>
          <w:highlight w:val="none"/>
          <w14:textFill>
            <w14:solidFill>
              <w14:schemeClr w14:val="tx1"/>
            </w14:solidFill>
          </w14:textFill>
        </w:rPr>
        <w:t xml:space="preserve"> 投标人必须提交对招标文件实质性响应的投标文件。</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4</w:t>
      </w:r>
      <w:r>
        <w:rPr>
          <w:color w:val="000000" w:themeColor="text1"/>
          <w:sz w:val="24"/>
          <w:szCs w:val="24"/>
          <w:highlight w:val="none"/>
          <w14:textFill>
            <w14:solidFill>
              <w14:schemeClr w14:val="tx1"/>
            </w14:solidFill>
          </w14:textFill>
        </w:rPr>
        <w:t xml:space="preserve"> 节能产品、环境标志产品的优先采购和强制采购依据品目清单和认证证书实施。本项目拟采购的产品属于品目清单范围的，供应商应在明细报价表后附上国家确定的认证机构出具的、处于有效期之内的节能产品、环境标志产品认证证书。</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5</w:t>
      </w:r>
      <w:r>
        <w:rPr>
          <w:color w:val="000000" w:themeColor="text1"/>
          <w:sz w:val="24"/>
          <w:szCs w:val="24"/>
          <w:highlight w:val="none"/>
          <w14:textFill>
            <w14:solidFill>
              <w14:schemeClr w14:val="tx1"/>
            </w14:solidFill>
          </w14:textFill>
        </w:rPr>
        <w:t xml:space="preserve"> 本项目涉及软件产品的，必须采购和使用正版软件，项目中涉及计算机办公产品的，必须预装正版操作系统软件。</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6</w:t>
      </w:r>
      <w:r>
        <w:rPr>
          <w:color w:val="000000" w:themeColor="text1"/>
          <w:sz w:val="24"/>
          <w:szCs w:val="24"/>
          <w:highlight w:val="none"/>
          <w14:textFill>
            <w14:solidFill>
              <w14:schemeClr w14:val="tx1"/>
            </w14:solidFill>
          </w14:textFill>
        </w:rPr>
        <w:t xml:space="preserve"> 本项目所涉及的信息安全产品需经过国家相关认证。</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7</w:t>
      </w:r>
      <w:r>
        <w:rPr>
          <w:color w:val="000000" w:themeColor="text1"/>
          <w:sz w:val="24"/>
          <w:szCs w:val="24"/>
          <w:highlight w:val="none"/>
          <w14:textFill>
            <w14:solidFill>
              <w14:schemeClr w14:val="tx1"/>
            </w14:solidFill>
          </w14:textFill>
        </w:rPr>
        <w:t xml:space="preserve"> 投标产品属于《特种设备目录》所列产品，应提供处于有效期内的《中华人民共和国特种设备</w:t>
      </w:r>
      <w:r>
        <w:rPr>
          <w:rFonts w:hint="eastAsia"/>
          <w:color w:val="000000" w:themeColor="text1"/>
          <w:sz w:val="24"/>
          <w:szCs w:val="24"/>
          <w:highlight w:val="none"/>
          <w14:textFill>
            <w14:solidFill>
              <w14:schemeClr w14:val="tx1"/>
            </w14:solidFill>
          </w14:textFill>
        </w:rPr>
        <w:t>生产</w:t>
      </w:r>
      <w:r>
        <w:rPr>
          <w:color w:val="000000" w:themeColor="text1"/>
          <w:sz w:val="24"/>
          <w:szCs w:val="24"/>
          <w:highlight w:val="none"/>
          <w14:textFill>
            <w14:solidFill>
              <w14:schemeClr w14:val="tx1"/>
            </w14:solidFill>
          </w14:textFill>
        </w:rPr>
        <w:t>许可证》。</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8</w:t>
      </w:r>
      <w:r>
        <w:rPr>
          <w:color w:val="000000" w:themeColor="text1"/>
          <w:sz w:val="24"/>
          <w:szCs w:val="24"/>
          <w:highlight w:val="none"/>
          <w14:textFill>
            <w14:solidFill>
              <w14:schemeClr w14:val="tx1"/>
            </w14:solidFill>
          </w14:textFill>
        </w:rPr>
        <w:t xml:space="preserve"> 本项目如涉及商品包装、快递包装，应当满足《商品包装政府采购需求标准（试行）》、《快递包装政府采购需求标准（试行）》要求。</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w:t>
      </w:r>
      <w:r>
        <w:rPr>
          <w:rFonts w:hint="eastAsia"/>
          <w:color w:val="000000" w:themeColor="text1"/>
          <w:sz w:val="24"/>
          <w:szCs w:val="24"/>
          <w:highlight w:val="none"/>
          <w14:textFill>
            <w14:solidFill>
              <w14:schemeClr w14:val="tx1"/>
            </w14:solidFill>
          </w14:textFill>
        </w:rPr>
        <w:t>9</w:t>
      </w:r>
      <w:r>
        <w:rPr>
          <w:color w:val="000000" w:themeColor="text1"/>
          <w:sz w:val="24"/>
          <w:szCs w:val="24"/>
          <w:highlight w:val="none"/>
          <w14:textFill>
            <w14:solidFill>
              <w14:schemeClr w14:val="tx1"/>
            </w14:solidFill>
          </w14:textFill>
        </w:rPr>
        <w:t xml:space="preserve"> 进口产品是指通过中国海关报关验放进入中国境内且产自关境外的产品。</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2.1</w:t>
      </w:r>
      <w:r>
        <w:rPr>
          <w:rFonts w:hint="eastAsia"/>
          <w:color w:val="000000" w:themeColor="text1"/>
          <w:sz w:val="24"/>
          <w:szCs w:val="24"/>
          <w:highlight w:val="none"/>
          <w14:textFill>
            <w14:solidFill>
              <w14:schemeClr w14:val="tx1"/>
            </w14:solidFill>
          </w14:textFill>
        </w:rPr>
        <w:t>0</w:t>
      </w:r>
      <w:r>
        <w:rPr>
          <w:color w:val="000000" w:themeColor="text1"/>
          <w:sz w:val="24"/>
          <w:szCs w:val="24"/>
          <w:highlight w:val="none"/>
          <w14:textFill>
            <w14:solidFill>
              <w14:schemeClr w14:val="tx1"/>
            </w14:solidFill>
          </w14:textFill>
        </w:rPr>
        <w:t>供应商被视为（或有义务）充分熟悉本投标项目所在地的与履行合同有关的各种情况，包括自然环境、气候条件、劳动力及公用设施等，本招标文件不再对上述情况进行描述。</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3.招标费用</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投标人应承担所有与准备和参加投标有关的费用，不论投标的结果如何，采购人及采购代理机构在任何情况下均无义务和责任承担这些费用。</w:t>
      </w:r>
    </w:p>
    <w:p>
      <w:pPr>
        <w:tabs>
          <w:tab w:val="left" w:pos="360"/>
        </w:tabs>
        <w:spacing w:line="425" w:lineRule="atLeast"/>
        <w:ind w:firstLine="480" w:firstLineChars="200"/>
        <w:jc w:val="both"/>
        <w:rPr>
          <w:b/>
          <w:color w:val="000000" w:themeColor="text1"/>
          <w:sz w:val="24"/>
          <w:szCs w:val="24"/>
          <w:highlight w:val="none"/>
          <w14:textFill>
            <w14:solidFill>
              <w14:schemeClr w14:val="tx1"/>
            </w14:solidFill>
          </w14:textFill>
        </w:rPr>
      </w:pPr>
      <w:r>
        <w:rPr>
          <w:b/>
          <w:color w:val="000000" w:themeColor="text1"/>
          <w:sz w:val="24"/>
          <w:szCs w:val="24"/>
          <w:highlight w:val="none"/>
          <w14:textFill>
            <w14:solidFill>
              <w14:schemeClr w14:val="tx1"/>
            </w14:solidFill>
          </w14:textFill>
        </w:rPr>
        <w:t>（二）合格的投标人</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4.1投标人须符合本项目招标公告所规定的资格标准条件。</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4.2投标人应遵守中国的有关法律、法规、规章和医院管理制度等规定。</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4.3一个投标人只能提交一个投标文件。但如果投标人之间存在下列互为关联关系的情形之一的，不得同时参加本项目投标：</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4.3.1 法定代表人或单位负责人为同一人或者存在直接控股、管理关系的投标人；</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4.3.2 为采购项目提供整体设计、规范编制或者项目管理、监理、检测等服务的投标人；</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4.4投标人不得与本次招标项下设计、编制技术规格和其它文件的公司或提供咨询服务的公司包括其附属机构有任何关联。</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4.5两个或者两个以上投标人可以组成一个投标联合体，以一个投标人的身份投标，本次招标是否允许联合体投标，详见投标人资格要求。以联合体形式参加投标的，联合体各方均应当符合政府采购法第二十二条规定的条件。联合体各方中至少应当有一方符合采购人根据采购项目的要求规定的特定条件。联合体中有同类资质的供应商按照联合体分工承担相同工作的，应当按照资质等级较低的供应商确定资质等级。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w:t>
      </w:r>
    </w:p>
    <w:p>
      <w:pPr>
        <w:widowControl/>
        <w:ind w:right="-333" w:rightChars="-159" w:firstLine="480" w:firstLineChars="200"/>
        <w:jc w:val="both"/>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4.6投标代理人授权代表在同一个项目中只能接受一个投标人的委托参加投标。</w:t>
      </w:r>
    </w:p>
    <w:p>
      <w:pPr>
        <w:rPr>
          <w:color w:val="000000" w:themeColor="text1"/>
          <w:highlight w:val="none"/>
          <w14:textFill>
            <w14:solidFill>
              <w14:schemeClr w14:val="tx1"/>
            </w14:solidFill>
          </w14:textFill>
        </w:rPr>
      </w:pP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bookmarkStart w:id="19" w:name="_Toc102987723"/>
      <w:bookmarkStart w:id="20" w:name="_Toc102987385"/>
      <w:bookmarkStart w:id="21" w:name="_Toc102987758"/>
      <w:r>
        <w:rPr>
          <w:rFonts w:ascii="Times New Roman" w:hAnsi="Times New Roman" w:eastAsia="宋体"/>
          <w:color w:val="000000" w:themeColor="text1"/>
          <w:sz w:val="24"/>
          <w:szCs w:val="24"/>
          <w:highlight w:val="none"/>
          <w14:textFill>
            <w14:solidFill>
              <w14:schemeClr w14:val="tx1"/>
            </w14:solidFill>
          </w14:textFill>
        </w:rPr>
        <w:t>二、招标文件</w:t>
      </w:r>
      <w:bookmarkEnd w:id="19"/>
      <w:bookmarkEnd w:id="20"/>
      <w:bookmarkEnd w:id="21"/>
    </w:p>
    <w:p>
      <w:pPr>
        <w:tabs>
          <w:tab w:val="left" w:pos="360"/>
          <w:tab w:val="left" w:pos="1904"/>
          <w:tab w:val="clear" w:pos="540"/>
        </w:tabs>
        <w:ind w:firstLine="480" w:firstLineChars="200"/>
        <w:jc w:val="both"/>
        <w:rPr>
          <w:b/>
          <w:color w:val="000000" w:themeColor="text1"/>
          <w:sz w:val="24"/>
          <w:szCs w:val="21"/>
          <w:highlight w:val="none"/>
          <w14:textFill>
            <w14:solidFill>
              <w14:schemeClr w14:val="tx1"/>
            </w14:solidFill>
          </w14:textFill>
        </w:rPr>
      </w:pPr>
      <w:r>
        <w:rPr>
          <w:b/>
          <w:color w:val="000000" w:themeColor="text1"/>
          <w:sz w:val="24"/>
          <w:szCs w:val="21"/>
          <w:highlight w:val="none"/>
          <w14:textFill>
            <w14:solidFill>
              <w14:schemeClr w14:val="tx1"/>
            </w14:solidFill>
          </w14:textFill>
        </w:rPr>
        <w:t>5.招标文件的构成</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5.1招标文件用以阐明本次招标的货物要求、招标投标程序和合同条件。除本项目的招标公告外，还包括：</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（1）第一部分 投标邀请函</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（2）第二部分 用户需求书</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（3）第三部分 投标人须知</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（4）第四部分 合同条款</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（5）第五部分 投标文件格式</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（6）第六部分 采购人发出的澄清和修改文件等（如有）</w:t>
      </w:r>
    </w:p>
    <w:p>
      <w:pPr>
        <w:pStyle w:val="34"/>
        <w:tabs>
          <w:tab w:val="left" w:pos="720"/>
          <w:tab w:val="clear" w:pos="540"/>
        </w:tabs>
        <w:spacing w:line="288" w:lineRule="auto"/>
        <w:ind w:left="0" w:firstLine="480" w:firstLineChars="200"/>
        <w:jc w:val="both"/>
        <w:rPr>
          <w:rFonts w:eastAsia="宋体"/>
          <w:b/>
          <w:color w:val="000000" w:themeColor="text1"/>
          <w:sz w:val="24"/>
          <w:szCs w:val="21"/>
          <w:highlight w:val="none"/>
          <w14:textFill>
            <w14:solidFill>
              <w14:schemeClr w14:val="tx1"/>
            </w14:solidFill>
          </w14:textFill>
        </w:rPr>
      </w:pPr>
      <w:r>
        <w:rPr>
          <w:rFonts w:eastAsia="宋体"/>
          <w:b/>
          <w:color w:val="000000" w:themeColor="text1"/>
          <w:sz w:val="24"/>
          <w:szCs w:val="21"/>
          <w:highlight w:val="none"/>
          <w14:textFill>
            <w14:solidFill>
              <w14:schemeClr w14:val="tx1"/>
            </w14:solidFill>
          </w14:textFill>
        </w:rPr>
        <w:t>请仔细检查招标文件是否齐全，如有缺漏、重复现象、排版错误等问题的，请立即与采购人联系解决，否则视同对招标文件的完整、齐全无异议。</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5.2投标人应认真阅读、并充分理解招标文件的全部内容（包括所有的补充、修改内容、重要事项、格式、条款和技术规范、标的参数及服务需求等）。投标人没有按照招标文件要求提交全部资料，或者投标没有对招标文件在各方面都做出实质性响应是投标人的风险，有可能导致其投标被拒绝，或被认定为无效投标。</w:t>
      </w:r>
    </w:p>
    <w:p>
      <w:pPr>
        <w:tabs>
          <w:tab w:val="left" w:pos="720"/>
        </w:tabs>
        <w:ind w:firstLine="480" w:firstLineChars="200"/>
        <w:jc w:val="both"/>
        <w:rPr>
          <w:b/>
          <w:color w:val="000000" w:themeColor="text1"/>
          <w:sz w:val="24"/>
          <w:szCs w:val="21"/>
          <w:highlight w:val="none"/>
          <w14:textFill>
            <w14:solidFill>
              <w14:schemeClr w14:val="tx1"/>
            </w14:solidFill>
          </w14:textFill>
        </w:rPr>
      </w:pPr>
      <w:r>
        <w:rPr>
          <w:b/>
          <w:color w:val="000000" w:themeColor="text1"/>
          <w:sz w:val="24"/>
          <w:szCs w:val="21"/>
          <w:highlight w:val="none"/>
          <w14:textFill>
            <w14:solidFill>
              <w14:schemeClr w14:val="tx1"/>
            </w14:solidFill>
          </w14:textFill>
        </w:rPr>
        <w:t>6.招标文件的澄清和修改</w:t>
      </w:r>
      <w:bookmarkStart w:id="22" w:name="_Toc342594061"/>
      <w:bookmarkStart w:id="23" w:name="_Toc342615369"/>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6.1已获得招标文件的潜在投标人，可要求对招标文件进行必要的澄清或修改，按第一部分投标邀请函中的联系方式以书面形式送达采购人或采购代理机构。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6.2在招标公告中所述的投标截止日期十五日前，采购人（或招标代理机构）可主动地或在解答投标人提出的澄清问题时对招标文件进行必要的澄清或者修改。对已发出的招标文件澄清或者修改的内容可能影响投标文件编制的，采购人或者采购代理机构应当在投标截止时间至少15日前，以书面形式通知所有获取招标文件的潜在投标人；不足15日的，顺延提交投标文件的截止时间。</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6.3</w:t>
      </w:r>
      <w:bookmarkEnd w:id="22"/>
      <w:bookmarkEnd w:id="23"/>
      <w:r>
        <w:rPr>
          <w:rFonts w:eastAsia="宋体"/>
          <w:color w:val="000000" w:themeColor="text1"/>
          <w:sz w:val="24"/>
          <w:szCs w:val="21"/>
          <w:highlight w:val="none"/>
          <w14:textFill>
            <w14:solidFill>
              <w14:schemeClr w14:val="tx1"/>
            </w14:solidFill>
          </w14:textFill>
        </w:rPr>
        <w:t>有关招标文件的澄清、修改等补充文件，应当作为招标文件的组成部分，对潜在投标人均具有约束力。若因投标人自身原因致使未按规定要求或未在规定时限内提交书面质疑的视为默认接受，逾期恕不受理。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6.4 若第二部分“用户需求书”在技术规格中指出的工艺、材料和设备标准、牌号或分类号仅起说明或参考作用，并没有任何限制。投标人在投标中可选用替代标准、牌号或分类号，但这些替代要实质上相当（或优于）于技术规格的要求。</w:t>
      </w:r>
    </w:p>
    <w:p>
      <w:pPr>
        <w:pStyle w:val="34"/>
        <w:tabs>
          <w:tab w:val="left" w:pos="720"/>
        </w:tabs>
        <w:spacing w:line="288" w:lineRule="auto"/>
        <w:ind w:left="0" w:firstLine="640" w:firstLineChars="200"/>
        <w:rPr>
          <w:color w:val="000000" w:themeColor="text1"/>
          <w:highlight w:val="none"/>
          <w14:textFill>
            <w14:solidFill>
              <w14:schemeClr w14:val="tx1"/>
            </w14:solidFill>
          </w14:textFill>
        </w:rPr>
      </w:pP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bookmarkStart w:id="24" w:name="_Toc102987386"/>
      <w:bookmarkStart w:id="25" w:name="_Toc102987724"/>
      <w:bookmarkStart w:id="26" w:name="_Toc102987759"/>
      <w:r>
        <w:rPr>
          <w:rFonts w:ascii="Times New Roman" w:hAnsi="Times New Roman" w:eastAsia="宋体"/>
          <w:color w:val="000000" w:themeColor="text1"/>
          <w:sz w:val="24"/>
          <w:szCs w:val="24"/>
          <w:highlight w:val="none"/>
          <w14:textFill>
            <w14:solidFill>
              <w14:schemeClr w14:val="tx1"/>
            </w14:solidFill>
          </w14:textFill>
        </w:rPr>
        <w:t>三、投标文件的编制</w:t>
      </w:r>
      <w:bookmarkEnd w:id="24"/>
      <w:bookmarkEnd w:id="25"/>
      <w:bookmarkEnd w:id="26"/>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7.投标语言及计量单位</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7.1投标人提交的投标文件（包括技术文件和资料、图纸中的说明）以及投标人所有与采购人及招标代理机构就投标来往的函电均应使用中文简体字。</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7.2原版为外文的证书类文件、技术文件和资料，以及由外国人作出的本人签名、外国公司的名称或外国印章等可以是外文，但应当附有由机构翻译的或者其他翻译准确的中文译本，由翻译机构盖章或者翻译人员签名。必要时评标委员会可以要求投标人提供附有公证书的中文翻译文件或者与原版文件签章相一致的中文翻译文件。</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原版为外文的证书类、证明类文件，与投标人名称或其他实际情况不符的，投标人应当提供相关证明文件。</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7.3在解释投标文件时以中文翻译为准。但不能故意错误翻译，否则，取消中标资格并按照相关法律法规追究法律责任。</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7.4除在招标文件中另有规定外，计量单位均使用公制计量单位。</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7.5投标文件中及所有投标人与采购人或采购代理机构往来文件中使用的日期、时间采用北京时区的日期、时间。</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8.投标文件的构成</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8.1 投标人编写的投标文件格式要求详见招标文件第五部分。应包括商务文件和技术文件：如投标人代表不是法定代表人，商务部分须有《法定代表人证明》和《法定代表人授权书》。商务文件和技术文件按要求装订成一本。</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8.2 对招标文件第二部分用户需求书的书面应答，包括但不限于技术描述、技术规范、技术参数、技术文件、图纸、安装介绍、工期安排和售后服务等；证明货物和服务与招标文件的要求相一致的文件，它可以是文字资料、图纸和数据，包括：</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8.2.1 货物主要技术指标和性能的详细说明；</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8.2.2 招标文件第二部分“用户需求书”中规定的备品备件清单，包括货源、现行价格及详细说明。</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8.2.3 对招标文件第二部分“用户需求书”逐条进行评议，说明所提供货物和服务已对采购人的技术规格做出了实质性的响应，或说明与技术规格条文的偏差和例外。</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8.2.4 货物经具备资质的第三方测试机构检测的性能报告，获得的行业行政主管部门颁发的荣誉证书或具有公信力的认证机构出具的相关质量认证等（如有）。</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8.2.5 货物和服务的使用用户一览表。</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8.2.6 货物选型样本、样品及有关技术资料和说明。</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8.2.7 具有的其他优势的说明。</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8.3 投标文件的编写</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8.3.1投标人根据招标文件编制的投标文件须对招标文件中的全部内容做出准确、完整的响应。如果投标文件填报的内容资料不详，或没有提供招标文件中所要求的全部资料及数据，将被视为投标文件完整性有缺陷；由于编排混乱导致投标文件被误读或查找不到，由投标人承担责任。</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8.3.2除可填报内容外，对投标函等内容的任何实质性修改将被视为非实质性响应投标，该投标将被拒绝。</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8.3.3投标文件应按照招标文件的格式逐项填写（格式见第五部分投标文件附件格式），无相应内容可填的项应填写“无”、“未测试”、“没有相应指标”等明确的回答文字。</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8.3.4投标人必须保证投标文件所提供的全部资料真实可靠，并接受评标委员会进一步审查其中任何资料真实性的要求。</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9. 投标保证金</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9.1 投标保证金的收取选择打“√”条款：</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本项目不收取投标保证金（ ）。</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本项目收取投标保证金（√ ）。</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9.2 投标人应按招标文件规定的金额和期限交纳投标保证金，投标保证金作为投标文件的组成部分。投标人与交款人名称必须一致，非投标人缴纳的报价保证金无效。</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9.3 投标保证金交纳形式：投标保证金请以银行转账、支票、汇票、本票或者银行保函（或《政府采购报价担保函》）等非现金形式提交（以投标邀请函要求交纳方式为准）。采用银行转账、支票、汇票、本票方式提交的投标保证金，应在投标截止时间前到达采购人或采购代理机构账户。采用银行保函或《政府采购报价担保函》等非现金形式的应将原件单独密封，在投标截止时间前在开标现场递交给采购人或采购代理机构</w:t>
      </w:r>
      <w:r>
        <w:rPr>
          <w:rFonts w:hint="eastAsia" w:eastAsia="宋体"/>
          <w:color w:val="000000" w:themeColor="text1"/>
          <w:sz w:val="24"/>
          <w:szCs w:val="21"/>
          <w:highlight w:val="none"/>
          <w14:textFill>
            <w14:solidFill>
              <w14:schemeClr w14:val="tx1"/>
            </w14:solidFill>
          </w14:textFill>
        </w:rPr>
        <w:t>。</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9.4 用“银行保函”形式提交的：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9.4.1 采用招标文件提供的格式或采购代理机构接受的其他格式；</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9.4.2 由中华人民共和国境内的银行出具的银行保函；</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9.4.3 有效期应当与投标有效期一致。</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9.4.4 凡未按规定交纳投标保证金的投标，为无效投标。</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9.4.5 如无质疑或投诉，未中标的投标人保证金，在中标通知书发出后五个工作日内原额退还；如有质疑或投诉，将在质疑和投诉处理完毕后原额退还。</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9.5 中标人的投标保证金,在中标人与采购人签订采购合同后5 个工作日内原额退还。</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9.6 有下列情形之一的，投标保证金将被依法</w:t>
      </w:r>
      <w:r>
        <w:rPr>
          <w:rFonts w:hint="eastAsia" w:eastAsia="宋体"/>
          <w:color w:val="000000" w:themeColor="text1"/>
          <w:sz w:val="24"/>
          <w:szCs w:val="21"/>
          <w:highlight w:val="none"/>
          <w14:textFill>
            <w14:solidFill>
              <w14:schemeClr w14:val="tx1"/>
            </w14:solidFill>
          </w14:textFill>
        </w:rPr>
        <w:t>不予退还</w:t>
      </w:r>
      <w:r>
        <w:rPr>
          <w:rFonts w:eastAsia="宋体"/>
          <w:color w:val="000000" w:themeColor="text1"/>
          <w:sz w:val="24"/>
          <w:szCs w:val="21"/>
          <w:highlight w:val="none"/>
          <w14:textFill>
            <w14:solidFill>
              <w14:schemeClr w14:val="tx1"/>
            </w14:solidFill>
          </w14:textFill>
        </w:rPr>
        <w:t>：</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9.6.1 从投标截止时间到投标有效期满前，投标人撤</w:t>
      </w:r>
      <w:r>
        <w:rPr>
          <w:rFonts w:hint="eastAsia" w:eastAsia="宋体"/>
          <w:color w:val="000000" w:themeColor="text1"/>
          <w:sz w:val="24"/>
          <w:szCs w:val="21"/>
          <w:highlight w:val="none"/>
          <w14:textFill>
            <w14:solidFill>
              <w14:schemeClr w14:val="tx1"/>
            </w14:solidFill>
          </w14:textFill>
        </w:rPr>
        <w:t>销</w:t>
      </w:r>
      <w:r>
        <w:rPr>
          <w:rFonts w:eastAsia="宋体"/>
          <w:color w:val="000000" w:themeColor="text1"/>
          <w:sz w:val="24"/>
          <w:szCs w:val="21"/>
          <w:highlight w:val="none"/>
          <w14:textFill>
            <w14:solidFill>
              <w14:schemeClr w14:val="tx1"/>
            </w14:solidFill>
          </w14:textFill>
        </w:rPr>
        <w:t>投标；</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9.6.2 中标后无正当理由放弃中标或不与采购人签订合同的；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9.6.3 中标人未能按招标文件的要求在规定期限内提交足额履约保证金；</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9.6.4 投标人在采购或合同签订过程中存在欺诈行为（包括但不限于拖延签订、提供虚假证明材料、不按采购人要求做履约准备）；</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9.6.5 将中标项目转让给他人，或者在投标文件中未说明，且未经采购人同意，违反招标文件规定，将中标项目分包给他人的。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9.6.6 投标人存在串通投标、围标的情况；</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9.6.7 法律、法规或本招标（采购）文件规定的其他情形。</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10.投标报价</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 xml:space="preserve">10.1投标人应按照招标文件提供的投标报价格式填写提供各项货物及服务的单价、分项总价和总投标价。由于分项报价填报不完整、不清楚或存在其他任何失误，所导致的任何不利后果均应当由投标人自行承担。 </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10.2 投标人从中华人民共和国境内提供的货物和服务应报货交采购人指定地点/仓库（包括安装至指定位置）含税人民币价，产地为中国但不属于海关特殊监管区域的货物，按海关规定不能申请免税及使用外汇支付，供应商的报价应为人民币含税价。</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10.3报价包括与该项目有关的一切费用如安装调试费、运输、保险、服务培训费、货物的税金、项目验收时的试剂耗材、强制性第三方监督检验机构的验收检验费用等。投标总价应为各分项合计价格之和。与总项目相关的安装调试等费用须分摊计入各分项，不得以单项计费。投标总价中不得包含招标文件要求以外的内容，否则，在评标时不予核减。任何有选择性报价的投标，将被视为投标无效。</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14:textFill>
            <w14:solidFill>
              <w14:schemeClr w14:val="tx1"/>
            </w14:solidFill>
          </w14:textFill>
        </w:rPr>
      </w:pPr>
      <w:r>
        <w:rPr>
          <w:rFonts w:eastAsia="宋体"/>
          <w:color w:val="000000" w:themeColor="text1"/>
          <w:sz w:val="24"/>
          <w:szCs w:val="21"/>
          <w:highlight w:val="none"/>
          <w14:textFill>
            <w14:solidFill>
              <w14:schemeClr w14:val="tx1"/>
            </w14:solidFill>
          </w14:textFill>
        </w:rPr>
        <w:t>10.4对于有配件、耗材、选件和特殊工具的货物，还应填报投标货物配件、耗材、选件表和备件及特殊工具清单，注明品牌、型号、产地、功能、单价、批量折扣等内容。对于有特殊需求的服务内容，如招标文件未提供相关格式的，应由投标人自行设计。</w:t>
      </w:r>
    </w:p>
    <w:p>
      <w:pPr>
        <w:pStyle w:val="34"/>
        <w:tabs>
          <w:tab w:val="left" w:pos="720"/>
          <w:tab w:val="clear" w:pos="540"/>
        </w:tabs>
        <w:spacing w:line="288" w:lineRule="auto"/>
        <w:ind w:left="0" w:firstLine="480" w:firstLineChars="200"/>
        <w:jc w:val="both"/>
        <w:rPr>
          <w:b/>
          <w:color w:val="000000" w:themeColor="text1"/>
          <w:highlight w:val="none"/>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10.5投标人漏报的单价或每单价报价中漏报、少报的费用，视为此项费用已隐含在投标报价中，中标后不得再向</w:t>
      </w:r>
      <w:r>
        <w:rPr>
          <w:rFonts w:eastAsia="宋体"/>
          <w:color w:val="000000" w:themeColor="text1"/>
          <w:sz w:val="24"/>
          <w:szCs w:val="21"/>
          <w:highlight w:val="none"/>
          <w14:textFill>
            <w14:solidFill>
              <w14:schemeClr w14:val="tx1"/>
            </w14:solidFill>
          </w14:textFill>
        </w:rPr>
        <w:t>采购人</w:t>
      </w:r>
      <w:r>
        <w:rPr>
          <w:rFonts w:eastAsia="宋体"/>
          <w:color w:val="000000" w:themeColor="text1"/>
          <w:sz w:val="24"/>
          <w:szCs w:val="21"/>
          <w:highlight w:val="none"/>
          <w:lang w:val="zh-CN"/>
          <w14:textFill>
            <w14:solidFill>
              <w14:schemeClr w14:val="tx1"/>
            </w14:solidFill>
          </w14:textFill>
        </w:rPr>
        <w:t>收取任何费用。</w:t>
      </w:r>
      <w:r>
        <w:rPr>
          <w:rFonts w:hint="eastAsia" w:eastAsia="宋体"/>
          <w:color w:val="000000" w:themeColor="text1"/>
          <w:sz w:val="24"/>
          <w:szCs w:val="21"/>
          <w:highlight w:val="none"/>
          <w:lang w:val="zh-CN"/>
          <w14:textFill>
            <w14:solidFill>
              <w14:schemeClr w14:val="tx1"/>
            </w14:solidFill>
          </w14:textFill>
        </w:rPr>
        <w:t>同时，招标文件中有“免费”字样，其均指投标人应当在投标报价中包含向采购人提供的技术（服务）或商务（服务）事项，而并非要求投标人以“赠送”、“赠与”等方式提供。</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10.6投标人按照上述要求分类报价，其目的是便于评标，但在任何情况下并不限制采购人或招标代理机构以其他条款签订合同的权利。</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10.7采购人不接受品牌、型号、配置和价格等有任何选择的投标，投标人在某一合同包内有任何选择的，将视为投标无效(招标文件有特别说明的除外)。</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10.8投标人不得以任何理由在开标后对投标报价予以修改，报价在投标有效期及合同执行期间是固定的，不得以任何理由予以变更。任何包含价格调整要求和条件的投标，将被视为非实质性响应投标而予以拒绝。</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10.9最低报价不能作为中标的保证。</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10.10若供应商的报价明显低于其他供应商投标报价，评标委员会认为其投标报价可能低于其个别成本的，供应商应按要求作出书面说明并提供相关证明材料。供应商不能合理说明或不能提供相关证明材料的，由评标委员会认定该供应商以低于成本价报价投标（响应），应作无效响应或否决其投标处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10.11投标文件报价出现前后不一致的，按照下列规定修正：</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10.11.1投标文件中开标一览表内容与投标文件中相应内容不一致的，以开标一览表为准；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10.11.2大写金额和小写金额不一致的，以大写金额为准；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10.11.3单价金额小数点或者百分比有明显错位的，以开标一览表的总价为准，并修改单价；</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10.11.4总价金额与按单价汇总金额不一致的，以单价金额汇总计算结果为准。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10.11.5同时出现两种以上不一致的，按照前款规定的顺序修正。修正后的报价经投标人确认后产生约束力，投标人不确认的，其投标无效。</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10.12 本次招标向中标人收取的招标代理服务费，按国家有关规定执行。</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(1)招标代理服务费不列在投标报价中。</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(2)中标人在收到中标通知书当天向采购代理机构交纳招标代理服务费。</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(3)招标代理服务费以银行付款的形式用人民币一次性支付，由中标人一次性向</w:t>
      </w:r>
      <w:r>
        <w:rPr>
          <w:rFonts w:hint="eastAsia" w:eastAsia="宋体"/>
          <w:color w:val="000000" w:themeColor="text1"/>
          <w:sz w:val="24"/>
          <w:szCs w:val="21"/>
          <w:highlight w:val="none"/>
          <w:lang w:val="zh-CN"/>
          <w14:textFill>
            <w14:solidFill>
              <w14:schemeClr w14:val="tx1"/>
            </w14:solidFill>
          </w14:textFill>
        </w:rPr>
        <w:t>广东华伦招标有限公司</w:t>
      </w:r>
      <w:r>
        <w:rPr>
          <w:rFonts w:eastAsia="宋体"/>
          <w:color w:val="000000" w:themeColor="text1"/>
          <w:sz w:val="24"/>
          <w:szCs w:val="21"/>
          <w:highlight w:val="none"/>
          <w:lang w:val="zh-CN"/>
          <w14:textFill>
            <w14:solidFill>
              <w14:schemeClr w14:val="tx1"/>
            </w14:solidFill>
          </w14:textFill>
        </w:rPr>
        <w:t>交付，递交账户（请在汇款单上写明本项目的项目编号）：</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hint="eastAsia" w:eastAsia="宋体"/>
          <w:color w:val="000000" w:themeColor="text1"/>
          <w:sz w:val="24"/>
          <w:szCs w:val="21"/>
          <w:highlight w:val="none"/>
          <w:lang w:val="zh-CN"/>
          <w14:textFill>
            <w14:solidFill>
              <w14:schemeClr w14:val="tx1"/>
            </w14:solidFill>
          </w14:textFill>
        </w:rPr>
        <w:t>开户名称：广东华伦招标有限公司</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hint="eastAsia" w:eastAsia="宋体"/>
          <w:color w:val="000000" w:themeColor="text1"/>
          <w:sz w:val="24"/>
          <w:szCs w:val="21"/>
          <w:highlight w:val="none"/>
          <w:lang w:val="zh-CN"/>
          <w14:textFill>
            <w14:solidFill>
              <w14:schemeClr w14:val="tx1"/>
            </w14:solidFill>
          </w14:textFill>
        </w:rPr>
        <w:t>开户银行：中信银行广州北京路支行</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hint="eastAsia" w:eastAsia="宋体"/>
          <w:color w:val="000000" w:themeColor="text1"/>
          <w:sz w:val="24"/>
          <w:szCs w:val="21"/>
          <w:highlight w:val="none"/>
          <w:lang w:val="zh-CN"/>
          <w14:textFill>
            <w14:solidFill>
              <w14:schemeClr w14:val="tx1"/>
            </w14:solidFill>
          </w14:textFill>
        </w:rPr>
        <w:t>账    户：7443400182600049783</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(4)参照国家发展计划委员会颁发的[2002]1980 号文《招标代理服务收费管理暂行办法》及发改价格[2011]534 号文的规定交纳招标代理服务费下浮25%，具体如下：</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招标代理服务收费按差额定率累进法计算，以中标通知书中确定的“</w:t>
      </w:r>
      <w:r>
        <w:rPr>
          <w:rFonts w:hint="eastAsia" w:eastAsia="宋体"/>
          <w:color w:val="000000" w:themeColor="text1"/>
          <w:sz w:val="24"/>
          <w:szCs w:val="21"/>
          <w:highlight w:val="none"/>
          <w:lang w:val="zh-CN"/>
          <w14:textFill>
            <w14:solidFill>
              <w14:schemeClr w14:val="tx1"/>
            </w14:solidFill>
          </w14:textFill>
        </w:rPr>
        <w:t>中标金额（或</w:t>
      </w:r>
      <w:r>
        <w:rPr>
          <w:rFonts w:eastAsia="宋体"/>
          <w:color w:val="000000" w:themeColor="text1"/>
          <w:sz w:val="24"/>
          <w:szCs w:val="21"/>
          <w:highlight w:val="none"/>
          <w:lang w:val="zh-CN"/>
          <w14:textFill>
            <w14:solidFill>
              <w14:schemeClr w14:val="tx1"/>
            </w14:solidFill>
          </w14:textFill>
        </w:rPr>
        <w:t>中标单价*数量</w:t>
      </w:r>
      <w:r>
        <w:rPr>
          <w:rFonts w:hint="eastAsia" w:eastAsia="宋体"/>
          <w:color w:val="000000" w:themeColor="text1"/>
          <w:sz w:val="24"/>
          <w:szCs w:val="21"/>
          <w:highlight w:val="none"/>
          <w:lang w:val="zh-CN"/>
          <w14:textFill>
            <w14:solidFill>
              <w14:schemeClr w14:val="tx1"/>
            </w14:solidFill>
          </w14:textFill>
        </w:rPr>
        <w:t>）</w:t>
      </w:r>
      <w:r>
        <w:rPr>
          <w:rFonts w:eastAsia="宋体"/>
          <w:color w:val="000000" w:themeColor="text1"/>
          <w:sz w:val="24"/>
          <w:szCs w:val="21"/>
          <w:highlight w:val="none"/>
          <w:lang w:val="zh-CN"/>
          <w14:textFill>
            <w14:solidFill>
              <w14:schemeClr w14:val="tx1"/>
            </w14:solidFill>
          </w14:textFill>
        </w:rPr>
        <w:t>”作为收费的计算依据。本项目为</w:t>
      </w:r>
      <w:r>
        <w:rPr>
          <w:rFonts w:hint="eastAsia" w:eastAsia="宋体"/>
          <w:color w:val="000000" w:themeColor="text1"/>
          <w:sz w:val="24"/>
          <w:szCs w:val="21"/>
          <w:highlight w:val="none"/>
          <w:lang w:val="zh-CN"/>
          <w14:textFill>
            <w14:solidFill>
              <w14:schemeClr w14:val="tx1"/>
            </w14:solidFill>
          </w14:textFill>
        </w:rPr>
        <w:t>服务</w:t>
      </w:r>
      <w:r>
        <w:rPr>
          <w:rFonts w:eastAsia="宋体"/>
          <w:color w:val="000000" w:themeColor="text1"/>
          <w:sz w:val="24"/>
          <w:szCs w:val="21"/>
          <w:highlight w:val="none"/>
          <w:lang w:val="zh-CN"/>
          <w14:textFill>
            <w14:solidFill>
              <w14:schemeClr w14:val="tx1"/>
            </w14:solidFill>
          </w14:textFill>
        </w:rPr>
        <w:t>类，中标金额的各部分费率如下表：</w:t>
      </w:r>
    </w:p>
    <w:tbl>
      <w:tblPr>
        <w:tblStyle w:val="39"/>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31750</wp:posOffset>
                      </wp:positionV>
                      <wp:extent cx="1744345" cy="942975"/>
                      <wp:effectExtent l="0" t="0" r="27305" b="2857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flipH="1" flipV="1">
                                <a:off x="0" y="0"/>
                                <a:ext cx="1744345" cy="9429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3.55pt;margin-top:2.5pt;height:74.25pt;width:137.35pt;z-index:251659264;mso-width-relative:page;mso-height-relative:page;" filled="f" stroked="t" coordsize="21600,21600" o:gfxdata="UEsDBAoAAAAAAIdO4kAAAAAAAAAAAAAAAAAEAAAAZHJzL1BLAwQUAAAACACHTuJAIDdt9tQAAAAI&#10;AQAADwAAAGRycy9kb3ducmV2LnhtbE2PzU7DMBCE70i8g7VI3FonRflRiNNDpT5AC6o4uvE2jrDX&#10;IXab8vYsJziOZjTzTbu9eyduOMcxkIJ8nYFA6oMZaVDw/rZf1SBi0mS0C4QKvjHCtnt8aHVjwkIH&#10;vB3TILiEYqMV2JSmRsrYW/Q6rsOExN4lzF4nlvMgzawXLvdObrKslF6PxAtWT7iz2H8er16Bq7P6&#10;67Srlo+D4ZX9yVmqcqWen/LsFUTCe/oLwy8+o0PHTOdwJROFU7Cqck4qKPgR25uyKkGcOVe8FCC7&#10;Vv4/0P0AUEsDBBQAAAAIAIdO4kA799Ef9gEAAMUDAAAOAAAAZHJzL2Uyb0RvYy54bWytU7FyEzEQ&#10;7ZnhHzTq8dnGJuTG5xT2BIoAnkmgl3U6nwZJq9HKPvsn+AFm6EhFSc/fJPkMVrJxQmhScIVmpd19&#10;+/bt3uRsaw3bqIAaXMUHvT5nykmotVtV/OPV+YvXnGEUrhYGnKr4TiE/mz5/Nul8qYbQgqlVYATi&#10;sOx8xdsYfVkUKFtlBfbAK0fOBoIVka5hVdRBdIRuTTHs918VHYTaB5AKkV7neyc/IIanAELTaKnm&#10;INdWubhHDcqISC1hqz3yaWbbNErGD02DKjJTceo05pOKkL1MZzGdiHIVhG+1PFAQT6HwqCcrtKOi&#10;R6i5iIKtg/4HymoZAKGJPQm22DeSFaEuBv1H2ly2wqvcC0mN/ig6/j9Y+X6zCEzXtAljzpywNPHb&#10;rz9vvny/+/WNztsf14w8JFPnsaTomVuE1Kjcukt/AfIzMgezVriVynSvdp4gBimj+CslXdBTsWX3&#10;DmqKEesIWbNtEyxrjPZvU2K2PiUrlSGF2DaPa3ccl9pGJulxcDIavRwRbUm+09Hw9CQTLUSZEFO2&#10;DxjfKLAsGRU32iU5RSk2FxgTw/uQ9OzgXBuTV8I41hHoeDjOCQhG18mZwjCsljMT2Eakpcpfbpc8&#10;D8MCrF29L2LcQY0kwF7KJdS7RfijEk03szlsYlqfh/ecff/3T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Ddt9tQAAAAIAQAADwAAAAAAAAABACAAAAAiAAAAZHJzL2Rvd25yZXYueG1sUEsBAhQA&#10;FAAAAAgAh07iQDv30R/2AQAAxQMAAA4AAAAAAAAAAQAgAAAAIwEAAGRycy9lMm9Eb2MueG1sUEsF&#10;BgAAAAAGAAYAWQEAAIsFAAAAAA==&#10;">
                      <v:fill on="f" focussize="0,0"/>
                      <v:stroke color="#000000" joinstyle="round"/>
                      <v:imagedata o:title=""/>
                      <o:lock v:ext="edit" aspectratio="f"/>
                    </v:line>
                  </w:pict>
                </mc:Fallback>
              </mc:AlternateContent>
            </w:r>
            <w:r>
              <w:rPr>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0</wp:posOffset>
                      </wp:positionV>
                      <wp:extent cx="1763395" cy="380365"/>
                      <wp:effectExtent l="0" t="0" r="8255" b="63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H="1" flipV="1">
                                <a:off x="0" y="0"/>
                                <a:ext cx="1763395" cy="38036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pt;margin-top:0pt;height:29.95pt;width:138.85pt;z-index:251660288;mso-width-relative:page;mso-height-relative:page;" filled="f" stroked="t" coordsize="21600,21600" o:gfxdata="UEsDBAoAAAAAAIdO4kAAAAAAAAAAAAAAAAAEAAAAZHJzL1BLAwQUAAAACACHTuJADeKc6dMAAAAG&#10;AQAADwAAAGRycy9kb3ducmV2LnhtbE2PwW7CMBBE75X6D9ZW6g3s0BaSNA4HJD4AWiGOJl6SCHud&#10;xobQv+/21B5HM5p5U63v3okbjrEPpCGbKxBITbA9tRo+P7azHERMhqxxgVDDN0ZY148PlSltmGiH&#10;t31qBZdQLI2GLqWhlDI2HXoT52FAYu8cRm8Sy7GVdjQTl3snF0otpTc98UJnBtx02Fz2V6/B5Sr/&#10;OmxW03FneWV7cB2tMq2fnzL1DiLhPf2F4Ref0aFmplO4ko3CaZgVr5zUwIfYXSzzFxAnDW9FAbKu&#10;5H/8+gdQSwMEFAAAAAgAh07iQLDH8R31AQAAwwMAAA4AAABkcnMvZTJvRG9jLnhtbK1TzW4TMRC+&#10;I/EOlu9k86Mk7SqbHhIVDgUqtXB3vN6she2xPE42eQleAIkbnDhy520oj8HYCSktlx7YgzX2zHzf&#10;zDezs4udNWyrAmpwFR/0+pwpJ6HWbl3xd7eXL844wyhcLQw4VfG9Qn4xf/5s1vlSDaEFU6vACMRh&#10;2fmKtzH6sihQtsoK7IFXjpwNBCsiXcO6qIPoCN2aYtjvT4oOQu0DSIVIr8uDkx8Rw1MAoWm0VEuQ&#10;G6tcPKAGZUSklrDVHvk8V9s0Ssa3TYMqMlNx6jTmk0jIXqWzmM9EuQ7Ct1oeSxBPKeFRT1ZoR6Qn&#10;qKWIgm2C/gfKahkAoYk9CbY4NJIVoS4G/Ufa3LTCq9wLSY3+JDr+P1j5ZnsdmK4rPuXMCUsDv/v0&#10;/efHL79+fKbz7ttXNk0idR5Lil2465DalDt3469AfkDmYNEKt1a52Nu9J4RByigepKQLeqJada+h&#10;phixiZAV2zXBssZo/yolZut9shIN6cN2eVj707DULjJJj4PpZDQ6H3MmyTc6648m40wryoSYsn3A&#10;+FKBZcmouNEuiSlKsb3CmCq8D0nPDi61MXkhjGNdxc/Hw3FOQDC6Ts4UhmG9WpjAtiKtVP6OvA/C&#10;AmxcfSAx7qhGEuAg5Qrq/XX4oxLNNldz3MO0PH/fc/b9vzf/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3inOnTAAAABgEAAA8AAAAAAAAAAQAgAAAAIgAAAGRycy9kb3ducmV2LnhtbFBLAQIUABQA&#10;AAAIAIdO4kCwx/Ed9QEAAMMDAAAOAAAAAAAAAAEAIAAAACIBAABkcnMvZTJvRG9jLnhtbFBLBQYA&#10;AAAABgAGAFkBAACJBQAAAAA=&#10;">
                      <v:fill on="f" focussize="0,0"/>
                      <v:stroke color="#000000" joinstyle="round"/>
                      <v:imagedata o:title=""/>
                      <o:lock v:ext="edit" aspectratio="f"/>
                    </v:line>
                  </w:pict>
                </mc:Fallback>
              </mc:AlternateContent>
            </w:r>
            <w:r>
              <w:rPr>
                <w:color w:val="000000" w:themeColor="text1"/>
                <w:highlight w:val="none"/>
                <w14:textFill>
                  <w14:solidFill>
                    <w14:schemeClr w14:val="tx1"/>
                  </w14:solidFill>
                </w14:textFill>
              </w:rPr>
              <w:t>类  型</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费  率</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中标金额（万元）</w:t>
            </w:r>
          </w:p>
        </w:tc>
        <w:tc>
          <w:tcPr>
            <w:tcW w:w="198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货物招标</w:t>
            </w:r>
          </w:p>
        </w:tc>
        <w:tc>
          <w:tcPr>
            <w:tcW w:w="198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服务招标</w:t>
            </w:r>
          </w:p>
        </w:tc>
        <w:tc>
          <w:tcPr>
            <w:tcW w:w="1980"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100以下</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100-500</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0.8%</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500-1000</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0.8%</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0.45%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1000-5000</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0.25%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5000-10000</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0.25%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0.1%</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10000-50000</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50000-100000</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0.035%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0.035%</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100000-500000</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0.008%</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0.008%</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500000-1000000</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0.006%</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0.006%</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1000000以上</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0.004%</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0.004%</w:t>
            </w:r>
          </w:p>
        </w:tc>
        <w:tc>
          <w:tcPr>
            <w:tcW w:w="1980" w:type="dxa"/>
            <w:tcBorders>
              <w:top w:val="single" w:color="auto" w:sz="4" w:space="0"/>
              <w:left w:val="single" w:color="auto" w:sz="4" w:space="0"/>
              <w:bottom w:val="single" w:color="auto" w:sz="4" w:space="0"/>
              <w:right w:val="single" w:color="auto" w:sz="4" w:space="0"/>
            </w:tcBorders>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0.004%</w:t>
            </w:r>
          </w:p>
        </w:tc>
      </w:tr>
    </w:tbl>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如某</w:t>
      </w:r>
      <w:r>
        <w:rPr>
          <w:rFonts w:hint="eastAsia" w:eastAsia="宋体"/>
          <w:color w:val="000000" w:themeColor="text1"/>
          <w:sz w:val="24"/>
          <w:szCs w:val="21"/>
          <w:highlight w:val="none"/>
          <w:lang w:val="zh-CN"/>
          <w14:textFill>
            <w14:solidFill>
              <w14:schemeClr w14:val="tx1"/>
            </w14:solidFill>
          </w14:textFill>
        </w:rPr>
        <w:t>服务</w:t>
      </w:r>
      <w:r>
        <w:rPr>
          <w:rFonts w:eastAsia="宋体"/>
          <w:color w:val="000000" w:themeColor="text1"/>
          <w:sz w:val="24"/>
          <w:szCs w:val="21"/>
          <w:highlight w:val="none"/>
          <w:lang w:val="zh-CN"/>
          <w14:textFill>
            <w14:solidFill>
              <w14:schemeClr w14:val="tx1"/>
            </w14:solidFill>
          </w14:textFill>
        </w:rPr>
        <w:t>招标项目，中标金额为600 万元，总共交纳的招标代理服务费为：总共交纳的招标代理服务费＝[（100 万以下部分的招标代理服务费）+（100 万～500 万部分的招标代理服务费）+（500 万～600 万部分的招标代理服务费）]×(1-25%)</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＝[（100 万元×1.5%+（500-100）万元×</w:t>
      </w:r>
      <w:r>
        <w:rPr>
          <w:rFonts w:hint="eastAsia" w:eastAsia="宋体"/>
          <w:color w:val="000000" w:themeColor="text1"/>
          <w:sz w:val="24"/>
          <w:szCs w:val="21"/>
          <w:highlight w:val="none"/>
          <w:lang w:val="zh-CN"/>
          <w14:textFill>
            <w14:solidFill>
              <w14:schemeClr w14:val="tx1"/>
            </w14:solidFill>
          </w14:textFill>
        </w:rPr>
        <w:t>0.8</w:t>
      </w:r>
      <w:r>
        <w:rPr>
          <w:rFonts w:eastAsia="宋体"/>
          <w:color w:val="000000" w:themeColor="text1"/>
          <w:sz w:val="24"/>
          <w:szCs w:val="21"/>
          <w:highlight w:val="none"/>
          <w:lang w:val="zh-CN"/>
          <w14:textFill>
            <w14:solidFill>
              <w14:schemeClr w14:val="tx1"/>
            </w14:solidFill>
          </w14:textFill>
        </w:rPr>
        <w:t>%+（600-500）万元×0.</w:t>
      </w:r>
      <w:r>
        <w:rPr>
          <w:rFonts w:hint="eastAsia" w:eastAsia="宋体"/>
          <w:color w:val="000000" w:themeColor="text1"/>
          <w:sz w:val="24"/>
          <w:szCs w:val="21"/>
          <w:highlight w:val="none"/>
          <w:lang w:val="zh-CN"/>
          <w14:textFill>
            <w14:solidFill>
              <w14:schemeClr w14:val="tx1"/>
            </w14:solidFill>
          </w14:textFill>
        </w:rPr>
        <w:t>45</w:t>
      </w:r>
      <w:r>
        <w:rPr>
          <w:rFonts w:eastAsia="宋体"/>
          <w:color w:val="000000" w:themeColor="text1"/>
          <w:sz w:val="24"/>
          <w:szCs w:val="21"/>
          <w:highlight w:val="none"/>
          <w:lang w:val="zh-CN"/>
          <w14:textFill>
            <w14:solidFill>
              <w14:schemeClr w14:val="tx1"/>
            </w14:solidFill>
          </w14:textFill>
        </w:rPr>
        <w:t>%）]×(1-25%)</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＝（1.5 万元+</w:t>
      </w:r>
      <w:r>
        <w:rPr>
          <w:rFonts w:hint="eastAsia" w:eastAsia="宋体"/>
          <w:color w:val="000000" w:themeColor="text1"/>
          <w:sz w:val="24"/>
          <w:szCs w:val="21"/>
          <w:highlight w:val="none"/>
          <w:lang w:val="zh-CN"/>
          <w14:textFill>
            <w14:solidFill>
              <w14:schemeClr w14:val="tx1"/>
            </w14:solidFill>
          </w14:textFill>
        </w:rPr>
        <w:t>3.2</w:t>
      </w:r>
      <w:r>
        <w:rPr>
          <w:rFonts w:eastAsia="宋体"/>
          <w:color w:val="000000" w:themeColor="text1"/>
          <w:sz w:val="24"/>
          <w:szCs w:val="21"/>
          <w:highlight w:val="none"/>
          <w:lang w:val="zh-CN"/>
          <w14:textFill>
            <w14:solidFill>
              <w14:schemeClr w14:val="tx1"/>
            </w14:solidFill>
          </w14:textFill>
        </w:rPr>
        <w:t>万元+0.</w:t>
      </w:r>
      <w:r>
        <w:rPr>
          <w:rFonts w:hint="eastAsia" w:eastAsia="宋体"/>
          <w:color w:val="000000" w:themeColor="text1"/>
          <w:sz w:val="24"/>
          <w:szCs w:val="21"/>
          <w:highlight w:val="none"/>
          <w:lang w:val="zh-CN"/>
          <w14:textFill>
            <w14:solidFill>
              <w14:schemeClr w14:val="tx1"/>
            </w14:solidFill>
          </w14:textFill>
        </w:rPr>
        <w:t>45</w:t>
      </w:r>
      <w:r>
        <w:rPr>
          <w:rFonts w:eastAsia="宋体"/>
          <w:color w:val="000000" w:themeColor="text1"/>
          <w:sz w:val="24"/>
          <w:szCs w:val="21"/>
          <w:highlight w:val="none"/>
          <w:lang w:val="zh-CN"/>
          <w14:textFill>
            <w14:solidFill>
              <w14:schemeClr w14:val="tx1"/>
            </w14:solidFill>
          </w14:textFill>
        </w:rPr>
        <w:t xml:space="preserve"> 万元）×(1-25%)＝</w:t>
      </w:r>
      <w:r>
        <w:rPr>
          <w:rFonts w:hint="eastAsia" w:eastAsia="宋体"/>
          <w:color w:val="000000" w:themeColor="text1"/>
          <w:sz w:val="24"/>
          <w:szCs w:val="21"/>
          <w:highlight w:val="none"/>
          <w:lang w:val="zh-CN"/>
          <w14:textFill>
            <w14:solidFill>
              <w14:schemeClr w14:val="tx1"/>
            </w14:solidFill>
          </w14:textFill>
        </w:rPr>
        <w:t>3.8625</w:t>
      </w:r>
      <w:r>
        <w:rPr>
          <w:rFonts w:eastAsia="宋体"/>
          <w:color w:val="000000" w:themeColor="text1"/>
          <w:sz w:val="24"/>
          <w:szCs w:val="21"/>
          <w:highlight w:val="none"/>
          <w:lang w:val="zh-CN"/>
          <w14:textFill>
            <w14:solidFill>
              <w14:schemeClr w14:val="tx1"/>
            </w14:solidFill>
          </w14:textFill>
        </w:rPr>
        <w:t xml:space="preserve"> 万元。</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11.投标货币与计量</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11.1 投标人从中华人民共和国境内提供的货物和服务须用人民币报价；</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11.</w:t>
      </w:r>
      <w:r>
        <w:rPr>
          <w:rFonts w:hint="eastAsia" w:eastAsia="宋体"/>
          <w:color w:val="000000" w:themeColor="text1"/>
          <w:sz w:val="24"/>
          <w:szCs w:val="21"/>
          <w:highlight w:val="none"/>
          <w14:textFill>
            <w14:solidFill>
              <w14:schemeClr w14:val="tx1"/>
            </w14:solidFill>
          </w14:textFill>
        </w:rPr>
        <w:t>2</w:t>
      </w:r>
      <w:r>
        <w:rPr>
          <w:rFonts w:eastAsia="宋体"/>
          <w:color w:val="000000" w:themeColor="text1"/>
          <w:sz w:val="24"/>
          <w:szCs w:val="21"/>
          <w:highlight w:val="none"/>
          <w:lang w:val="zh-CN"/>
          <w14:textFill>
            <w14:solidFill>
              <w14:schemeClr w14:val="tx1"/>
            </w14:solidFill>
          </w14:textFill>
        </w:rPr>
        <w:t xml:space="preserve"> 投标计量单位：除非招标文件中另有规定，投标人在投标文件中及其与招标采购单位的所有往来文件中的计量单位均应采用中华人民共和国法定计量单位。</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12.投标人资格的证明文件</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12.1投标人应按规定提交证明其有资格参加投标和中标后有能力履行合同的文件，并作为其投标文件的一部分。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13.证明投标货物（或服务）符合招标文件技术要求的文件</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13.1投标人应提交证明其拟供货物和服务符合招标文件规定的技术</w:t>
      </w:r>
      <w:r>
        <w:rPr>
          <w:rFonts w:hint="eastAsia" w:eastAsia="宋体"/>
          <w:color w:val="000000" w:themeColor="text1"/>
          <w:sz w:val="24"/>
          <w:szCs w:val="21"/>
          <w:highlight w:val="none"/>
          <w:lang w:val="zh-CN"/>
          <w14:textFill>
            <w14:solidFill>
              <w14:schemeClr w14:val="tx1"/>
            </w14:solidFill>
          </w14:textFill>
        </w:rPr>
        <w:t>投标文件</w:t>
      </w:r>
      <w:r>
        <w:rPr>
          <w:rFonts w:eastAsia="宋体"/>
          <w:color w:val="000000" w:themeColor="text1"/>
          <w:sz w:val="24"/>
          <w:szCs w:val="21"/>
          <w:highlight w:val="none"/>
          <w:lang w:val="zh-CN"/>
          <w14:textFill>
            <w14:solidFill>
              <w14:schemeClr w14:val="tx1"/>
            </w14:solidFill>
          </w14:textFill>
        </w:rPr>
        <w:t>，作为投标文件的一部分。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13.2证明货物及相关服务与招标文件的要求一致的文件可以是文字资料、图纸、实物和数据，并应提供：</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13.2.1货物的型号、规格；</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13.2.2货物主要技术指标和性能的详细描述（包括提供具备资质的第三方测试机构出具的检测报告，如果用户需求书明确要求的话）；</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13.2.3详细的合同项下提供货物及相关服务的执行时间表及其实施措施，明确标注出影响合同执行的关键时间及因素；</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13.2.4保证货物正常和连续运转期间所需的所有备件和专用工具的详细清单，包括其价格和供货来源资料；</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13.2.5投标人应对招标文件技术要求逐条应答，并标明与招标文件条文的偏差和例外。对招标文件有具体规格、参数的指标，投标人必须提供其所投货物的具体参数值。</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14.知识产权和专利权</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14.1 投标人应保证采购人在中华人民共和国使用货物或其任何一部分时，如有第三方向采购人提出侵犯其专利权、商标权或其它知识产权的主张，该责任由投标人承担。</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14.2 投标价应包含所有应向所有权人支付的专利权、商标权或其它知识产权的有关费用及税费。</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15.保密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如采购人向投标人提供图纸、详细资料、样品、模型、模件和所有其他资料，这些均被视为保密资料，仅被用于它所规定的用途，除非得到采购人的同意，不能向任何第三方透露。</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16.投标有效期</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16.1投标文件应自投标规定的开标之日起，在“投标人须知前附表”规定的时间内保持有效。投标有效期不足的将被视为非实质响应而予以拒绝。</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16.2在特殊情况下，采购人和招标代理机构可征求投标人同意延长投标有效期。这种要求与答复均应以书面形式提交。投标人可以拒绝这种要求，但其投标保证金不会被没收。同意延期的投标人将不会被要求也不允许修改其投标，但可要求其相应延长投标保证金的有效期。第9条有关退还和没收投标保证金的规定在投标有效期的延长期内继续有效。</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17.不允许偏离的条款</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17.1 招标文件中的重要条款不允许偏离，如投标文件中对重要条款有偏离，则是投标人的风险。不允许偏离的条款如下列：</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17.1.1 第四部分中的合同条款；</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17.1.2 用户需求书中带“★”号的内容；</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17.1.3 招标文件规定的其它不允许偏离内容。</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17.2 下述条款不应视作不可偏离：</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17.2.1 用户需求书中未加注“★”号的条款；</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17.2.2 用户需求书中已明确投标人可提供其他优选方案部分。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17.3 投标文件中技术参数、功能或其他内容优于用户需求书要求部分不视作偏离，不构成投标无效，投标人对这种优于用户需求书要求的情况必须单独说明。用户需求书中标注有“★”号的条款必须实质性响应，负偏离（不满足要求）将导致投标无效；标有“▲”的为重要指标，如不满足将在评审评分中按照评分细则进行扣分，但不会导致投标无效。</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18.无效投标</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18.1投标人有下列情况之一的，投标无效：</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18.1.1未按招标文件的规定提交投标保证金的；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18.1.2投标文件未按招标文件要求签署、盖章的</w:t>
      </w:r>
      <w:r>
        <w:rPr>
          <w:rFonts w:hint="eastAsia" w:eastAsia="宋体"/>
          <w:color w:val="000000" w:themeColor="text1"/>
          <w:sz w:val="24"/>
          <w:szCs w:val="21"/>
          <w:highlight w:val="none"/>
          <w:lang w:val="zh-CN"/>
          <w14:textFill>
            <w14:solidFill>
              <w14:schemeClr w14:val="tx1"/>
            </w14:solidFill>
          </w14:textFill>
        </w:rPr>
        <w:t>（如投标人的投标文件已经加盖骑缝章，但具体某一个格式文件中出现未签字、未签章或者未盖章的三种情形之一的，不属于未按招标文件要求签署、盖章的情形，评标委员会可以结合投标文件响应情况，作出要求投标人作出澄清的决定）</w:t>
      </w:r>
      <w:r>
        <w:rPr>
          <w:rFonts w:eastAsia="宋体"/>
          <w:color w:val="000000" w:themeColor="text1"/>
          <w:sz w:val="24"/>
          <w:szCs w:val="21"/>
          <w:highlight w:val="none"/>
          <w:lang w:val="zh-CN"/>
          <w14:textFill>
            <w14:solidFill>
              <w14:schemeClr w14:val="tx1"/>
            </w14:solidFill>
          </w14:textFill>
        </w:rPr>
        <w:t>；</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18.1.3投标人不符合国家或者招标文件规定的资格条件，投标人资质存在明显瑕疵，证明文件无效或不全；</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18.1.4投标文件报价超过项目预算价格或最高限价；</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18.1.5投标文件附有采购人不能接受的条件；</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18.1.6投标文件未对招标文件作出实质性的响应或与招标文件有重大偏离；</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18.1.7投标文件响应招标文件的实质性内容不全或数据模糊、辨认不清或者拒不按照要求对投标文件进行澄清、说明或补正；</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18.1.8投标文件逾期提交；</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18.1.9投标文件中对同一标的有两个或以上的报价方案(招标文件有特别说明的除外)；</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18.1.10投标人被列入“信用中国”网站（www.creditchina.gov.cn）“失信被执行人”、“</w:t>
      </w:r>
      <w:r>
        <w:rPr>
          <w:rFonts w:hint="eastAsia" w:eastAsia="宋体"/>
          <w:color w:val="000000" w:themeColor="text1"/>
          <w:sz w:val="24"/>
          <w:szCs w:val="21"/>
          <w:highlight w:val="none"/>
          <w:lang w:val="zh-CN"/>
          <w14:textFill>
            <w14:solidFill>
              <w14:schemeClr w14:val="tx1"/>
            </w14:solidFill>
          </w14:textFill>
        </w:rPr>
        <w:t>重大税收违法失信主体</w:t>
      </w:r>
      <w:r>
        <w:rPr>
          <w:rFonts w:eastAsia="宋体"/>
          <w:color w:val="000000" w:themeColor="text1"/>
          <w:sz w:val="24"/>
          <w:szCs w:val="21"/>
          <w:highlight w:val="none"/>
          <w:lang w:val="zh-CN"/>
          <w14:textFill>
            <w14:solidFill>
              <w14:schemeClr w14:val="tx1"/>
            </w14:solidFill>
          </w14:textFill>
        </w:rPr>
        <w:t>名单”、“政府采购严重违法失信名单”记录名单的；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18.1.11投标人处于中国政府采购网（www.ccgp.gov.cn）“政府采购严重违法失信行为信息记录”中的禁止参加政府采购活动期间的；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18.1.12投标人与本招标项目其它投标人存在招标文件第三部分“投标人须知”第“4.3”条所称关联关系的。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18.2有下列情形之一的，视为投标人串通投标，其投标无效：</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18.2.1投标文件与本招标项目其它投标人的投标文件为同一单位或同一个人编制的；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18.2.2 不同投标人委托同一单位或者个人办理投标事宜：</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18.2.3 投标文件与本招标项目其它投标人的投标文件载明的授权代表出现相同的，或投标文件载明的项目管理成员或者联系人员为同一人的；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18.2.4 投标文件与本招标项目其它投标人的投标文件相互混装的；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18.2.5与本招标项目其它投标人使用同一个人或者企业资金交纳投标保证金的；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18.2.6评标委员会认定的其他串通投标情形，如认定投标文件异常一致或者投标报价呈规律性差异的。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18.3 投标文件技术规格中的响应与事实不符或虚假投标的。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18.4 投标文件所提供的材料不真实。</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18.5 投标人有《中华人民共和国反不正当竞争法》所列的不正当竞争行为。</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18.6 采取不正当手段诋毁、排挤其他投标人的。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18.7 与中山大学附属第三医院</w:t>
      </w:r>
      <w:r>
        <w:rPr>
          <w:rFonts w:hint="eastAsia" w:eastAsia="宋体"/>
          <w:color w:val="000000" w:themeColor="text1"/>
          <w:sz w:val="24"/>
          <w:szCs w:val="21"/>
          <w:highlight w:val="none"/>
          <w:lang w:val="zh-CN"/>
          <w14:textFill>
            <w14:solidFill>
              <w14:schemeClr w14:val="tx1"/>
            </w14:solidFill>
          </w14:textFill>
        </w:rPr>
        <w:t>招标采购中心</w:t>
      </w:r>
      <w:r>
        <w:rPr>
          <w:rFonts w:eastAsia="宋体"/>
          <w:color w:val="000000" w:themeColor="text1"/>
          <w:sz w:val="24"/>
          <w:szCs w:val="21"/>
          <w:highlight w:val="none"/>
          <w:lang w:val="zh-CN"/>
          <w14:textFill>
            <w14:solidFill>
              <w14:schemeClr w14:val="tx1"/>
            </w14:solidFill>
          </w14:textFill>
        </w:rPr>
        <w:t>、项目使用单位及个人、评标专家或招标代理机构恶意串通或向其提供不正当利益的。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18.8 投标人有上述第18.2至18.7 条情形之一的，采购人将取消其本项目投标资格，将被视为失信行为列入供应商评价记录，情节严重者将可能导致在网上进行实名通报。</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19.投标文件的式样和文件签署</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19.1投标人应准备一份投标文件正本和“投标人须知前附表”规定数目的副本，每套投标文件应清楚地标明“正本”或“副本”。副本应与正本内容一致，若副本与正本存在不符之处，以正本为准。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19.2任何行间插字、涂改和增删，必须由投标人或经正式授权的代表在旁边签字或加盖公章后有效。</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19.3电报、电传和传真投标文件一律不接受。</w:t>
      </w:r>
    </w:p>
    <w:p>
      <w:pPr>
        <w:rPr>
          <w:color w:val="000000" w:themeColor="text1"/>
          <w:highlight w:val="none"/>
          <w14:textFill>
            <w14:solidFill>
              <w14:schemeClr w14:val="tx1"/>
            </w14:solidFill>
          </w14:textFill>
        </w:rPr>
      </w:pPr>
    </w:p>
    <w:p>
      <w:pPr>
        <w:tabs>
          <w:tab w:val="left" w:pos="721"/>
          <w:tab w:val="left" w:pos="840"/>
        </w:tabs>
        <w:rPr>
          <w:b/>
          <w:bCs/>
          <w:color w:val="000000" w:themeColor="text1"/>
          <w:sz w:val="24"/>
          <w:highlight w:val="none"/>
          <w14:textFill>
            <w14:solidFill>
              <w14:schemeClr w14:val="tx1"/>
            </w14:solidFill>
          </w14:textFill>
        </w:rPr>
      </w:pPr>
      <w:bookmarkStart w:id="27" w:name="_Toc342594062"/>
      <w:bookmarkStart w:id="28" w:name="_Toc7058"/>
      <w:bookmarkStart w:id="29" w:name="_Toc342615370"/>
      <w:bookmarkStart w:id="30" w:name="_Toc102987725"/>
      <w:bookmarkStart w:id="31" w:name="_Toc102987387"/>
      <w:bookmarkStart w:id="32" w:name="_Toc102987760"/>
      <w:r>
        <w:rPr>
          <w:b/>
          <w:bCs/>
          <w:color w:val="000000" w:themeColor="text1"/>
          <w:sz w:val="24"/>
          <w:highlight w:val="none"/>
          <w14:textFill>
            <w14:solidFill>
              <w14:schemeClr w14:val="tx1"/>
            </w14:solidFill>
          </w14:textFill>
        </w:rPr>
        <w:t>四、</w:t>
      </w:r>
      <w:bookmarkEnd w:id="27"/>
      <w:bookmarkEnd w:id="28"/>
      <w:bookmarkEnd w:id="29"/>
      <w:r>
        <w:rPr>
          <w:b/>
          <w:bCs/>
          <w:color w:val="000000" w:themeColor="text1"/>
          <w:sz w:val="24"/>
          <w:highlight w:val="none"/>
          <w14:textFill>
            <w14:solidFill>
              <w14:schemeClr w14:val="tx1"/>
            </w14:solidFill>
          </w14:textFill>
        </w:rPr>
        <w:t>投标文件的提交</w:t>
      </w:r>
      <w:bookmarkEnd w:id="30"/>
      <w:bookmarkEnd w:id="31"/>
      <w:bookmarkEnd w:id="32"/>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20.投标文件的密封和标记</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20.1投标文件的装订要求：规范打印，A4幅面左侧无线胶装，不得采用活页夹。</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20.2投标文件的正本和副本应分开包装，加贴封条，并加盖投标人单位公章。</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20.3密封袋的正面均应标明以下字样：</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 xml:space="preserve">采购人名称：                      </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 xml:space="preserve">项目编号：                      </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 xml:space="preserve">项目名称：                    </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hint="eastAsia" w:eastAsia="宋体"/>
          <w:color w:val="000000" w:themeColor="text1"/>
          <w:sz w:val="24"/>
          <w:szCs w:val="21"/>
          <w:highlight w:val="none"/>
          <w:lang w:val="zh-CN"/>
          <w14:textFill>
            <w14:solidFill>
              <w14:schemeClr w14:val="tx1"/>
            </w14:solidFill>
          </w14:textFill>
        </w:rPr>
        <w:t>包组</w:t>
      </w:r>
      <w:r>
        <w:rPr>
          <w:rFonts w:eastAsia="宋体"/>
          <w:color w:val="000000" w:themeColor="text1"/>
          <w:sz w:val="24"/>
          <w:szCs w:val="21"/>
          <w:highlight w:val="none"/>
          <w:lang w:val="zh-CN"/>
          <w14:textFill>
            <w14:solidFill>
              <w14:schemeClr w14:val="tx1"/>
            </w14:solidFill>
          </w14:textFill>
        </w:rPr>
        <w:t xml:space="preserve">：                      </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 xml:space="preserve">投标单位名称：                    </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在       年    月    日      时（北京时间）前不得启封</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20.4采购人和招标代理机构对误投或过早启封概不负责。采购人和招标代理机构拒收未成册和未按以上要求封装的投标文件。</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14:textFill>
            <w14:solidFill>
              <w14:schemeClr w14:val="tx1"/>
            </w14:solidFill>
          </w14:textFill>
        </w:rPr>
      </w:pPr>
      <w:r>
        <w:rPr>
          <w:rFonts w:ascii="Times New Roman" w:hAnsi="Times New Roman" w:eastAsia="宋体"/>
          <w:color w:val="000000" w:themeColor="text1"/>
          <w:sz w:val="24"/>
          <w:szCs w:val="24"/>
          <w:highlight w:val="none"/>
          <w14:textFill>
            <w14:solidFill>
              <w14:schemeClr w14:val="tx1"/>
            </w14:solidFill>
          </w14:textFill>
        </w:rPr>
        <w:t>21.投标截止期</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21.1投标人应在不迟于“投标人须知前附表”中规定的截止日期和时间将投标文件按照“投标人须知前附表”中载明的地址递交。</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21.2采购人和招标代理机构可以按第6条规定，通过修改招标文件自行决定酌情延长投标截止期限。在此情况下，采购人、招标代理机构和投标人受投标截止期制约的所有权利和义务均应延长至新的截止日期。</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lang w:val="zh-CN"/>
          <w14:textFill>
            <w14:solidFill>
              <w14:schemeClr w14:val="tx1"/>
            </w14:solidFill>
          </w14:textFill>
        </w:rPr>
      </w:pPr>
      <w:r>
        <w:rPr>
          <w:rFonts w:ascii="Times New Roman" w:hAnsi="Times New Roman" w:eastAsia="宋体"/>
          <w:color w:val="000000" w:themeColor="text1"/>
          <w:sz w:val="24"/>
          <w:szCs w:val="24"/>
          <w:highlight w:val="none"/>
          <w:lang w:val="zh-CN"/>
          <w14:textFill>
            <w14:solidFill>
              <w14:schemeClr w14:val="tx1"/>
            </w14:solidFill>
          </w14:textFill>
        </w:rPr>
        <w:t>22.提交投标文件</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22.1采购人（或招标代理机构）将拒绝并原封退回在规定的投标截止期后收到的任何投标文件。</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22.2供应商在接受采购邀约并办理报名后，无正当理由不按时提交投标文件（包括报名同一项目的多个包组，放弃其中部分包组的情形），并且在提交投标文件截止时间</w:t>
      </w:r>
      <w:r>
        <w:rPr>
          <w:rFonts w:hint="eastAsia" w:eastAsia="宋体"/>
          <w:color w:val="000000" w:themeColor="text1"/>
          <w:sz w:val="24"/>
          <w:szCs w:val="21"/>
          <w:highlight w:val="none"/>
          <w:lang w:val="zh-CN"/>
          <w14:textFill>
            <w14:solidFill>
              <w14:schemeClr w14:val="tx1"/>
            </w14:solidFill>
          </w14:textFill>
        </w:rPr>
        <w:t>3日</w:t>
      </w:r>
      <w:r>
        <w:rPr>
          <w:rFonts w:eastAsia="宋体"/>
          <w:color w:val="000000" w:themeColor="text1"/>
          <w:sz w:val="24"/>
          <w:szCs w:val="21"/>
          <w:highlight w:val="none"/>
          <w:lang w:val="zh-CN"/>
          <w14:textFill>
            <w14:solidFill>
              <w14:schemeClr w14:val="tx1"/>
            </w14:solidFill>
          </w14:textFill>
        </w:rPr>
        <w:t>前未以书面形式告知采购人（或采购代理机构）的，采购人将视为恶意放弃，在供应商库中予以记实。情节严重者将可能导致在网上进行实名通报。</w:t>
      </w:r>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lang w:val="zh-CN"/>
          <w14:textFill>
            <w14:solidFill>
              <w14:schemeClr w14:val="tx1"/>
            </w14:solidFill>
          </w14:textFill>
        </w:rPr>
      </w:pPr>
      <w:r>
        <w:rPr>
          <w:rFonts w:ascii="Times New Roman" w:hAnsi="Times New Roman" w:eastAsia="宋体"/>
          <w:color w:val="000000" w:themeColor="text1"/>
          <w:sz w:val="24"/>
          <w:szCs w:val="24"/>
          <w:highlight w:val="none"/>
          <w:lang w:val="zh-CN"/>
          <w14:textFill>
            <w14:solidFill>
              <w14:schemeClr w14:val="tx1"/>
            </w14:solidFill>
          </w14:textFill>
        </w:rPr>
        <w:t>23.投标文件的修改和撤回</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23.1投标人在递交投标文件后，在投标截止时间之前可以修改或撤回其投标文件，但投标人必须在投标截止时间之前将修改或撤回的书面通知递交至采购人（招标代理机构）。</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23.2投标人的修改或撤回通知书应按第20</w:t>
      </w:r>
      <w:r>
        <w:rPr>
          <w:rFonts w:hint="eastAsia" w:eastAsia="宋体"/>
          <w:color w:val="000000" w:themeColor="text1"/>
          <w:sz w:val="24"/>
          <w:szCs w:val="21"/>
          <w:highlight w:val="none"/>
          <w:lang w:val="zh-CN"/>
          <w14:textFill>
            <w14:solidFill>
              <w14:schemeClr w14:val="tx1"/>
            </w14:solidFill>
          </w14:textFill>
        </w:rPr>
        <w:t>条规定编制</w:t>
      </w:r>
      <w:r>
        <w:rPr>
          <w:rFonts w:eastAsia="宋体"/>
          <w:color w:val="000000" w:themeColor="text1"/>
          <w:sz w:val="24"/>
          <w:szCs w:val="21"/>
          <w:highlight w:val="none"/>
          <w:lang w:val="zh-CN"/>
          <w14:textFill>
            <w14:solidFill>
              <w14:schemeClr w14:val="tx1"/>
            </w14:solidFill>
          </w14:textFill>
        </w:rPr>
        <w:t>、密封、标记和递交。</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23.3在投标截止期之后，投标人不得对其投标做任何修改、补充和更换。</w:t>
      </w:r>
    </w:p>
    <w:p>
      <w:pPr>
        <w:pStyle w:val="34"/>
        <w:tabs>
          <w:tab w:val="left" w:pos="720"/>
          <w:tab w:val="clear" w:pos="540"/>
        </w:tabs>
        <w:spacing w:line="288" w:lineRule="auto"/>
        <w:ind w:left="0" w:firstLine="480" w:firstLineChars="200"/>
        <w:jc w:val="both"/>
        <w:rPr>
          <w:strike/>
          <w:color w:val="000000" w:themeColor="text1"/>
          <w:highlight w:val="none"/>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23.4从投标截止期至投标人在投标文件中载明的投标有效期满期间，投标人不得</w:t>
      </w:r>
      <w:r>
        <w:rPr>
          <w:rFonts w:hint="eastAsia" w:eastAsia="宋体"/>
          <w:color w:val="000000" w:themeColor="text1"/>
          <w:sz w:val="24"/>
          <w:szCs w:val="21"/>
          <w:highlight w:val="none"/>
          <w:lang w:val="zh-CN"/>
          <w14:textFill>
            <w14:solidFill>
              <w14:schemeClr w14:val="tx1"/>
            </w14:solidFill>
          </w14:textFill>
        </w:rPr>
        <w:t>撤销</w:t>
      </w:r>
      <w:r>
        <w:rPr>
          <w:rFonts w:eastAsia="宋体"/>
          <w:color w:val="000000" w:themeColor="text1"/>
          <w:sz w:val="24"/>
          <w:szCs w:val="21"/>
          <w:highlight w:val="none"/>
          <w:lang w:val="zh-CN"/>
          <w14:textFill>
            <w14:solidFill>
              <w14:schemeClr w14:val="tx1"/>
            </w14:solidFill>
          </w14:textFill>
        </w:rPr>
        <w:t>其投标，否则其投标保证金将按照第9.6条的规定</w:t>
      </w:r>
      <w:r>
        <w:rPr>
          <w:rFonts w:hint="eastAsia" w:eastAsia="宋体"/>
          <w:color w:val="000000" w:themeColor="text1"/>
          <w:sz w:val="24"/>
          <w:szCs w:val="21"/>
          <w:highlight w:val="none"/>
          <w:lang w:val="zh-CN"/>
          <w14:textFill>
            <w14:solidFill>
              <w14:schemeClr w14:val="tx1"/>
            </w14:solidFill>
          </w14:textFill>
        </w:rPr>
        <w:t>不予退还</w:t>
      </w:r>
      <w:r>
        <w:rPr>
          <w:rFonts w:eastAsia="宋体"/>
          <w:color w:val="000000" w:themeColor="text1"/>
          <w:sz w:val="24"/>
          <w:szCs w:val="21"/>
          <w:highlight w:val="none"/>
          <w:lang w:val="zh-CN"/>
          <w14:textFill>
            <w14:solidFill>
              <w14:schemeClr w14:val="tx1"/>
            </w14:solidFill>
          </w14:textFill>
        </w:rPr>
        <w:t>。且将被视为失信行为列入供应商评价记录，情节严重者将可能导致在网上进行实名通报。</w:t>
      </w:r>
    </w:p>
    <w:p>
      <w:pPr>
        <w:rPr>
          <w:color w:val="000000" w:themeColor="text1"/>
          <w:highlight w:val="none"/>
          <w14:textFill>
            <w14:solidFill>
              <w14:schemeClr w14:val="tx1"/>
            </w14:solidFill>
          </w14:textFill>
        </w:rPr>
      </w:pPr>
    </w:p>
    <w:p>
      <w:pPr>
        <w:tabs>
          <w:tab w:val="left" w:pos="720"/>
          <w:tab w:val="left" w:pos="840"/>
        </w:tabs>
        <w:rPr>
          <w:b/>
          <w:bCs/>
          <w:color w:val="000000" w:themeColor="text1"/>
          <w:sz w:val="24"/>
          <w:highlight w:val="none"/>
          <w14:textFill>
            <w14:solidFill>
              <w14:schemeClr w14:val="tx1"/>
            </w14:solidFill>
          </w14:textFill>
        </w:rPr>
      </w:pPr>
      <w:bookmarkStart w:id="33" w:name="_Toc342594063"/>
      <w:bookmarkStart w:id="34" w:name="_Toc4899"/>
      <w:bookmarkStart w:id="35" w:name="_Toc342615371"/>
      <w:bookmarkStart w:id="36" w:name="_Toc102987388"/>
      <w:bookmarkStart w:id="37" w:name="_Toc102987726"/>
      <w:bookmarkStart w:id="38" w:name="_Toc102987761"/>
      <w:r>
        <w:rPr>
          <w:b/>
          <w:bCs/>
          <w:color w:val="000000" w:themeColor="text1"/>
          <w:sz w:val="24"/>
          <w:highlight w:val="none"/>
          <w14:textFill>
            <w14:solidFill>
              <w14:schemeClr w14:val="tx1"/>
            </w14:solidFill>
          </w14:textFill>
        </w:rPr>
        <w:t>五、</w:t>
      </w:r>
      <w:bookmarkEnd w:id="33"/>
      <w:bookmarkEnd w:id="34"/>
      <w:bookmarkEnd w:id="35"/>
      <w:r>
        <w:rPr>
          <w:b/>
          <w:bCs/>
          <w:color w:val="000000" w:themeColor="text1"/>
          <w:sz w:val="24"/>
          <w:highlight w:val="none"/>
          <w14:textFill>
            <w14:solidFill>
              <w14:schemeClr w14:val="tx1"/>
            </w14:solidFill>
          </w14:textFill>
        </w:rPr>
        <w:t>开标、评标与定标</w:t>
      </w:r>
      <w:bookmarkEnd w:id="36"/>
      <w:bookmarkEnd w:id="37"/>
      <w:bookmarkEnd w:id="38"/>
    </w:p>
    <w:p>
      <w:pPr>
        <w:pStyle w:val="4"/>
        <w:numPr>
          <w:ilvl w:val="0"/>
          <w:numId w:val="0"/>
        </w:numPr>
        <w:tabs>
          <w:tab w:val="left" w:pos="721"/>
          <w:tab w:val="clear" w:pos="540"/>
        </w:tabs>
        <w:spacing w:before="0" w:after="0" w:line="288" w:lineRule="auto"/>
        <w:ind w:firstLine="480" w:firstLineChars="200"/>
        <w:jc w:val="both"/>
        <w:rPr>
          <w:rFonts w:ascii="Times New Roman" w:hAnsi="Times New Roman" w:eastAsia="宋体"/>
          <w:color w:val="000000" w:themeColor="text1"/>
          <w:sz w:val="24"/>
          <w:szCs w:val="24"/>
          <w:highlight w:val="none"/>
          <w:lang w:val="zh-CN"/>
          <w14:textFill>
            <w14:solidFill>
              <w14:schemeClr w14:val="tx1"/>
            </w14:solidFill>
          </w14:textFill>
        </w:rPr>
      </w:pPr>
      <w:r>
        <w:rPr>
          <w:rFonts w:ascii="Times New Roman" w:hAnsi="Times New Roman" w:eastAsia="宋体"/>
          <w:color w:val="000000" w:themeColor="text1"/>
          <w:sz w:val="24"/>
          <w:szCs w:val="24"/>
          <w:highlight w:val="none"/>
          <w:lang w:val="zh-CN"/>
          <w14:textFill>
            <w14:solidFill>
              <w14:schemeClr w14:val="tx1"/>
            </w14:solidFill>
          </w14:textFill>
        </w:rPr>
        <w:t>24.开标</w:t>
      </w:r>
    </w:p>
    <w:p>
      <w:pPr>
        <w:ind w:firstLine="480" w:firstLineChars="200"/>
        <w:jc w:val="both"/>
        <w:rPr>
          <w:color w:val="000000" w:themeColor="text1"/>
          <w:sz w:val="24"/>
          <w:szCs w:val="21"/>
          <w:highlight w:val="none"/>
          <w:lang w:val="zh-CN"/>
          <w14:textFill>
            <w14:solidFill>
              <w14:schemeClr w14:val="tx1"/>
            </w14:solidFill>
          </w14:textFill>
        </w:rPr>
      </w:pPr>
      <w:r>
        <w:rPr>
          <w:color w:val="000000" w:themeColor="text1"/>
          <w:sz w:val="24"/>
          <w:szCs w:val="21"/>
          <w:highlight w:val="none"/>
          <w:lang w:val="zh-CN"/>
          <w14:textFill>
            <w14:solidFill>
              <w14:schemeClr w14:val="tx1"/>
            </w14:solidFill>
          </w14:textFill>
        </w:rPr>
        <w:t>24.1采购人（或招标代理机构）按《投标邀请函》中规定的日期、时间和地点进行开标活动。开标时，投标人可由法定代表人或其委托代理人参加，签名报到以证明其出席开标会议。</w:t>
      </w:r>
    </w:p>
    <w:p>
      <w:pPr>
        <w:ind w:firstLine="480" w:firstLineChars="200"/>
        <w:jc w:val="both"/>
        <w:rPr>
          <w:color w:val="000000" w:themeColor="text1"/>
          <w:sz w:val="24"/>
          <w:szCs w:val="21"/>
          <w:highlight w:val="none"/>
          <w:lang w:val="zh-CN"/>
          <w14:textFill>
            <w14:solidFill>
              <w14:schemeClr w14:val="tx1"/>
            </w14:solidFill>
          </w14:textFill>
        </w:rPr>
      </w:pPr>
      <w:r>
        <w:rPr>
          <w:color w:val="000000" w:themeColor="text1"/>
          <w:sz w:val="24"/>
          <w:szCs w:val="21"/>
          <w:highlight w:val="none"/>
          <w:lang w:val="zh-CN"/>
          <w14:textFill>
            <w14:solidFill>
              <w14:schemeClr w14:val="tx1"/>
            </w14:solidFill>
          </w14:textFill>
        </w:rPr>
        <w:t>24.2按规定提交合格的撤回通知的投标文件不予开封，并退回投标人。</w:t>
      </w:r>
    </w:p>
    <w:p>
      <w:pPr>
        <w:ind w:firstLine="480" w:firstLineChars="200"/>
        <w:jc w:val="both"/>
        <w:rPr>
          <w:color w:val="000000" w:themeColor="text1"/>
          <w:sz w:val="24"/>
          <w:szCs w:val="21"/>
          <w:highlight w:val="none"/>
          <w:lang w:val="zh-CN"/>
          <w14:textFill>
            <w14:solidFill>
              <w14:schemeClr w14:val="tx1"/>
            </w14:solidFill>
          </w14:textFill>
        </w:rPr>
      </w:pPr>
      <w:r>
        <w:rPr>
          <w:color w:val="000000" w:themeColor="text1"/>
          <w:sz w:val="24"/>
          <w:szCs w:val="21"/>
          <w:highlight w:val="none"/>
          <w:lang w:val="zh-CN"/>
          <w14:textFill>
            <w14:solidFill>
              <w14:schemeClr w14:val="tx1"/>
            </w14:solidFill>
          </w14:textFill>
        </w:rPr>
        <w:t>24.3开标程序：</w:t>
      </w:r>
    </w:p>
    <w:p>
      <w:pPr>
        <w:pStyle w:val="34"/>
        <w:tabs>
          <w:tab w:val="left" w:pos="720"/>
          <w:tab w:val="clear" w:pos="540"/>
        </w:tabs>
        <w:ind w:left="0" w:firstLine="420" w:firstLineChars="175"/>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 xml:space="preserve">主持人按下列程序进行开标：                                                           </w:t>
      </w:r>
    </w:p>
    <w:p>
      <w:pPr>
        <w:pStyle w:val="34"/>
        <w:tabs>
          <w:tab w:val="left" w:pos="720"/>
          <w:tab w:val="clear" w:pos="540"/>
        </w:tabs>
        <w:ind w:left="0" w:firstLine="420" w:firstLineChars="175"/>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（1）宣布会议开始，宣布项目评审组织机构及人员组成，宣读采购与招投标纪律；</w:t>
      </w:r>
    </w:p>
    <w:p>
      <w:pPr>
        <w:pStyle w:val="34"/>
        <w:tabs>
          <w:tab w:val="left" w:pos="720"/>
          <w:tab w:val="clear" w:pos="540"/>
        </w:tabs>
        <w:ind w:left="0" w:firstLine="420" w:firstLineChars="175"/>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（2）经确认密封完好后，拆封唱标，唱标的内容一般包括：供应商名称、投标（响应）报价等。</w:t>
      </w:r>
    </w:p>
    <w:p>
      <w:pPr>
        <w:pStyle w:val="34"/>
        <w:tabs>
          <w:tab w:val="left" w:pos="720"/>
          <w:tab w:val="clear" w:pos="540"/>
        </w:tabs>
        <w:ind w:left="0" w:firstLine="420" w:firstLineChars="175"/>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（3）若唱标人宣读的结果与投标文件不符时，供应商有权在开标现场提出异议，经监督人员现场核查确认后，可重新宣读投标文件。。</w:t>
      </w:r>
    </w:p>
    <w:p>
      <w:pPr>
        <w:pStyle w:val="34"/>
        <w:tabs>
          <w:tab w:val="left" w:pos="720"/>
          <w:tab w:val="clear" w:pos="540"/>
        </w:tabs>
        <w:ind w:left="0" w:firstLine="420" w:firstLineChars="175"/>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（4）唱标结束后由供应商代表、监督人员现场签字确认，不签字确认，视同默认开标结果的条款；</w:t>
      </w:r>
    </w:p>
    <w:p>
      <w:pPr>
        <w:pStyle w:val="34"/>
        <w:tabs>
          <w:tab w:val="left" w:pos="720"/>
          <w:tab w:val="clear" w:pos="540"/>
        </w:tabs>
        <w:ind w:left="0" w:firstLine="420" w:firstLineChars="175"/>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开标结束。</w:t>
      </w:r>
    </w:p>
    <w:p>
      <w:pPr>
        <w:ind w:firstLine="480" w:firstLineChars="200"/>
        <w:rPr>
          <w:color w:val="000000" w:themeColor="text1"/>
          <w:sz w:val="24"/>
          <w:szCs w:val="21"/>
          <w:highlight w:val="none"/>
          <w:lang w:val="zh-CN"/>
          <w14:textFill>
            <w14:solidFill>
              <w14:schemeClr w14:val="tx1"/>
            </w14:solidFill>
          </w14:textFill>
        </w:rPr>
      </w:pPr>
      <w:r>
        <w:rPr>
          <w:color w:val="000000" w:themeColor="text1"/>
          <w:sz w:val="24"/>
          <w:szCs w:val="21"/>
          <w:highlight w:val="none"/>
          <w:lang w:val="zh-CN"/>
          <w14:textFill>
            <w14:solidFill>
              <w14:schemeClr w14:val="tx1"/>
            </w14:solidFill>
          </w14:textFill>
        </w:rPr>
        <w:t>24.4采购人（或招标代理机构）将对开标情况做详细记录。</w:t>
      </w:r>
    </w:p>
    <w:p>
      <w:pPr>
        <w:pStyle w:val="4"/>
        <w:numPr>
          <w:ilvl w:val="0"/>
          <w:numId w:val="0"/>
        </w:numPr>
        <w:tabs>
          <w:tab w:val="left" w:pos="721"/>
          <w:tab w:val="clear" w:pos="540"/>
        </w:tabs>
        <w:spacing w:before="0" w:after="0" w:line="288" w:lineRule="auto"/>
        <w:ind w:firstLine="480" w:firstLineChars="200"/>
        <w:jc w:val="left"/>
        <w:rPr>
          <w:rFonts w:ascii="Times New Roman" w:hAnsi="Times New Roman" w:eastAsia="宋体"/>
          <w:color w:val="000000" w:themeColor="text1"/>
          <w:sz w:val="24"/>
          <w:szCs w:val="24"/>
          <w:highlight w:val="none"/>
          <w:lang w:val="zh-CN"/>
          <w14:textFill>
            <w14:solidFill>
              <w14:schemeClr w14:val="tx1"/>
            </w14:solidFill>
          </w14:textFill>
        </w:rPr>
      </w:pPr>
      <w:r>
        <w:rPr>
          <w:rFonts w:ascii="Times New Roman" w:hAnsi="Times New Roman" w:eastAsia="宋体"/>
          <w:color w:val="000000" w:themeColor="text1"/>
          <w:sz w:val="24"/>
          <w:szCs w:val="24"/>
          <w:highlight w:val="none"/>
          <w:lang w:val="zh-CN"/>
          <w14:textFill>
            <w14:solidFill>
              <w14:schemeClr w14:val="tx1"/>
            </w14:solidFill>
          </w14:textFill>
        </w:rPr>
        <w:t>25. 评标委员会</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25.1 本项目的评标工作由依据政府采购法律、法规、规章、政策的规定或医院内部规定组建的评标委员会完成。评标委员会成员由采购人代表和评审专家组成，采购人代表人数、专家人数及专业构成按政府采购相关规定确定。评标委员会成员依法从政府采购专家库中随机抽取。</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25.2 评标委员会将按照招标文件确定的评标方法进行评标。评标委员会对投标文件的评审分为符合性检查和商务评审、技术评审、价格评分。评标委员会将本着公平、公正、科学、择优的原则，严格按照法律法规和招标文件设定的程序和规则推荐评审结果，任何单位和个人不得非法干预或者影响评标过程和结果。</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25.3 评标委员会成员发现本人与参加采购活动的供应商存在以下利害关系情形的，应当主动提出回避。采购人或者采购代理机构发现评标委员会成员与参加采购活动的供应商存在以下利害关系情形的，应当要求其回避：</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25.3.1 参加采购活动前三年内，与投标人存在劳动关系，或者担任过投标人的董事、监事，或者是投标人的控股股东或实际控制人；</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25.3.2 与投标人的法定代表人或者负责人有夫妻、直系血亲、三代以内旁系血亲或者近姻亲关系；</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25.3.3 与供应商有其他可能影响采购活动公平、公正进行的关系。</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25.4 评标委员会按照招标文件确定的评标方法、步骤、标准，对投标文件进行评审，推荐中标候选人名单，并编写书面评标报告。</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25.5 除评标委员会主动要求澄清外，从开标后至发出《中标通知书》期间，任何投标人均不得就与其投标有关的任何问题与采购代理机构及评标委员会联系。</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25.6 为保证采购活动的公正性，在开标、评标过程中，评标委员会成员不得与投标人私下交换意见。在招标工作结束后，评标委员会成员和参与评标的有关工作人员不得泄漏对投标文件的评审和比较以及与评标有关的其他情况。</w:t>
      </w:r>
    </w:p>
    <w:p>
      <w:pPr>
        <w:pStyle w:val="34"/>
        <w:tabs>
          <w:tab w:val="left" w:pos="720"/>
          <w:tab w:val="clear" w:pos="540"/>
        </w:tabs>
        <w:spacing w:line="425" w:lineRule="atLeast"/>
        <w:ind w:left="0" w:firstLine="480" w:firstLineChars="200"/>
        <w:rPr>
          <w:rFonts w:eastAsia="宋体"/>
          <w:b/>
          <w:bCs/>
          <w:color w:val="000000" w:themeColor="text1"/>
          <w:sz w:val="24"/>
          <w:szCs w:val="21"/>
          <w:highlight w:val="none"/>
          <w:lang w:val="zh-CN"/>
          <w14:textFill>
            <w14:solidFill>
              <w14:schemeClr w14:val="tx1"/>
            </w14:solidFill>
          </w14:textFill>
        </w:rPr>
      </w:pPr>
      <w:r>
        <w:rPr>
          <w:rFonts w:eastAsia="宋体"/>
          <w:b/>
          <w:color w:val="000000" w:themeColor="text1"/>
          <w:sz w:val="24"/>
          <w:szCs w:val="24"/>
          <w:highlight w:val="none"/>
          <w:lang w:val="zh-CN"/>
          <w14:textFill>
            <w14:solidFill>
              <w14:schemeClr w14:val="tx1"/>
            </w14:solidFill>
          </w14:textFill>
        </w:rPr>
        <w:t>26. 投标文件的澄清、说明、补正</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26.1 在评标期间，为方便对投标文件审核、评估和对比，对于投标文件中含义不明确、同类问题表述不一致或者有明显文字和计算错误的内容，评标委员会应以书面形式（应当由评标委员会专家签字）要求投标人对其投标文件进行澄清、说明或者补正，投标人有关澄清、说明或者补正的答复应以书面形式提交并加盖公章，或者由法定代表人或其授权代表签字，澄清、说明或者补正不得超出投标文件的范围或者改变投标报价等实质性内容。投标人的澄清文件是其投标文件的组成部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26.2 从开标后至定标期间，未接到采购人或采购代理机构的书面要求，任何投标人均不得就其投标文件有关的问题与评标委员会、采购人或采购代理机构和本项目使用单位及个人进行联系。</w:t>
      </w:r>
    </w:p>
    <w:p>
      <w:pPr>
        <w:pStyle w:val="34"/>
        <w:tabs>
          <w:tab w:val="left" w:pos="720"/>
          <w:tab w:val="clear" w:pos="540"/>
        </w:tabs>
        <w:spacing w:line="425" w:lineRule="atLeast"/>
        <w:ind w:left="0" w:firstLine="480" w:firstLineChars="200"/>
        <w:rPr>
          <w:rFonts w:eastAsia="宋体"/>
          <w:b/>
          <w:color w:val="000000" w:themeColor="text1"/>
          <w:sz w:val="24"/>
          <w:szCs w:val="24"/>
          <w:highlight w:val="none"/>
          <w:lang w:val="zh-CN"/>
          <w14:textFill>
            <w14:solidFill>
              <w14:schemeClr w14:val="tx1"/>
            </w14:solidFill>
          </w14:textFill>
        </w:rPr>
      </w:pPr>
      <w:r>
        <w:rPr>
          <w:rFonts w:eastAsia="宋体"/>
          <w:b/>
          <w:color w:val="000000" w:themeColor="text1"/>
          <w:sz w:val="24"/>
          <w:szCs w:val="24"/>
          <w:highlight w:val="none"/>
          <w:lang w:val="zh-CN"/>
          <w14:textFill>
            <w14:solidFill>
              <w14:schemeClr w14:val="tx1"/>
            </w14:solidFill>
          </w14:textFill>
        </w:rPr>
        <w:t>27. 投标人的资格审查</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27.1 开标结束后，采购人或采购代理机构应当依法对投标人的资格进行审查，投标人未按《资格审查表》提供完整、有效资格证明材料的，作无效投标处理。</w:t>
      </w:r>
    </w:p>
    <w:p>
      <w:pPr>
        <w:pStyle w:val="34"/>
        <w:tabs>
          <w:tab w:val="left" w:pos="720"/>
          <w:tab w:val="clear" w:pos="540"/>
        </w:tabs>
        <w:spacing w:line="288" w:lineRule="auto"/>
        <w:ind w:left="0" w:firstLine="480" w:firstLineChars="200"/>
        <w:jc w:val="both"/>
        <w:rPr>
          <w:rFonts w:eastAsia="宋体"/>
          <w:color w:val="000000" w:themeColor="text1"/>
          <w:sz w:val="24"/>
          <w:szCs w:val="21"/>
          <w:highlight w:val="none"/>
          <w:lang w:val="zh-CN"/>
          <w14:textFill>
            <w14:solidFill>
              <w14:schemeClr w14:val="tx1"/>
            </w14:solidFill>
          </w14:textFill>
        </w:rPr>
      </w:pPr>
      <w:r>
        <w:rPr>
          <w:rFonts w:eastAsia="宋体"/>
          <w:color w:val="000000" w:themeColor="text1"/>
          <w:sz w:val="24"/>
          <w:szCs w:val="21"/>
          <w:highlight w:val="none"/>
          <w:lang w:val="zh-CN"/>
          <w14:textFill>
            <w14:solidFill>
              <w14:schemeClr w14:val="tx1"/>
            </w14:solidFill>
          </w14:textFill>
        </w:rPr>
        <w:t>27.2 《资格审查表》内容如下：</w:t>
      </w:r>
    </w:p>
    <w:p>
      <w:pPr>
        <w:tabs>
          <w:tab w:val="left" w:pos="1260"/>
        </w:tabs>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资格审查表</w:t>
      </w:r>
    </w:p>
    <w:tbl>
      <w:tblPr>
        <w:tblStyle w:val="39"/>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8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序号</w:t>
            </w:r>
          </w:p>
        </w:tc>
        <w:tc>
          <w:tcPr>
            <w:tcW w:w="8208" w:type="dxa"/>
          </w:tcPr>
          <w:p>
            <w:pPr>
              <w:tabs>
                <w:tab w:val="left" w:pos="1260"/>
              </w:tabs>
              <w:jc w:val="center"/>
              <w:rPr>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8208" w:type="dxa"/>
          </w:tcPr>
          <w:p>
            <w:pPr>
              <w:autoSpaceDE w:val="0"/>
              <w:autoSpaceDN w:val="0"/>
              <w:adjustRightInd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必须是具有独立承担民事责任能力的在中华人民共和国境内注册的法人、其他组织或者自然人，投标时提交投标人有效的营业执照（事业单位法人证书、其他组织的营业执照或执业许可证、自然人身份证明等有效证明文件）复印件。如投标人以非独立法人注册的分公司名义代表总公司盖章和签署文件参与本项目投标的，须提供总公司的营业执照副本复印件及总公司针对本项目授权分公司投标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必须具有良好的商业信誉和健全的财务会计制度（以投标人在《投标人的资格声明》中的承诺为准）。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具备履行合同所必需的设备和专业技术能力（以投标人在《投标人的资格声明》中的承诺为准）。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有依法缴纳税收和社会保障资金的良好记录（以投标人在《投标人的资格声明》中的承诺为准）。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投标人参加政府采购活动前三年内，在经营活动中没有重大违法记录（以投标人在《投标人的资格声明》中的承诺为准）。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投标人必须符合法律、行政法规规定的其他条件（以投标人在《投标人的资格声明》中的承诺为准）。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投标人未被列入“ 信用中国”网站（www .credi tchina. gov.cn）“ 失信被执行人”、“ </w:t>
            </w:r>
            <w:r>
              <w:rPr>
                <w:rFonts w:hint="eastAsia"/>
                <w:color w:val="000000" w:themeColor="text1"/>
                <w:highlight w:val="none"/>
                <w14:textFill>
                  <w14:solidFill>
                    <w14:schemeClr w14:val="tx1"/>
                  </w14:solidFill>
                </w14:textFill>
              </w:rPr>
              <w:t>重大税收违法失信主体</w:t>
            </w:r>
            <w:r>
              <w:rPr>
                <w:color w:val="000000" w:themeColor="text1"/>
                <w:highlight w:val="none"/>
                <w14:textFill>
                  <w14:solidFill>
                    <w14:schemeClr w14:val="tx1"/>
                  </w14:solidFill>
                </w14:textFill>
              </w:rPr>
              <w:t>名单” 、“ 政府采购严重违法失信名单” ； 不处于中国政府采购网（www.ccg p.gov. cn） “ 政府采购严重违法失信行为信息记录” 中的禁止参加政府采购活动期间。（以代理机构于评标当天在“ 信用中国” 网站（www.cre ditchi na.gov. cn） 及中国政府采购网(www.cc gp.gov .cn)查询结果为准， 同时对信用信息查询记录进行存档。如相关失信记录已失效或查询不到， 则必须出具其信用良好的承诺书原件扫描件）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w:t>
            </w:r>
          </w:p>
        </w:tc>
        <w:tc>
          <w:tcPr>
            <w:tcW w:w="8208" w:type="dxa"/>
          </w:tcPr>
          <w:p>
            <w:pPr>
              <w:tabs>
                <w:tab w:val="left" w:pos="1260"/>
              </w:tabs>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不同的投标人之间有下列情形之一的，不接受作为参与同一采购项目竞争的投标人：</w:t>
            </w:r>
          </w:p>
          <w:p>
            <w:pPr>
              <w:tabs>
                <w:tab w:val="left" w:pos="1260"/>
              </w:tabs>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（1）法定代表人或单位负责人为同一人或者存在直接控股、管理关系的投标人。（以投标人在《投标人声明函》中的承诺为准）</w:t>
            </w:r>
          </w:p>
          <w:p>
            <w:pPr>
              <w:tabs>
                <w:tab w:val="left" w:pos="1260"/>
              </w:tabs>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（2）为采购项目提供整体设计、规范编制或者项目管理、监理、检测等服务的投标人。（以投标人在《投标人声明函》中的承诺为准）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本项目不允许联合体投标。不接受中标备选方案。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lang w:eastAsia="en-US"/>
                <w14:textFill>
                  <w14:solidFill>
                    <w14:schemeClr w14:val="tx1"/>
                  </w14:solidFill>
                </w14:textFill>
              </w:rPr>
            </w:pPr>
            <w:r>
              <w:rPr>
                <w:color w:val="000000" w:themeColor="text1"/>
                <w:highlight w:val="none"/>
                <w14:textFill>
                  <w14:solidFill>
                    <w14:schemeClr w14:val="tx1"/>
                  </w14:solidFill>
                </w14:textFill>
              </w:rPr>
              <w:t>10</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投标人已获取本项目招标文件。</w:t>
            </w:r>
          </w:p>
        </w:tc>
      </w:tr>
    </w:tbl>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27.3 如采购人或采购代理机构认定投标人资格审查不通过，需签署明确书面意见。</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27.4 对未通过资格的投标人，其投标文件不提交评标委员会进行符合性审查。</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 投标文件的符合性审查</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28.1 评标委员会应当对符合资格的投标人的投标文件进行符合性审查，以确定其是否满足招标文件的实质性要求，投标人未按《符合性审查表》的要求提交投标文件或出现招标文件第三部分“投标人须知”第19 条中所述无效投标情形的，作无效投标处理。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28.2 《符合性审查表》内容如下：</w:t>
      </w:r>
    </w:p>
    <w:p>
      <w:pPr>
        <w:tabs>
          <w:tab w:val="left" w:pos="1260"/>
        </w:tabs>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符合性审查表</w:t>
      </w:r>
    </w:p>
    <w:tbl>
      <w:tblPr>
        <w:tblStyle w:val="39"/>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8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序号</w:t>
            </w:r>
          </w:p>
        </w:tc>
        <w:tc>
          <w:tcPr>
            <w:tcW w:w="8208" w:type="dxa"/>
          </w:tcPr>
          <w:p>
            <w:pPr>
              <w:tabs>
                <w:tab w:val="left" w:pos="1260"/>
              </w:tabs>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投标文件中提供有效的法定代表人证明书或由授权代表签署的投标文件中有法定代表人授权委托书的；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投标报价确定且不高于最高限价或单价最高限价（如有）；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投标价是唯一固定价的（采购文件另有特别要求的除外）</w:t>
            </w:r>
            <w:r>
              <w:rPr>
                <w:rFonts w:hint="eastAsia"/>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投标文件已按要求盖章、签字；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投标有效期符合招标文件的要求；投标保证金符合要求；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投标文件完全满足招标文件中带</w:t>
            </w: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号的条款或技术指标（如采购文件未要求递交证明材料的则以投标人在《实质性响应条款一览表》 承诺为准）；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投标人未与投标文件中《与投标人存在关联关系的单位名称说明》所述存在关联关系的单位共同参与本项目投标活动；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评标期间，投标人按评标委员会的要求提交法定代表人或其授权代表签字的澄清、说明、补正并未改变投标文件的实质性内容；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委员会认为投标人的报价没有明显低于其他通过符合性审查投标人的报价，且不影响产品质量或者诚信履约的；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投标文件没有采购人不能接受的附加条件的；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tabs>
                <w:tab w:val="left" w:pos="1260"/>
              </w:tabs>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1</w:t>
            </w:r>
          </w:p>
        </w:tc>
        <w:tc>
          <w:tcPr>
            <w:tcW w:w="8208" w:type="dxa"/>
          </w:tcPr>
          <w:p>
            <w:pPr>
              <w:tabs>
                <w:tab w:val="left" w:pos="1260"/>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法律、法规和招标文件规定的其他无效情形。</w:t>
            </w:r>
          </w:p>
        </w:tc>
      </w:tr>
    </w:tbl>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28.2.1 上述符合性审查内容有一项内容被评标委员会认定为不满足，则结论为不通过；</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28.2.2 若针对同一项内容，评标委员会成员存在结论不一致的，按照“少数服从多数”的原则确定评标委员会的意见</w:t>
      </w:r>
      <w:r>
        <w:rPr>
          <w:rFonts w:hint="eastAsia"/>
          <w:color w:val="000000" w:themeColor="text1"/>
          <w:sz w:val="24"/>
          <w:szCs w:val="24"/>
          <w:highlight w:val="none"/>
          <w14:textFill>
            <w14:solidFill>
              <w14:schemeClr w14:val="tx1"/>
            </w14:solidFill>
          </w14:textFill>
        </w:rPr>
        <w:t>。</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28.4 对未通过符合性审查或在评标过程中认定投标无效的情形，评标委员会需签署明确书面意见。</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28.5 未通过资格审查、符合性审查或被认定为投标无效的投标文件，不进入后续技术、商务和价格的评审程序。</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28.6 提供相同品牌产品且通过资格审查、符合性审查的不同投标人参加同一合同项下投标的</w:t>
      </w:r>
      <w:r>
        <w:rPr>
          <w:rFonts w:hint="eastAsia"/>
          <w:color w:val="000000" w:themeColor="text1"/>
          <w:sz w:val="24"/>
          <w:szCs w:val="24"/>
          <w:highlight w:val="none"/>
          <w14:textFill>
            <w14:solidFill>
              <w14:schemeClr w14:val="tx1"/>
            </w14:solidFill>
          </w14:textFill>
        </w:rPr>
        <w:t>，</w:t>
      </w:r>
      <w:r>
        <w:rPr>
          <w:color w:val="000000" w:themeColor="text1"/>
          <w:sz w:val="24"/>
          <w:szCs w:val="24"/>
          <w:highlight w:val="none"/>
          <w14:textFill>
            <w14:solidFill>
              <w14:schemeClr w14:val="tx1"/>
            </w14:solidFill>
          </w14:textFill>
        </w:rPr>
        <w:t>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少于三个品牌或合格投标人不足三家的，本项目采购失败，专家可根据项目情况建议重新招标或建议依法变更为竞争性谈判、竞争性磋商、单一来源采购等其它法定采购方式进行采购，变更事项属于财政部审批事项的除外。</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28.7 非单一产品采购的项目，评标委员会根据用户需求书中明确的核心产品作为品牌认定，多家投标人提供的核心产品品牌相同的，按本办法29.6 款规定处理。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28.8 招标项目在评标当天依法变更为其它采购方式采购的，本招标文件亦自动变更为该采购方式的有效采购文件，并按相应采购方式的法定程序进行。采购人或采购代理机构将不再另行发出采购文件。</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28.9 投标文件报价出现前后不一致的，按照下列规定修正。投标人拒不澄清确认的,或修正调整的价格或分项报价中的缺漏项价格超过原投标价格规定的，视为投标报价重大偏差的，评标委员会应当否决其投标：</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28.9.1 投标文件中“开标一览表”内容与投标文件中相应内容不一致的，以“开标一览表”为准；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28.9.2 投标文件的大写金额和小写金额不一致的，以大写金额为准；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28.9.3 单价金额小数点或者百分比有明显错位的，应以开标一览表（投标函）总价为准，并修改单价；</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28.9.4 总价金额与按单价汇总金额不一致的，以单价金额计算结果为准；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28.9.5 对不同文字文本投标文件的解释发生异议的，以中文文本为准；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28.9.6 同时出现两种以上不一致的，按照前款规定的顺序修正，修正后的报价经投标人确认后产生约束力，投标人不确认的，其投标无效。</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28.9.7 如有缺项、漏项，视为已包含在中标价中。</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28.10 对于投标文件中不构成实质性偏差的不正式、不一致或不规则，评标委员会可以接受，但这种接受将可能影响该投标人的得分。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28.11 在详细评标之前，评标委员会要审查每份投标文件是否实质上响应了招标文件的要求。实质上响应的投标应该是与招标文件要求的全部实质性条款（加“</w:t>
      </w:r>
      <w:r>
        <w:rPr>
          <w:rFonts w:ascii="Segoe UI Symbol" w:hAnsi="Segoe UI Symbol" w:cs="Segoe UI Symbol"/>
          <w:color w:val="000000" w:themeColor="text1"/>
          <w:sz w:val="24"/>
          <w:szCs w:val="24"/>
          <w:highlight w:val="none"/>
          <w14:textFill>
            <w14:solidFill>
              <w14:schemeClr w14:val="tx1"/>
            </w14:solidFill>
          </w14:textFill>
        </w:rPr>
        <w:t>★</w:t>
      </w:r>
      <w:r>
        <w:rPr>
          <w:color w:val="000000" w:themeColor="text1"/>
          <w:sz w:val="24"/>
          <w:szCs w:val="24"/>
          <w:highlight w:val="none"/>
          <w14:textFill>
            <w14:solidFill>
              <w14:schemeClr w14:val="tx1"/>
            </w14:solidFill>
          </w14:textFill>
        </w:rPr>
        <w:t>”号）、条件和规格相符，没有重大偏离的投标。对关键条文的偏离、保留或反对，例如关于合同条款的重大偏离将被认为是实质上的偏离。评标委员会决定投标文件的响应性只根据投标文件本身的内容，而不寻求外部的证据。实质上没有响应招标文件要求的投标将被视为无效投标。投标人不得通过修正或撤销不合要求的偏离从而使其投标文件成为实质上响应的投标。</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29.评审办法</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29.1评标委员会将对所有有效投标文件的技术和服务响应进行评价。投标文件的评价采用综合评分法（总分满分100分），评分表由技术、商务、价格三部分组成（详见以下评分表）</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（1）评分分值（权重）分配如下：</w:t>
      </w:r>
    </w:p>
    <w:tbl>
      <w:tblPr>
        <w:tblStyle w:val="39"/>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30" w:type="dxa"/>
          <w:bottom w:w="0" w:type="dxa"/>
          <w:right w:w="30" w:type="dxa"/>
        </w:tblCellMar>
      </w:tblPr>
      <w:tblGrid>
        <w:gridCol w:w="1939"/>
        <w:gridCol w:w="2563"/>
        <w:gridCol w:w="2417"/>
        <w:gridCol w:w="241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1939" w:type="dxa"/>
            <w:tcBorders>
              <w:top w:val="single" w:color="auto" w:sz="12" w:space="0"/>
              <w:bottom w:val="single" w:color="auto" w:sz="2" w:space="0"/>
            </w:tcBorders>
            <w:vAlign w:val="center"/>
          </w:tcPr>
          <w:p>
            <w:pPr>
              <w:autoSpaceDE w:val="0"/>
              <w:autoSpaceDN w:val="0"/>
              <w:adjustRightInd w:val="0"/>
              <w:spacing w:line="240" w:lineRule="auto"/>
              <w:jc w:val="center"/>
              <w:rPr>
                <w:b/>
                <w:bCs/>
                <w:color w:val="000000" w:themeColor="text1"/>
                <w:highlight w:val="none"/>
                <w:lang w:val="zh-CN"/>
                <w14:textFill>
                  <w14:solidFill>
                    <w14:schemeClr w14:val="tx1"/>
                  </w14:solidFill>
                </w14:textFill>
              </w:rPr>
            </w:pPr>
            <w:r>
              <w:rPr>
                <w:rFonts w:hint="eastAsia"/>
                <w:b/>
                <w:bCs/>
                <w:color w:val="000000" w:themeColor="text1"/>
                <w:highlight w:val="none"/>
                <w:lang w:val="zh-CN"/>
                <w14:textFill>
                  <w14:solidFill>
                    <w14:schemeClr w14:val="tx1"/>
                  </w14:solidFill>
                </w14:textFill>
              </w:rPr>
              <w:t>内容</w:t>
            </w:r>
          </w:p>
        </w:tc>
        <w:tc>
          <w:tcPr>
            <w:tcW w:w="2563" w:type="dxa"/>
            <w:tcBorders>
              <w:top w:val="single" w:color="auto" w:sz="12" w:space="0"/>
              <w:bottom w:val="single" w:color="auto" w:sz="2" w:space="0"/>
            </w:tcBorders>
            <w:vAlign w:val="center"/>
          </w:tcPr>
          <w:p>
            <w:pPr>
              <w:autoSpaceDE w:val="0"/>
              <w:autoSpaceDN w:val="0"/>
              <w:adjustRightInd w:val="0"/>
              <w:spacing w:line="240" w:lineRule="auto"/>
              <w:jc w:val="center"/>
              <w:rPr>
                <w:b/>
                <w:bCs/>
                <w:color w:val="000000" w:themeColor="text1"/>
                <w:highlight w:val="none"/>
                <w:lang w:val="zh-CN"/>
                <w14:textFill>
                  <w14:solidFill>
                    <w14:schemeClr w14:val="tx1"/>
                  </w14:solidFill>
                </w14:textFill>
              </w:rPr>
            </w:pPr>
            <w:r>
              <w:rPr>
                <w:rFonts w:hint="eastAsia"/>
                <w:b/>
                <w:bCs/>
                <w:color w:val="000000" w:themeColor="text1"/>
                <w:highlight w:val="none"/>
                <w:lang w:val="zh-CN"/>
                <w14:textFill>
                  <w14:solidFill>
                    <w14:schemeClr w14:val="tx1"/>
                  </w14:solidFill>
                </w14:textFill>
              </w:rPr>
              <w:t>商务部分</w:t>
            </w:r>
          </w:p>
        </w:tc>
        <w:tc>
          <w:tcPr>
            <w:tcW w:w="2417" w:type="dxa"/>
            <w:tcBorders>
              <w:top w:val="single" w:color="auto" w:sz="12" w:space="0"/>
              <w:bottom w:val="single" w:color="auto" w:sz="2" w:space="0"/>
            </w:tcBorders>
            <w:vAlign w:val="center"/>
          </w:tcPr>
          <w:p>
            <w:pPr>
              <w:autoSpaceDE w:val="0"/>
              <w:autoSpaceDN w:val="0"/>
              <w:adjustRightInd w:val="0"/>
              <w:spacing w:line="240" w:lineRule="auto"/>
              <w:jc w:val="center"/>
              <w:rPr>
                <w:b/>
                <w:bCs/>
                <w:color w:val="000000" w:themeColor="text1"/>
                <w:highlight w:val="none"/>
                <w:lang w:val="zh-CN"/>
                <w14:textFill>
                  <w14:solidFill>
                    <w14:schemeClr w14:val="tx1"/>
                  </w14:solidFill>
                </w14:textFill>
              </w:rPr>
            </w:pPr>
            <w:r>
              <w:rPr>
                <w:rFonts w:hint="eastAsia"/>
                <w:b/>
                <w:bCs/>
                <w:color w:val="000000" w:themeColor="text1"/>
                <w:highlight w:val="none"/>
                <w:lang w:val="zh-CN"/>
                <w14:textFill>
                  <w14:solidFill>
                    <w14:schemeClr w14:val="tx1"/>
                  </w14:solidFill>
                </w14:textFill>
              </w:rPr>
              <w:t>技术部分</w:t>
            </w:r>
          </w:p>
        </w:tc>
        <w:tc>
          <w:tcPr>
            <w:tcW w:w="2413" w:type="dxa"/>
            <w:tcBorders>
              <w:top w:val="single" w:color="auto" w:sz="12" w:space="0"/>
              <w:bottom w:val="single" w:color="auto" w:sz="2" w:space="0"/>
            </w:tcBorders>
            <w:vAlign w:val="center"/>
          </w:tcPr>
          <w:p>
            <w:pPr>
              <w:autoSpaceDE w:val="0"/>
              <w:autoSpaceDN w:val="0"/>
              <w:adjustRightInd w:val="0"/>
              <w:spacing w:line="240" w:lineRule="auto"/>
              <w:jc w:val="center"/>
              <w:rPr>
                <w:b/>
                <w:bCs/>
                <w:color w:val="000000" w:themeColor="text1"/>
                <w:highlight w:val="none"/>
                <w:lang w:val="zh-CN"/>
                <w14:textFill>
                  <w14:solidFill>
                    <w14:schemeClr w14:val="tx1"/>
                  </w14:solidFill>
                </w14:textFill>
              </w:rPr>
            </w:pPr>
            <w:r>
              <w:rPr>
                <w:rFonts w:hint="eastAsia"/>
                <w:b/>
                <w:bCs/>
                <w:color w:val="000000" w:themeColor="text1"/>
                <w:highlight w:val="none"/>
                <w:lang w:val="zh-CN"/>
                <w14:textFill>
                  <w14:solidFill>
                    <w14:schemeClr w14:val="tx1"/>
                  </w14:solidFill>
                </w14:textFill>
              </w:rPr>
              <w:t>价格部分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1939" w:type="dxa"/>
            <w:tcBorders>
              <w:top w:val="single" w:color="auto" w:sz="2"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权重</w:t>
            </w:r>
          </w:p>
        </w:tc>
        <w:tc>
          <w:tcPr>
            <w:tcW w:w="2563" w:type="dxa"/>
            <w:tcBorders>
              <w:top w:val="single" w:color="auto" w:sz="2"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1</w:t>
            </w:r>
            <w:r>
              <w:rPr>
                <w:rFonts w:hint="eastAsia"/>
                <w:color w:val="000000" w:themeColor="text1"/>
                <w:highlight w:val="none"/>
                <w:lang w:val="zh-CN"/>
                <w14:textFill>
                  <w14:solidFill>
                    <w14:schemeClr w14:val="tx1"/>
                  </w14:solidFill>
                </w14:textFill>
              </w:rPr>
              <w:t>0%</w:t>
            </w:r>
          </w:p>
        </w:tc>
        <w:tc>
          <w:tcPr>
            <w:tcW w:w="2417" w:type="dxa"/>
            <w:tcBorders>
              <w:top w:val="single" w:color="auto" w:sz="2"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7</w:t>
            </w:r>
            <w:r>
              <w:rPr>
                <w:rFonts w:hint="eastAsia"/>
                <w:color w:val="000000" w:themeColor="text1"/>
                <w:highlight w:val="none"/>
                <w:lang w:val="zh-CN"/>
                <w14:textFill>
                  <w14:solidFill>
                    <w14:schemeClr w14:val="tx1"/>
                  </w14:solidFill>
                </w14:textFill>
              </w:rPr>
              <w:t>0%</w:t>
            </w:r>
          </w:p>
        </w:tc>
        <w:tc>
          <w:tcPr>
            <w:tcW w:w="2413" w:type="dxa"/>
            <w:tcBorders>
              <w:top w:val="single" w:color="auto" w:sz="2"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20</w:t>
            </w:r>
            <w:r>
              <w:rPr>
                <w:rFonts w:hint="eastAsia"/>
                <w:color w:val="000000" w:themeColor="text1"/>
                <w:highlight w:val="none"/>
                <w:lang w:val="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1939"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分值</w:t>
            </w:r>
          </w:p>
        </w:tc>
        <w:tc>
          <w:tcPr>
            <w:tcW w:w="2563"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1</w:t>
            </w:r>
            <w:r>
              <w:rPr>
                <w:rFonts w:hint="eastAsia"/>
                <w:color w:val="000000" w:themeColor="text1"/>
                <w:highlight w:val="none"/>
                <w:lang w:val="zh-CN"/>
                <w14:textFill>
                  <w14:solidFill>
                    <w14:schemeClr w14:val="tx1"/>
                  </w14:solidFill>
                </w14:textFill>
              </w:rPr>
              <w:t>0分</w:t>
            </w:r>
          </w:p>
        </w:tc>
        <w:tc>
          <w:tcPr>
            <w:tcW w:w="2417"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7</w:t>
            </w:r>
            <w:r>
              <w:rPr>
                <w:rFonts w:hint="eastAsia"/>
                <w:color w:val="000000" w:themeColor="text1"/>
                <w:highlight w:val="none"/>
                <w:lang w:val="zh-CN"/>
                <w14:textFill>
                  <w14:solidFill>
                    <w14:schemeClr w14:val="tx1"/>
                  </w14:solidFill>
                </w14:textFill>
              </w:rPr>
              <w:t>0分</w:t>
            </w:r>
          </w:p>
        </w:tc>
        <w:tc>
          <w:tcPr>
            <w:tcW w:w="2413"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lang w:val="zh-CN"/>
                <w14:textFill>
                  <w14:solidFill>
                    <w14:schemeClr w14:val="tx1"/>
                  </w14:solidFill>
                </w14:textFill>
              </w:rPr>
              <w:t>0分</w:t>
            </w:r>
          </w:p>
        </w:tc>
      </w:tr>
    </w:tbl>
    <w:p>
      <w:pPr>
        <w:tabs>
          <w:tab w:val="left" w:pos="1260"/>
        </w:tabs>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（2）详细评审表：</w:t>
      </w:r>
    </w:p>
    <w:tbl>
      <w:tblPr>
        <w:tblStyle w:val="39"/>
        <w:tblW w:w="48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761"/>
        <w:gridCol w:w="679"/>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jc w:val="center"/>
        </w:trPr>
        <w:tc>
          <w:tcPr>
            <w:tcW w:w="426"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942"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评审项目</w:t>
            </w:r>
          </w:p>
        </w:tc>
        <w:tc>
          <w:tcPr>
            <w:tcW w:w="363"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分值</w:t>
            </w:r>
          </w:p>
        </w:tc>
        <w:tc>
          <w:tcPr>
            <w:tcW w:w="3269"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4"/>
            <w:tcBorders>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技术评审（70分）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426" w:type="pct"/>
            <w:tcBorders>
              <w:left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942" w:type="pct"/>
            <w:tcBorders>
              <w:left w:val="single" w:color="auto" w:sz="4" w:space="0"/>
              <w:right w:val="single" w:color="auto" w:sz="4" w:space="0"/>
            </w:tcBorders>
            <w:vAlign w:val="center"/>
          </w:tcPr>
          <w:p>
            <w:pPr>
              <w:autoSpaceDE w:val="0"/>
              <w:autoSpaceDN w:val="0"/>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对用户需求书“技术要求”中带▲号的重要参数响应程度</w:t>
            </w:r>
          </w:p>
        </w:tc>
        <w:tc>
          <w:tcPr>
            <w:tcW w:w="363" w:type="pct"/>
            <w:tcBorders>
              <w:left w:val="single" w:color="auto" w:sz="4" w:space="0"/>
              <w:right w:val="single" w:color="auto" w:sz="4" w:space="0"/>
            </w:tcBorders>
            <w:vAlign w:val="center"/>
          </w:tcPr>
          <w:p>
            <w:pPr>
              <w:autoSpaceDE w:val="0"/>
              <w:autoSpaceDN w:val="0"/>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40分</w:t>
            </w:r>
          </w:p>
        </w:tc>
        <w:tc>
          <w:tcPr>
            <w:tcW w:w="326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用户需求书“技术要求”中带▲号的重要参数，每满足一条得</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分，全部满足得满分。</w:t>
            </w:r>
          </w:p>
          <w:p>
            <w:pPr>
              <w:autoSpaceDE w:val="0"/>
              <w:autoSpaceDN w:val="0"/>
              <w:spacing w:line="240" w:lineRule="auto"/>
              <w:rPr>
                <w:color w:val="000000" w:themeColor="text1"/>
                <w:highlight w:val="none"/>
                <w14:textFill>
                  <w14:solidFill>
                    <w14:schemeClr w14:val="tx1"/>
                  </w14:solidFill>
                </w14:textFill>
              </w:rPr>
            </w:pPr>
          </w:p>
          <w:p>
            <w:pPr>
              <w:autoSpaceDE w:val="0"/>
              <w:autoSpaceDN w:val="0"/>
              <w:spacing w:line="24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（参与本项评审的“▲”号技重要参数总数：共</w:t>
            </w:r>
            <w:r>
              <w:rPr>
                <w:rFonts w:hint="eastAsia"/>
                <w:b/>
                <w:bCs/>
                <w:color w:val="000000" w:themeColor="text1"/>
                <w:highlight w:val="none"/>
                <w:lang w:val="en-US" w:eastAsia="zh-CN"/>
                <w14:textFill>
                  <w14:solidFill>
                    <w14:schemeClr w14:val="tx1"/>
                  </w14:solidFill>
                </w14:textFill>
              </w:rPr>
              <w:t>8</w:t>
            </w:r>
            <w:r>
              <w:rPr>
                <w:rFonts w:hint="eastAsia"/>
                <w:b/>
                <w:bCs/>
                <w:color w:val="000000" w:themeColor="text1"/>
                <w:highlight w:val="none"/>
                <w14:textFill>
                  <w14:solidFill>
                    <w14:schemeClr w14:val="tx1"/>
                  </w14:solidFill>
                </w14:textFill>
              </w:rPr>
              <w:t>条）</w:t>
            </w:r>
          </w:p>
          <w:p>
            <w:pPr>
              <w:autoSpaceDE w:val="0"/>
              <w:autoSpaceDN w:val="0"/>
              <w:spacing w:line="240" w:lineRule="auto"/>
              <w:rPr>
                <w:color w:val="000000" w:themeColor="text1"/>
                <w:highlight w:val="none"/>
                <w14:textFill>
                  <w14:solidFill>
                    <w14:schemeClr w14:val="tx1"/>
                  </w14:solidFill>
                </w14:textFill>
              </w:rPr>
            </w:pP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1）本项评审证明文件，如果采购需求有要求的，按照采购需求的要求提供证明文件；若没有要求，投标人可以提供承诺或可以满足响应内容的证明文件，但任何一类证明文件应该清晰明确反应相关响应的信息，否则评标委员会有权视相应条款响应内容不满足招标文件要求（如制造商的说明书为外文版，请同时提供中文版）。</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（2）如后面的评审内容中，对某个“▲”号重要参数进行单独评审，则该条款不列入本项评审。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942"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对用户需求书“技术要求”中不带★、▲号的一般参数的响应程度</w:t>
            </w:r>
          </w:p>
        </w:tc>
        <w:tc>
          <w:tcPr>
            <w:tcW w:w="36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9分</w:t>
            </w:r>
          </w:p>
        </w:tc>
        <w:tc>
          <w:tcPr>
            <w:tcW w:w="326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对用户需求书“技术要求”中不带“★、▲”号的一般参数的响应，得分计算方式如下：</w:t>
            </w:r>
            <w:r>
              <w:rPr>
                <w:rFonts w:hint="eastAsia"/>
                <w:color w:val="000000" w:themeColor="text1"/>
                <w:highlight w:val="none"/>
                <w14:textFill>
                  <w14:solidFill>
                    <w14:schemeClr w14:val="tx1"/>
                  </w14:solidFill>
                </w14:textFill>
              </w:rPr>
              <w:br w:type="textWrapping"/>
            </w:r>
            <w:r>
              <w:rPr>
                <w:rFonts w:hint="eastAsia"/>
                <w:color w:val="000000" w:themeColor="text1"/>
                <w:highlight w:val="none"/>
                <w14:textFill>
                  <w14:solidFill>
                    <w14:schemeClr w14:val="tx1"/>
                  </w14:solidFill>
                </w14:textFill>
              </w:rPr>
              <w:t>一般参数响应得分=(一般参数满足条款的数量÷一般参数总数量)×满分分值，结果保留两位小数。</w:t>
            </w:r>
          </w:p>
          <w:p>
            <w:pPr>
              <w:autoSpaceDE w:val="0"/>
              <w:autoSpaceDN w:val="0"/>
              <w:spacing w:line="240" w:lineRule="auto"/>
              <w:rPr>
                <w:color w:val="000000" w:themeColor="text1"/>
                <w:highlight w:val="none"/>
                <w14:textFill>
                  <w14:solidFill>
                    <w14:schemeClr w14:val="tx1"/>
                  </w14:solidFill>
                </w14:textFill>
              </w:rPr>
            </w:pPr>
          </w:p>
          <w:p>
            <w:pPr>
              <w:autoSpaceDE w:val="0"/>
              <w:autoSpaceDN w:val="0"/>
              <w:spacing w:line="240" w:lineRule="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（参与本项评审的一般参数总数：共</w:t>
            </w:r>
            <w:r>
              <w:rPr>
                <w:b/>
                <w:bCs/>
                <w:color w:val="000000" w:themeColor="text1"/>
                <w:highlight w:val="none"/>
                <w14:textFill>
                  <w14:solidFill>
                    <w14:schemeClr w14:val="tx1"/>
                  </w14:solidFill>
                </w14:textFill>
              </w:rPr>
              <w:t>3</w:t>
            </w:r>
            <w:r>
              <w:rPr>
                <w:rFonts w:hint="eastAsia"/>
                <w:b/>
                <w:bCs/>
                <w:color w:val="000000" w:themeColor="text1"/>
                <w:highlight w:val="none"/>
                <w14:textFill>
                  <w14:solidFill>
                    <w14:schemeClr w14:val="tx1"/>
                  </w14:solidFill>
                </w14:textFill>
              </w:rPr>
              <w:t>条）</w:t>
            </w:r>
          </w:p>
          <w:p>
            <w:pPr>
              <w:autoSpaceDE w:val="0"/>
              <w:autoSpaceDN w:val="0"/>
              <w:spacing w:line="240" w:lineRule="auto"/>
              <w:rPr>
                <w:color w:val="000000" w:themeColor="text1"/>
                <w:highlight w:val="none"/>
                <w14:textFill>
                  <w14:solidFill>
                    <w14:schemeClr w14:val="tx1"/>
                  </w14:solidFill>
                </w14:textFill>
              </w:rPr>
            </w:pP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1）本项评审证明文件，如果采购需求有要求的，按照采购需求的要求提供证明文件；若没有要求，投标人可以提供承诺或可以满足响应内容的证明文件，但任何一类证明文件应该清晰明确反应相关响应的信息，否则评标委员会有权视相应条款响应内容不满足招标文件要求（如制造商说明书为外文版，请同时提供中文版）。</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（2）如后面的评审内容中，对某个不带“▲”号的一般参数进行单独评审，则该条款不列入本项评审。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942"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拟投入人员情况</w:t>
            </w:r>
          </w:p>
        </w:tc>
        <w:tc>
          <w:tcPr>
            <w:tcW w:w="36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5分</w:t>
            </w:r>
          </w:p>
        </w:tc>
        <w:tc>
          <w:tcPr>
            <w:tcW w:w="3269" w:type="pct"/>
            <w:tcBorders>
              <w:top w:val="single" w:color="auto" w:sz="4" w:space="0"/>
              <w:left w:val="single" w:color="auto" w:sz="4" w:space="0"/>
              <w:bottom w:val="single" w:color="auto" w:sz="4" w:space="0"/>
              <w:right w:val="single" w:color="auto" w:sz="4" w:space="0"/>
            </w:tcBorders>
            <w:vAlign w:val="center"/>
          </w:tcPr>
          <w:p>
            <w:pPr>
              <w:pStyle w:val="2"/>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拟投入本项目的维修工程师具有本项目设备制造商 同品牌显微镜的维修技术，经原厂培训合格，提供相关技术支持文件(提供相应培训证书或获得原厂承诺的原厂工程师支持)。每提供1名工程师得1分，最多得5分。无相关证明文件不得分。</w:t>
            </w:r>
          </w:p>
          <w:p>
            <w:pPr>
              <w:pStyle w:val="2"/>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备注：须提供在有效期内的原厂服务资质证明或提供有效期内的经设备厂家培训机构针对与本项目同系列产品的培训合格证书，并提供相关社保证明材料。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942"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维保服务实施方案</w:t>
            </w:r>
          </w:p>
        </w:tc>
        <w:tc>
          <w:tcPr>
            <w:tcW w:w="36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分</w:t>
            </w:r>
          </w:p>
        </w:tc>
        <w:tc>
          <w:tcPr>
            <w:tcW w:w="326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根据投标人维保服务实施方案（包括免费保修时间和范围、响应和解决问题时间、日常维护、巡检、保养方案等）进行评议：</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1.方案全面合理、专业性强，充分理解掌握采购人的实际需求、科学合理，优于采购需求，得8分；</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2.方案较为全面合理、专业性较强，掌握采购人的实际需求、科学合理，满足采购需求，得5分；</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3.方案全面性、合理性、专业性一般，对采购人实际需求理解不够充分，基本满足用户需求，得2分；</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26"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942"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项目各项质量指标的承诺及目标</w:t>
            </w:r>
          </w:p>
        </w:tc>
        <w:tc>
          <w:tcPr>
            <w:tcW w:w="36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分</w:t>
            </w:r>
          </w:p>
        </w:tc>
        <w:tc>
          <w:tcPr>
            <w:tcW w:w="326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1.项目各项质量指标、目标明确，承诺内容清晰良好，优于采购需求，得8分；</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2.项目各项质量指标、目标基本清晰，承诺内容较为清晰，满足采购需求，得5分；</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3.具有项目各项质量指标、目标，承诺内容不够清晰，基本满足采购需求，得2分；</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p>
            <w:pPr>
              <w:adjustRightInd w:val="0"/>
              <w:snapToGrid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1.供应商应根据评审项目或内容提交相关的证明材料。</w:t>
            </w:r>
          </w:p>
          <w:p>
            <w:pPr>
              <w:adjustRightInd w:val="0"/>
              <w:snapToGrid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2.供应商未提供各项评审的相关内容证明文件或证明文件模糊不清（有有效期的，须在有效期内），以致评委无法做出准确评判时，该项得分为0分。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商务评审（</w:t>
            </w:r>
            <w:r>
              <w:rPr>
                <w:b/>
                <w:bCs/>
                <w:color w:val="000000" w:themeColor="text1"/>
                <w:highlight w:val="none"/>
                <w14:textFill>
                  <w14:solidFill>
                    <w14:schemeClr w14:val="tx1"/>
                  </w14:solidFill>
                </w14:textFill>
              </w:rPr>
              <w:t>1</w:t>
            </w:r>
            <w:r>
              <w:rPr>
                <w:rFonts w:hint="eastAsia"/>
                <w:b/>
                <w:bCs/>
                <w:color w:val="000000" w:themeColor="text1"/>
                <w:highlight w:val="none"/>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tcBorders>
              <w:top w:val="single" w:color="auto" w:sz="4" w:space="0"/>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942"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同类项目业绩经验</w:t>
            </w:r>
          </w:p>
        </w:tc>
        <w:tc>
          <w:tcPr>
            <w:tcW w:w="363"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5分</w:t>
            </w:r>
          </w:p>
        </w:tc>
        <w:tc>
          <w:tcPr>
            <w:tcW w:w="326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每提供一份业绩合同得1分，最高得5分。</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备注：提供2019年1月1日至投标截止时间之日，投标人具有与本项目维保设备同品牌同类型设备的维修保养合同，以合同复印件作为证明资料，以签订合同的时间为准。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提供合同复印件，须包含货物品牌、签订日期等关键信息，关键信息不完整的不得分。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26" w:type="pct"/>
            <w:tcBorders>
              <w:left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942" w:type="pct"/>
            <w:tcBorders>
              <w:left w:val="single" w:color="auto" w:sz="4" w:space="0"/>
              <w:right w:val="single" w:color="auto" w:sz="4" w:space="0"/>
            </w:tcBorders>
            <w:vAlign w:val="center"/>
          </w:tcPr>
          <w:p>
            <w:pPr>
              <w:autoSpaceDE w:val="0"/>
              <w:autoSpaceDN w:val="0"/>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用户满意情况</w:t>
            </w:r>
          </w:p>
        </w:tc>
        <w:tc>
          <w:tcPr>
            <w:tcW w:w="363" w:type="pct"/>
            <w:tcBorders>
              <w:left w:val="single" w:color="auto" w:sz="4" w:space="0"/>
              <w:right w:val="single" w:color="auto" w:sz="4" w:space="0"/>
            </w:tcBorders>
            <w:vAlign w:val="center"/>
          </w:tcPr>
          <w:p>
            <w:pPr>
              <w:autoSpaceDE w:val="0"/>
              <w:autoSpaceDN w:val="0"/>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5分</w:t>
            </w:r>
          </w:p>
        </w:tc>
        <w:tc>
          <w:tcPr>
            <w:tcW w:w="326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2019年1月1日至投标截止时间之日，投标人完成上述项目（同类项目业绩经验）具有用户单位出具的评价为类似“满意”或“非常满意”的满意度调查表或用户评价（须加盖用户单位印章）。</w:t>
            </w:r>
          </w:p>
          <w:p>
            <w:pPr>
              <w:autoSpaceDE w:val="0"/>
              <w:autoSpaceDN w:val="0"/>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其他表达满意度的词语，由评委参照以上评价等级程度认定对应的评价等级。同一客户/同一项目多份评价只计一份。</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每提供1份得1分，最高得5分。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000" w:type="pct"/>
            <w:gridSpan w:val="4"/>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1.供应商应根据评审项目或内容提交相关的证明材料。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2.供应商未提供各项评审的相关内容证明文件或证明文件模糊不清（有有效期的，须在有效期内），以致评委无法做出准确评判时，该项得分为0分。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000" w:type="pct"/>
            <w:gridSpan w:val="4"/>
            <w:tcBorders>
              <w:left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价格评审（20分）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26" w:type="pct"/>
            <w:tcBorders>
              <w:left w:val="single" w:color="auto" w:sz="4" w:space="0"/>
              <w:bottom w:val="single" w:color="auto" w:sz="4" w:space="0"/>
              <w:right w:val="single" w:color="auto" w:sz="4" w:space="0"/>
            </w:tcBorders>
            <w:vAlign w:val="center"/>
          </w:tcPr>
          <w:p>
            <w:pPr>
              <w:spacing w:after="1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942" w:type="pct"/>
            <w:tcBorders>
              <w:left w:val="single" w:color="auto" w:sz="4" w:space="0"/>
              <w:bottom w:val="single" w:color="auto" w:sz="4" w:space="0"/>
              <w:right w:val="single" w:color="auto" w:sz="4" w:space="0"/>
            </w:tcBorders>
            <w:vAlign w:val="center"/>
          </w:tcPr>
          <w:p>
            <w:pPr>
              <w:adjustRightInd w:val="0"/>
              <w:snapToGrid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价格得分</w:t>
            </w:r>
          </w:p>
        </w:tc>
        <w:tc>
          <w:tcPr>
            <w:tcW w:w="363" w:type="pct"/>
            <w:tcBorders>
              <w:left w:val="single" w:color="auto" w:sz="4" w:space="0"/>
              <w:bottom w:val="single" w:color="auto" w:sz="4" w:space="0"/>
              <w:right w:val="single" w:color="auto" w:sz="4" w:space="0"/>
            </w:tcBorders>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20</w:t>
            </w:r>
            <w:r>
              <w:rPr>
                <w:rFonts w:hint="eastAsia"/>
                <w:color w:val="000000" w:themeColor="text1"/>
                <w:highlight w:val="none"/>
                <w14:textFill>
                  <w14:solidFill>
                    <w14:schemeClr w14:val="tx1"/>
                  </w14:solidFill>
                </w14:textFill>
              </w:rPr>
              <w:t>分</w:t>
            </w:r>
          </w:p>
        </w:tc>
        <w:tc>
          <w:tcPr>
            <w:tcW w:w="3269" w:type="pct"/>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价格评估得分采用低价优先法计算，投标报价得分＝（评标基准价/投标报价）×价格分值【注：通过资格和符合性审查且投标价格最低的投标报价为评标基准价。】最低报价不是中标的唯一依据。因落实政府采购政策进行价格调整的，以调整后的价格计算评标基准价和投标报价。</w:t>
            </w:r>
          </w:p>
        </w:tc>
      </w:tr>
    </w:tbl>
    <w:p>
      <w:pPr>
        <w:tabs>
          <w:tab w:val="left" w:pos="1260"/>
        </w:tabs>
        <w:ind w:firstLine="420" w:firstLineChars="200"/>
        <w:rPr>
          <w:color w:val="000000" w:themeColor="text1"/>
          <w:highlight w:val="none"/>
          <w14:textFill>
            <w14:solidFill>
              <w14:schemeClr w14:val="tx1"/>
            </w14:solidFill>
          </w14:textFill>
        </w:rPr>
      </w:pP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29.2 重要技术参数的响应情况描述须与投标文件中提供的厂家产品彩页或厂家官方网站公布的资料</w:t>
      </w:r>
      <w:r>
        <w:rPr>
          <w:rFonts w:hint="eastAsia"/>
          <w:color w:val="000000" w:themeColor="text1"/>
          <w:sz w:val="24"/>
          <w:szCs w:val="24"/>
          <w:highlight w:val="none"/>
          <w14:textFill>
            <w14:solidFill>
              <w14:schemeClr w14:val="tx1"/>
            </w14:solidFill>
          </w14:textFill>
        </w:rPr>
        <w:t>或者厂家官方的其他证明材料</w:t>
      </w:r>
      <w:r>
        <w:rPr>
          <w:color w:val="000000" w:themeColor="text1"/>
          <w:sz w:val="24"/>
          <w:szCs w:val="24"/>
          <w:highlight w:val="none"/>
          <w14:textFill>
            <w14:solidFill>
              <w14:schemeClr w14:val="tx1"/>
            </w14:solidFill>
          </w14:textFill>
        </w:rPr>
        <w:t>相一致。由于厂家的产品彩页或厂家官方网站公布的资料更新滞后造成所投产品技术参数相比厂家产品彩页说明或厂家官方网站资料确有改进或不同的，须在“技术规格/要求偏离表”的备注栏中做出特别说明并提供经厂家确认的证明材料。投标文件中的技术参数描述与厂家的产品彩页和厂家官方网站公布的资料不一致而又没有在“技术规格/要求偏离表”备注栏中做出说明并提供厂家证明材料支持的，均视为该项参数响应为“负偏离”，若投标文件出现多处类似情形，评标专家可认定投标人虚假响应并向财政部报告。</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29.3 综合评分法中的价格分计算</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评标委员会对于节能产品、环境标志产品的价格扣除，依据投标人填写的《产品适用政府采购政策情况表》（如有）。</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29.3.1 本项目所属行业【</w:t>
      </w:r>
      <w:r>
        <w:rPr>
          <w:rFonts w:hint="eastAsia"/>
          <w:color w:val="000000" w:themeColor="text1"/>
          <w:sz w:val="24"/>
          <w:szCs w:val="24"/>
          <w:highlight w:val="none"/>
          <w14:textFill>
            <w14:solidFill>
              <w14:schemeClr w14:val="tx1"/>
            </w14:solidFill>
          </w14:textFill>
        </w:rPr>
        <w:t>其他未列明行业</w:t>
      </w:r>
      <w:r>
        <w:rPr>
          <w:color w:val="000000" w:themeColor="text1"/>
          <w:sz w:val="24"/>
          <w:szCs w:val="24"/>
          <w:highlight w:val="none"/>
          <w14:textFill>
            <w14:solidFill>
              <w14:schemeClr w14:val="tx1"/>
            </w14:solidFill>
          </w14:textFill>
        </w:rPr>
        <w:t>】，属于非专门面向中小微型企业采购的项目，依照《政府采购促进中小企业发展管理办法》【财库（2020）46 号】</w:t>
      </w:r>
      <w:r>
        <w:rPr>
          <w:rFonts w:hint="eastAsia"/>
          <w:color w:val="000000" w:themeColor="text1"/>
          <w:sz w:val="24"/>
          <w:szCs w:val="24"/>
          <w:highlight w:val="none"/>
          <w14:textFill>
            <w14:solidFill>
              <w14:schemeClr w14:val="tx1"/>
            </w14:solidFill>
          </w14:textFill>
        </w:rPr>
        <w:t>、</w:t>
      </w:r>
      <w:r>
        <w:rPr>
          <w:color w:val="000000" w:themeColor="text1"/>
          <w:sz w:val="24"/>
          <w:szCs w:val="24"/>
          <w:highlight w:val="none"/>
          <w14:textFill>
            <w14:solidFill>
              <w14:schemeClr w14:val="tx1"/>
            </w14:solidFill>
          </w14:textFill>
        </w:rPr>
        <w:t>《</w:t>
      </w:r>
      <w:r>
        <w:rPr>
          <w:rFonts w:hint="eastAsia"/>
          <w:color w:val="000000" w:themeColor="text1"/>
          <w:sz w:val="24"/>
          <w:szCs w:val="24"/>
          <w:highlight w:val="none"/>
          <w14:textFill>
            <w14:solidFill>
              <w14:schemeClr w14:val="tx1"/>
            </w14:solidFill>
          </w14:textFill>
        </w:rPr>
        <w:t>关于进一步加大政府采购支持中小企业力度的通知</w:t>
      </w:r>
      <w:r>
        <w:rPr>
          <w:color w:val="000000" w:themeColor="text1"/>
          <w:sz w:val="24"/>
          <w:szCs w:val="24"/>
          <w:highlight w:val="none"/>
          <w14:textFill>
            <w14:solidFill>
              <w14:schemeClr w14:val="tx1"/>
            </w14:solidFill>
          </w14:textFill>
        </w:rPr>
        <w:t>》【财库（2022）19 号】的规定， 凡符合要求的有效投标人按照以下比例给予相应的价格扣除：</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1945"/>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260"/>
              </w:tabs>
              <w:spacing w:line="264" w:lineRule="auto"/>
              <w:jc w:val="center"/>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2694" w:type="dxa"/>
            <w:vAlign w:val="center"/>
          </w:tcPr>
          <w:p>
            <w:pPr>
              <w:tabs>
                <w:tab w:val="left" w:pos="1260"/>
              </w:tabs>
              <w:spacing w:line="264" w:lineRule="auto"/>
              <w:jc w:val="center"/>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t>情形</w:t>
            </w:r>
          </w:p>
        </w:tc>
        <w:tc>
          <w:tcPr>
            <w:tcW w:w="1945" w:type="dxa"/>
            <w:vAlign w:val="center"/>
          </w:tcPr>
          <w:p>
            <w:pPr>
              <w:tabs>
                <w:tab w:val="left" w:pos="1260"/>
              </w:tabs>
              <w:spacing w:line="264" w:lineRule="auto"/>
              <w:jc w:val="center"/>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t>价格扣除比例</w:t>
            </w:r>
          </w:p>
        </w:tc>
        <w:tc>
          <w:tcPr>
            <w:tcW w:w="4069" w:type="dxa"/>
            <w:vAlign w:val="center"/>
          </w:tcPr>
          <w:p>
            <w:pPr>
              <w:tabs>
                <w:tab w:val="left" w:pos="1260"/>
              </w:tabs>
              <w:spacing w:line="264" w:lineRule="auto"/>
              <w:jc w:val="center"/>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00"/>
              <w:spacing w:before="59" w:line="217"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2694" w:type="dxa"/>
          </w:tcPr>
          <w:p>
            <w:pPr>
              <w:pStyle w:val="200"/>
              <w:spacing w:before="59" w:line="217" w:lineRule="auto"/>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服务由小型、微型企业，监狱企业，残疾人福利性单位承接</w:t>
            </w:r>
          </w:p>
        </w:tc>
        <w:tc>
          <w:tcPr>
            <w:tcW w:w="1945" w:type="dxa"/>
          </w:tcPr>
          <w:p>
            <w:pPr>
              <w:pStyle w:val="200"/>
              <w:spacing w:before="59" w:line="217"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4069" w:type="dxa"/>
          </w:tcPr>
          <w:p>
            <w:pPr>
              <w:pStyle w:val="200"/>
              <w:spacing w:before="59" w:line="217" w:lineRule="auto"/>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服务由小微企业承接，即提供服务的人员为小微企业依照《中华人民共和国劳动合同法》订立劳动合同的从业人员时，给予价格扣除C1，即：评标价=投标报价×（1-C1）；监狱企业与残疾人福利性单位视同小型、微型企业，享受同等价格扣除，当企业属性重复时，不重复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00"/>
              <w:spacing w:before="59" w:line="217"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2694" w:type="dxa"/>
          </w:tcPr>
          <w:p>
            <w:pPr>
              <w:pStyle w:val="200"/>
              <w:spacing w:before="59" w:line="217" w:lineRule="auto"/>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联合体一方为小型、微 型企业且小型、微型企 业协议合同金额占联合体协议合同总金额 30%以上的或者允许大中型企业向一家或者多家小微企业分包的且分包意向协议中约定小微企业的合同份额占到合同总金额 30%以上的</w:t>
            </w:r>
          </w:p>
        </w:tc>
        <w:tc>
          <w:tcPr>
            <w:tcW w:w="1945" w:type="dxa"/>
          </w:tcPr>
          <w:p>
            <w:pPr>
              <w:pStyle w:val="200"/>
              <w:spacing w:before="59" w:line="217" w:lineRule="auto"/>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对联合体总金额或者大中型 企业的报价扣除 4%</w:t>
            </w:r>
          </w:p>
        </w:tc>
        <w:tc>
          <w:tcPr>
            <w:tcW w:w="4069" w:type="dxa"/>
          </w:tcPr>
          <w:p>
            <w:pPr>
              <w:pStyle w:val="200"/>
              <w:spacing w:before="59" w:line="217" w:lineRule="auto"/>
              <w:rPr>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评标价＝总投标报价×(1-4%)</w:t>
            </w:r>
          </w:p>
        </w:tc>
      </w:tr>
    </w:tbl>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注：</w:t>
      </w:r>
      <w:r>
        <w:rPr>
          <w:rFonts w:hint="eastAsia" w:ascii="宋体" w:hAnsi="宋体" w:cs="宋体"/>
          <w:color w:val="000000" w:themeColor="text1"/>
          <w:sz w:val="24"/>
          <w:szCs w:val="24"/>
          <w:highlight w:val="none"/>
          <w14:textFill>
            <w14:solidFill>
              <w14:schemeClr w14:val="tx1"/>
            </w14:solidFill>
          </w14:textFill>
        </w:rPr>
        <w:t>①</w:t>
      </w:r>
      <w:r>
        <w:rPr>
          <w:color w:val="000000" w:themeColor="text1"/>
          <w:sz w:val="24"/>
          <w:szCs w:val="24"/>
          <w:highlight w:val="none"/>
          <w14:textFill>
            <w14:solidFill>
              <w14:schemeClr w14:val="tx1"/>
            </w14:solidFill>
          </w14:textFill>
        </w:rPr>
        <w:t>应标货物中有大中型企业生产的货物，则不享受以上优惠；</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②</w:t>
      </w:r>
      <w:r>
        <w:rPr>
          <w:color w:val="000000" w:themeColor="text1"/>
          <w:sz w:val="24"/>
          <w:szCs w:val="24"/>
          <w:highlight w:val="none"/>
          <w14:textFill>
            <w14:solidFill>
              <w14:schemeClr w14:val="tx1"/>
            </w14:solidFill>
          </w14:textFill>
        </w:rPr>
        <w:t>无法认定小型和微型企业的，不享受价格扣除。组成联合体或者接受分包的小微企业与联合体内其他企业、分包企业之间存在直接控股、管理关系的，不享受价格扣除优惠政策。</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③</w:t>
      </w:r>
      <w:r>
        <w:rPr>
          <w:color w:val="000000" w:themeColor="text1"/>
          <w:sz w:val="24"/>
          <w:szCs w:val="24"/>
          <w:highlight w:val="none"/>
          <w14:textFill>
            <w14:solidFill>
              <w14:schemeClr w14:val="tx1"/>
            </w14:solidFill>
          </w14:textFill>
        </w:rPr>
        <w:t>监狱企业视同小微企业，监狱企业投标的提供由省级以上监狱管理局、戒毒管理局(含新疆生产建设兵团)出具的属于监狱企业的证明文件，不再提供《中小微企业声明函》；残疾人福利性单位在参加政府采购活动时，提供《残疾人福利性单位声明函》，视同小型、微型企业，享受评审中价格扣除等促进中小企业发展的政府采购政策，残疾人福利性单位属于小型、微型企业的，不重复享受政策。参加政府采购活动的中小企业应当提供《中小企业声明函》。符合中小企业划分标准的个体工商户，在政府采购活动中视同中小企业。</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④</w:t>
      </w:r>
      <w:r>
        <w:rPr>
          <w:color w:val="000000" w:themeColor="text1"/>
          <w:sz w:val="24"/>
          <w:szCs w:val="24"/>
          <w:highlight w:val="none"/>
          <w14:textFill>
            <w14:solidFill>
              <w14:schemeClr w14:val="tx1"/>
            </w14:solidFill>
          </w14:textFill>
        </w:rPr>
        <w:t>对中型、小型、微型企业的说明：</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根据财政部、工业和信息化部印发的《政府采购促进中小企业发展管理办法》的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货物采购需符合下列条件：供应商提供的全部货物由小微企业制造（即全部货物由小微企业生产且使用该小微企业商号或者注册商标）。投标产品中仅有部分小型和微型企业产品的，不享受小微企业价格评审优惠政策。</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依据上述规定享受扶持政策获得政府采购合同的，小微企业不得将合同分包给大中型企业，中型企业不得将合同分包给大型企业。</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29.3.2 采用节能产品、环境标志产品的,对报价中属于优先采购品目的节能产品、环境标志产品金额给予价格扣除（强制采购品目的节能产品不执行价格扣除）,扣除方法如下:</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评标价＝总投标报价-节能产品价格×2%-环境标志产品的价格×2%</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29.3.3 对于同时是小微企业产品、节能产品和环境标志产品的价格扣除方法如下：</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评标价＝总投标报价-总投标报价×10%-节能产品价格×2%-环境标志产品的价格×2%。</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29.4 计算价格评分：价格分统一采用低价优先法计算，各有效投标人的评标价中，取最低价为评标基准价，其价格分为满分。其他投标人的价格分统一按照下列公式计算：</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29.4.1 价格评分=（评标基准价／评标价）×价格分</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29.4.2 评标价仅用于计算价格评分，中标金额以实际投标价为准。</w:t>
      </w:r>
    </w:p>
    <w:p>
      <w:pPr>
        <w:tabs>
          <w:tab w:val="left" w:pos="1260"/>
        </w:tabs>
        <w:spacing w:line="360" w:lineRule="auto"/>
        <w:ind w:firstLine="480" w:firstLineChars="200"/>
        <w:rPr>
          <w:color w:val="000000" w:themeColor="text1"/>
          <w:sz w:val="24"/>
          <w:szCs w:val="24"/>
          <w:highlight w:val="none"/>
          <w14:textFill>
            <w14:solidFill>
              <w14:schemeClr w14:val="tx1"/>
            </w14:solidFill>
          </w14:textFill>
        </w:rPr>
      </w:pP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30. 中标人的确定</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30.1 评标委员会按评分表规定的评分因素和权重对投标人进行评分。各个评委对某一投标人的算术平均值，并取小数点后的2 位数，作为该投标人的综合得分。评标委员会按综合得分由高到低的原则进行排序，综合得分相同的，按下列顺序比较确定：</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（1）投标报价（由低到高）；</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（2）技术商务得分（由高到低）。</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综合得分、投标报价和技术商务评审得分均相同的，名次由评标委员会投票确定。评标委员会根据最终评审的结果，推荐符合中标条件的1 至3 名中标候选人，采购人亦可授权评标委员会直接确定排名第一的中标候选人为实际中标人。（关于同品牌产品参加同一合同项（或同一包组）投标：使用综合评分法的采购项目，任意一种核心产品品牌相同</w:t>
      </w:r>
      <w:r>
        <w:rPr>
          <w:rFonts w:hint="eastAsia"/>
          <w:color w:val="000000" w:themeColor="text1"/>
          <w:sz w:val="24"/>
          <w:szCs w:val="24"/>
          <w:highlight w:val="none"/>
          <w14:textFill>
            <w14:solidFill>
              <w14:schemeClr w14:val="tx1"/>
            </w14:solidFill>
          </w14:textFill>
        </w:rPr>
        <w:t>且</w:t>
      </w:r>
      <w:r>
        <w:rPr>
          <w:color w:val="000000" w:themeColor="text1"/>
          <w:sz w:val="24"/>
          <w:szCs w:val="24"/>
          <w:highlight w:val="none"/>
          <w14:textFill>
            <w14:solidFill>
              <w14:schemeClr w14:val="tx1"/>
            </w14:solidFill>
          </w14:textFill>
        </w:rPr>
        <w:t>通过资格审查、符合性审查的不同投标人参加同一合同项下投标的，按一家投标人计算，评审后得分最高的同品牌投标人获得中标人推荐资格。）</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30.2 中标人确定后，中标结果将在中山大学附属第三医院官网（https://www.zssy.com.cn/）、中国政府采购网（http://www.ccgp.gov.cn）及</w:t>
      </w:r>
      <w:r>
        <w:rPr>
          <w:rFonts w:hint="eastAsia"/>
          <w:color w:val="000000" w:themeColor="text1"/>
          <w:sz w:val="24"/>
          <w:szCs w:val="24"/>
          <w:highlight w:val="none"/>
          <w14:textFill>
            <w14:solidFill>
              <w14:schemeClr w14:val="tx1"/>
            </w14:solidFill>
          </w14:textFill>
        </w:rPr>
        <w:t>广东华伦招标有</w:t>
      </w:r>
      <w:r>
        <w:rPr>
          <w:color w:val="000000" w:themeColor="text1"/>
          <w:sz w:val="24"/>
          <w:szCs w:val="24"/>
          <w:highlight w:val="none"/>
          <w14:textFill>
            <w14:solidFill>
              <w14:schemeClr w14:val="tx1"/>
            </w14:solidFill>
          </w14:textFill>
        </w:rPr>
        <w:t>限公司（</w:t>
      </w:r>
      <w:r>
        <w:rPr>
          <w:rFonts w:hint="eastAsia"/>
          <w:color w:val="000000" w:themeColor="text1"/>
          <w:sz w:val="24"/>
          <w:szCs w:val="24"/>
          <w:highlight w:val="none"/>
          <w14:textFill>
            <w14:solidFill>
              <w14:schemeClr w14:val="tx1"/>
            </w14:solidFill>
          </w14:textFill>
        </w:rPr>
        <w:t>https://www.gdhualun.com.cn</w:t>
      </w:r>
      <w:r>
        <w:rPr>
          <w:color w:val="000000" w:themeColor="text1"/>
          <w:sz w:val="24"/>
          <w:szCs w:val="24"/>
          <w:highlight w:val="none"/>
          <w14:textFill>
            <w14:solidFill>
              <w14:schemeClr w14:val="tx1"/>
            </w14:solidFill>
          </w14:textFill>
        </w:rPr>
        <w:t>）进行公告发布。同时，向中标人发出《中标通知书》，《中标通知书》对中标人和采购人具有同等法律效力。</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 质疑和投诉</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31.1 投标人应知其权益受到损害之日，是指：</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31.1.1 对可以质疑的采购文件提出质疑的，为收到采购文件之日或者采购文件公告期限届满之日；</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31.1.2 对采购过程提出质疑的，为各采购程序环节结束之日；</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31.1.3 对中标结果提出质疑的，为中标结果公告期限届满之日。</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31.2 如果投标人对此次采购活动有疑问，可依法向采购人或采购代理机构提出质疑。采购人或采购代理机构应当依法给予答复，并将结果告知有关当事人。</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31.3 投标人对评标结果有质疑或投诉的，可根据《中华人民共和国政府采购法》、《中华人民共和国政府采购法实施条例》及有关法规的规定，向相关部门书面提出，但需对质疑或投诉内容的真实性承担责任。投标人对中标结果如有异议，须在中标公告期限截止时间起7 个工作日内以书面形式进行质疑，投标人须在质疑期内一次性提出针对同一采购程序环节的质疑,质疑或投诉必须是书面的原件，并加盖投标人公章及由法定代表人或其授权代表签署或盖章。质疑、投诉应当有明确的请求和必要的证明材料。</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31.4 投标人对评标结果有质疑的，采购人或者代理机构应在收到投标人书面质疑后7个工作日内，对质疑内容作出答复。投标人对采购人的答复不满意或未在规定时间内给予答复的，提出质疑的投标人可以在答复期满后15 个工作日内，可向采购人的同级政府采购监督管理机构投诉。投诉的事项不得超出已质疑事项的范围。</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31.5 投标人的书面质疑应按《政府采购质疑和投诉办法》（中华人民共和国财政部令第94 号）第十二条规定的格式和内容提交，具体格式可在中山大学附属第三医院官网（https://www.zssy.com.cn）下载。</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31.6 质疑联系人：</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采购代理机构：广东华伦招标有限公司</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联系部门：总工室</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联系电话：020-83172166-811</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通讯地址：广东省广州市越秀区广仁路1号广仁大厦7楼</w:t>
      </w:r>
    </w:p>
    <w:p>
      <w:pPr>
        <w:tabs>
          <w:tab w:val="left" w:pos="1260"/>
        </w:tabs>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邮箱：hlzb03@163.com。</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32. 与采购人的接触</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32.1 从开标之日起至中标结果发布之日的期间，未经采购人或采购代理机构要求，投标人不得就与其投标文件有关的事项与采购人或采购代理机构和本项目使用单位及个人联系。</w:t>
      </w:r>
    </w:p>
    <w:p>
      <w:pPr>
        <w:tabs>
          <w:tab w:val="left" w:pos="126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32.2 投标人试图对评标委员会的评标、比较或授予合同的决定进行影响，都可能导致其投标文件被拒绝。</w:t>
      </w:r>
    </w:p>
    <w:p>
      <w:pPr>
        <w:tabs>
          <w:tab w:val="left" w:pos="1260"/>
        </w:tabs>
        <w:spacing w:line="240" w:lineRule="auto"/>
        <w:rPr>
          <w:color w:val="000000" w:themeColor="text1"/>
          <w:highlight w:val="none"/>
          <w14:textFill>
            <w14:solidFill>
              <w14:schemeClr w14:val="tx1"/>
            </w14:solidFill>
          </w14:textFill>
        </w:rPr>
      </w:pPr>
    </w:p>
    <w:p>
      <w:pPr>
        <w:pStyle w:val="4"/>
        <w:numPr>
          <w:ilvl w:val="0"/>
          <w:numId w:val="0"/>
        </w:numPr>
        <w:tabs>
          <w:tab w:val="left" w:pos="721"/>
        </w:tabs>
        <w:spacing w:before="0" w:after="0" w:line="288" w:lineRule="auto"/>
        <w:jc w:val="both"/>
        <w:rPr>
          <w:rFonts w:ascii="宋体" w:hAnsi="宋体" w:eastAsia="宋体" w:cs="宋体"/>
          <w:color w:val="000000" w:themeColor="text1"/>
          <w:sz w:val="24"/>
          <w:szCs w:val="24"/>
          <w:highlight w:val="none"/>
          <w14:textFill>
            <w14:solidFill>
              <w14:schemeClr w14:val="tx1"/>
            </w14:solidFill>
          </w14:textFill>
        </w:rPr>
      </w:pPr>
      <w:bookmarkStart w:id="39" w:name="_Toc102987727"/>
      <w:bookmarkStart w:id="40" w:name="_Toc102987762"/>
      <w:bookmarkStart w:id="41" w:name="_Toc102987389"/>
      <w:r>
        <w:rPr>
          <w:rFonts w:hint="eastAsia" w:ascii="宋体" w:hAnsi="宋体" w:eastAsia="宋体" w:cs="宋体"/>
          <w:color w:val="000000" w:themeColor="text1"/>
          <w:sz w:val="24"/>
          <w:szCs w:val="24"/>
          <w:highlight w:val="none"/>
          <w14:textFill>
            <w14:solidFill>
              <w14:schemeClr w14:val="tx1"/>
            </w14:solidFill>
          </w14:textFill>
        </w:rPr>
        <w:t>六、合同的授予</w:t>
      </w:r>
      <w:bookmarkEnd w:id="39"/>
      <w:bookmarkEnd w:id="40"/>
      <w:bookmarkEnd w:id="41"/>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33. 合同授予标准</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采购人将把合同授予被确定为实质上响应招标文件的要求并具有履行合同能力的综合排名最高的投标人。在合同签订前，采购人若发现中标人的投标文件中复印件与原件不符，有权取消其中标资格。</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34. 授标时更改采购货物数量的权力</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采购人在授予合同后，有权在一定的幅度内对投标价格表中规定的货物数量和服务予以追加，在不改变合同其他条款的前提下，可以与投标人协商签订补充合同，但所有补充合同的采购金额不得超过原合同采购金额的百分之十（10%）。</w:t>
      </w:r>
    </w:p>
    <w:p>
      <w:pPr>
        <w:ind w:firstLine="480" w:firstLineChars="200"/>
        <w:rPr>
          <w:vanish/>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35. 接受和拒绝任何或所有投标的权利</w:t>
      </w:r>
    </w:p>
    <w:p>
      <w:pPr>
        <w:tabs>
          <w:tab w:val="left" w:pos="360"/>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采购人保留在确定中标结果之前任何时候根据评标委员会的决定拒绝所有或任何投标，以及宣布所有或任何投标文件无效的权力，对受影响的投标人不承担任何责任。</w:t>
      </w:r>
    </w:p>
    <w:p>
      <w:pPr>
        <w:tabs>
          <w:tab w:val="left" w:pos="360"/>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36.中标通知书</w:t>
      </w:r>
    </w:p>
    <w:p>
      <w:pPr>
        <w:pStyle w:val="49"/>
        <w:tabs>
          <w:tab w:val="left" w:pos="720"/>
        </w:tabs>
        <w:ind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36.1中标通知书将作为进行合同谈判和签订合同的依据，对采购人和中标供应商具有同等法律效力。</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36.2中标人若自发出中标通知书30日内不领取中标通知书，即视为自动放弃中标资格，其投标保证金不予退还。</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36.3中标通知书发出后，采购人改变中标结果，或者中标供应商放弃中标，应当承担相应的法律责任。 </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36.4中标供应商拒绝与采购人签订合同的，采购人可以按照评审报告推荐的中标候选人名单排序，确定下一候选人为中标或者成交供应商，也可以重新开展政府采购活动。</w:t>
      </w:r>
    </w:p>
    <w:p>
      <w:pPr>
        <w:tabs>
          <w:tab w:val="left" w:pos="360"/>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37.履约保证金</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37.1采购人的用户单位可视中标人的资信情况，要求中标人在合同签订前提交不高于中标价格百分之十</w:t>
      </w:r>
      <w:r>
        <w:rPr>
          <w:rFonts w:hint="eastAsia"/>
          <w:color w:val="000000" w:themeColor="text1"/>
          <w:sz w:val="24"/>
          <w:szCs w:val="24"/>
          <w:highlight w:val="none"/>
          <w14:textFill>
            <w14:solidFill>
              <w14:schemeClr w14:val="tx1"/>
            </w14:solidFill>
          </w14:textFill>
        </w:rPr>
        <w:t>（如中标人为中小企业，则不高于百分之五）</w:t>
      </w:r>
      <w:r>
        <w:rPr>
          <w:color w:val="000000" w:themeColor="text1"/>
          <w:sz w:val="24"/>
          <w:szCs w:val="24"/>
          <w:highlight w:val="none"/>
          <w14:textFill>
            <w14:solidFill>
              <w14:schemeClr w14:val="tx1"/>
            </w14:solidFill>
          </w14:textFill>
        </w:rPr>
        <w:t>的履约保证金。履约保证金在项目验收合格之日起10个工作日内返还，不计利息。合同另有返还期限约定的，从其约定。</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37.2履约担保的形式和金额详见投标人须知前附表</w:t>
      </w:r>
      <w:r>
        <w:rPr>
          <w:rFonts w:hint="eastAsia"/>
          <w:color w:val="000000" w:themeColor="text1"/>
          <w:sz w:val="24"/>
          <w:szCs w:val="24"/>
          <w:highlight w:val="none"/>
          <w14:textFill>
            <w14:solidFill>
              <w14:schemeClr w14:val="tx1"/>
            </w14:solidFill>
          </w14:textFill>
        </w:rPr>
        <w:t>（如“投标人须知前附表”明确不收取履约保证金，则本项目不适用37.1的要求）</w:t>
      </w:r>
      <w:r>
        <w:rPr>
          <w:color w:val="000000" w:themeColor="text1"/>
          <w:sz w:val="24"/>
          <w:szCs w:val="24"/>
          <w:highlight w:val="none"/>
          <w14:textFill>
            <w14:solidFill>
              <w14:schemeClr w14:val="tx1"/>
            </w14:solidFill>
          </w14:textFill>
        </w:rPr>
        <w:t>。</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37.3中标人不能按本章第37.1项要求提交履约担保的，视为放弃中标，其投标保证金不予退还，给采购人造成的损失超过投标保证金数额的，中标人还应当对超过部分予以赔偿。</w:t>
      </w:r>
    </w:p>
    <w:p>
      <w:pPr>
        <w:tabs>
          <w:tab w:val="left" w:pos="360"/>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38.签订合同</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38.1中标人应按中标通知书指定的时间、地点与采购人签订合同。</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38.2如果中标人没有按照中标通知书规定执行，拒绝与采购人签订合同的，采购人将有充分理由取消该中标决定，将被视为失信行为列入供应商评价记录，情节严重者将可能导致在网上进行实名通报。</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38.3 采购人和投标人应当自中标通知书发出之日起30日内按照招标文件和中标人投标文件的承诺签订政府采购合同，但不得超出招标文件和中标人投标文件的范围、也不得再行订立背离合同实质性内容的其他协议。在规定期限内，中标人不履行与采购人订立的合同的，可视为其自动放弃中标资格，投标保证金不予退还，给采购人造成的损失超过投标保证金数额的，还应当对超过部分予以赔偿；没有提交履约保证金的，中标人应当对采购人的损失承担赔偿责任。</w:t>
      </w:r>
    </w:p>
    <w:p>
      <w:pPr>
        <w:tabs>
          <w:tab w:val="left" w:pos="720"/>
        </w:tabs>
        <w:ind w:firstLine="480" w:firstLineChars="200"/>
        <w:rPr>
          <w:color w:val="000000" w:themeColor="text1"/>
          <w:sz w:val="24"/>
          <w:szCs w:val="24"/>
          <w:highlight w:val="none"/>
          <w:lang w:val="zh-CN"/>
          <w14:textFill>
            <w14:solidFill>
              <w14:schemeClr w14:val="tx1"/>
            </w14:solidFill>
          </w14:textFill>
        </w:rPr>
      </w:pPr>
      <w:r>
        <w:rPr>
          <w:color w:val="000000" w:themeColor="text1"/>
          <w:sz w:val="24"/>
          <w:szCs w:val="24"/>
          <w:highlight w:val="none"/>
          <w14:textFill>
            <w14:solidFill>
              <w14:schemeClr w14:val="tx1"/>
            </w14:solidFill>
          </w14:textFill>
        </w:rPr>
        <w:t>39.</w:t>
      </w:r>
      <w:r>
        <w:rPr>
          <w:color w:val="000000" w:themeColor="text1"/>
          <w:sz w:val="24"/>
          <w:szCs w:val="24"/>
          <w:highlight w:val="none"/>
          <w:lang w:val="zh-CN"/>
          <w14:textFill>
            <w14:solidFill>
              <w14:schemeClr w14:val="tx1"/>
            </w14:solidFill>
          </w14:textFill>
        </w:rPr>
        <w:t>质量标准及验收</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39.1 中标人须保证合同项下所供货物是全新的、未使用过的，是最新或目前的型号。除非采购文件另有规定，货物应含有设计上和材料的全部最新改进。中标人须进一步保证合同货物不会因设计、材料、工艺的原因而有任何故障和缺陷（由于按采购人的要求设计或按采购人的规格提供的材料所产生的缺陷除外），或者没有中标人的行为或疏忽而产生的缺陷，这些缺陷是所供货物在最终目的地国家现行条件下正常使用可能产生的。中标人应保证提交的技术文件、图纸的完整、清楚和正确，达到合同货物设计、安装、运行和维护要求。在合同货物安装、调试、验收期间，如发现因中标人原因造成的合同货物的缺陷或损坏，中标人须尽快免费更换和修复并补偿由此带来的招标方的一切直接损失。中标人须承担此项更换和修复工作的一切风险和费用。中标人须保证合同货物在验收时各项技术参数满足投标文件响应承诺和合同的约定。</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39.2中标方保证其服务质量及技术达到国家现行技术标准和合同约定标准或投标文件承诺标准。</w:t>
      </w:r>
    </w:p>
    <w:p>
      <w:pPr>
        <w:tabs>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39.3中标人保证合同项下提供的服务不侵犯任何第三方的专利、商标或版权。否则，中标人须承担对第三方的专利或版权的侵权责任并承担因此而发生的所有费用。</w:t>
      </w:r>
    </w:p>
    <w:p>
      <w:pPr>
        <w:tabs>
          <w:tab w:val="left" w:pos="360"/>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41.法律责任</w:t>
      </w:r>
    </w:p>
    <w:p>
      <w:pPr>
        <w:tabs>
          <w:tab w:val="left" w:pos="360"/>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41.1供应商有下列情形之一的，依照政府采购法第七十七条第一款的规定追究法律责任：</w:t>
      </w:r>
    </w:p>
    <w:p>
      <w:pPr>
        <w:numPr>
          <w:ilvl w:val="0"/>
          <w:numId w:val="4"/>
        </w:numPr>
        <w:ind w:right="-482" w:rightChars="-230" w:firstLine="4" w:firstLineChars="2"/>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向评标委员会成员行贿或者提供其他不正当利益；</w:t>
      </w:r>
    </w:p>
    <w:p>
      <w:pPr>
        <w:numPr>
          <w:ilvl w:val="0"/>
          <w:numId w:val="4"/>
        </w:numPr>
        <w:ind w:firstLine="4" w:firstLineChars="2"/>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中标或者成交后无正当理由拒不与采购人签订政府采购合同；</w:t>
      </w:r>
    </w:p>
    <w:p>
      <w:pPr>
        <w:numPr>
          <w:ilvl w:val="0"/>
          <w:numId w:val="4"/>
        </w:numPr>
        <w:ind w:firstLine="4" w:firstLineChars="2"/>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未按照招标文件确定的事项签订政府采购合同；</w:t>
      </w:r>
    </w:p>
    <w:p>
      <w:pPr>
        <w:numPr>
          <w:ilvl w:val="0"/>
          <w:numId w:val="4"/>
        </w:numPr>
        <w:ind w:firstLine="4" w:firstLineChars="2"/>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将政府采购合同转包；</w:t>
      </w:r>
    </w:p>
    <w:p>
      <w:pPr>
        <w:numPr>
          <w:ilvl w:val="0"/>
          <w:numId w:val="4"/>
        </w:numPr>
        <w:ind w:firstLine="4" w:firstLineChars="2"/>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提供假冒伪劣产品；</w:t>
      </w:r>
    </w:p>
    <w:p>
      <w:pPr>
        <w:numPr>
          <w:ilvl w:val="0"/>
          <w:numId w:val="4"/>
        </w:numPr>
        <w:ind w:firstLine="4" w:firstLineChars="2"/>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擅自变更、中止或者终止政府采购合同。</w:t>
      </w:r>
    </w:p>
    <w:p>
      <w:pPr>
        <w:tabs>
          <w:tab w:val="left" w:pos="360"/>
          <w:tab w:val="left" w:pos="720"/>
        </w:tabs>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41.2供应商有41.1项规定情形的，中标无效。</w:t>
      </w:r>
    </w:p>
    <w:p>
      <w:pPr>
        <w:tabs>
          <w:tab w:val="left" w:pos="360"/>
          <w:tab w:val="left" w:pos="720"/>
        </w:tabs>
        <w:ind w:firstLine="480" w:firstLineChars="200"/>
        <w:rPr>
          <w:color w:val="000000" w:themeColor="text1"/>
          <w:highlight w:val="none"/>
          <w14:textFill>
            <w14:solidFill>
              <w14:schemeClr w14:val="tx1"/>
            </w14:solidFill>
          </w14:textFill>
        </w:rPr>
      </w:pPr>
      <w:r>
        <w:rPr>
          <w:color w:val="000000" w:themeColor="text1"/>
          <w:sz w:val="24"/>
          <w:szCs w:val="24"/>
          <w:highlight w:val="none"/>
          <w14:textFill>
            <w14:solidFill>
              <w14:schemeClr w14:val="tx1"/>
            </w14:solidFill>
          </w14:textFill>
        </w:rPr>
        <w:t>41.3若供应商在评审阶段资格发生变化的应按规定及时通知采购人及招标代理机构。因供应商未依照有关规定及时通知采购人和采购代理机构的，采购人及招标代理机构有权上报监督部门对其处罚并列入不良行为记录名单，同时其中标、成交无效。</w:t>
      </w:r>
    </w:p>
    <w:p>
      <w:pPr>
        <w:spacing w:line="240" w:lineRule="auto"/>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jc w:val="center"/>
        <w:rPr>
          <w:b w:val="0"/>
          <w:bCs w:val="0"/>
          <w:color w:val="000000" w:themeColor="text1"/>
          <w:sz w:val="52"/>
          <w:szCs w:val="52"/>
          <w:highlight w:val="none"/>
          <w14:textFill>
            <w14:solidFill>
              <w14:schemeClr w14:val="tx1"/>
            </w14:solidFill>
          </w14:textFill>
        </w:rPr>
      </w:pPr>
      <w:bookmarkStart w:id="42" w:name="_Toc102987763"/>
      <w:bookmarkStart w:id="43" w:name="_Toc102987390"/>
      <w:bookmarkStart w:id="44" w:name="_Toc102987728"/>
      <w:r>
        <w:rPr>
          <w:b w:val="0"/>
          <w:bCs w:val="0"/>
          <w:color w:val="000000" w:themeColor="text1"/>
          <w:sz w:val="52"/>
          <w:szCs w:val="52"/>
          <w:highlight w:val="none"/>
          <w14:textFill>
            <w14:solidFill>
              <w14:schemeClr w14:val="tx1"/>
            </w14:solidFill>
          </w14:textFill>
        </w:rPr>
        <w:t>第四部分 合同条款</w:t>
      </w:r>
      <w:bookmarkEnd w:id="42"/>
      <w:bookmarkEnd w:id="43"/>
      <w:bookmarkEnd w:id="44"/>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spacing w:line="240" w:lineRule="auto"/>
        <w:ind w:firstLine="315" w:firstLineChars="150"/>
        <w:rPr>
          <w:color w:val="000000" w:themeColor="text1"/>
          <w:highlight w:val="none"/>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注：本合同条款仅为参考文本，合同签订双方可根据项目的具体要求进行修订。（《采购人需求》中另有规定的，以采购人需求为准）</w:t>
      </w:r>
    </w:p>
    <w:p>
      <w:pPr>
        <w:rPr>
          <w:b/>
          <w:bCs/>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45" w:name="_Toc1020"/>
      <w:bookmarkStart w:id="46" w:name="_Toc317255549"/>
      <w:bookmarkStart w:id="47" w:name="_Toc342615445"/>
      <w:r>
        <w:rPr>
          <w:b/>
          <w:bCs/>
          <w:color w:val="000000" w:themeColor="text1"/>
          <w:sz w:val="28"/>
          <w:szCs w:val="28"/>
          <w:highlight w:val="none"/>
          <w14:textFill>
            <w14:solidFill>
              <w14:schemeClr w14:val="tx1"/>
            </w14:solidFill>
          </w14:textFill>
        </w:rPr>
        <w:t>第四部分  合同</w:t>
      </w:r>
      <w:bookmarkEnd w:id="45"/>
      <w:bookmarkEnd w:id="46"/>
      <w:bookmarkEnd w:id="47"/>
      <w:r>
        <w:rPr>
          <w:b/>
          <w:bCs/>
          <w:color w:val="000000" w:themeColor="text1"/>
          <w:sz w:val="28"/>
          <w:szCs w:val="28"/>
          <w:highlight w:val="none"/>
          <w14:textFill>
            <w14:solidFill>
              <w14:schemeClr w14:val="tx1"/>
            </w14:solidFill>
          </w14:textFill>
        </w:rPr>
        <w:t>条款（以职能科室提供的合同模板为准）</w:t>
      </w:r>
    </w:p>
    <w:p>
      <w:pPr>
        <w:ind w:firstLine="643"/>
        <w:rPr>
          <w:b/>
          <w:bCs/>
          <w:color w:val="000000" w:themeColor="text1"/>
          <w:sz w:val="28"/>
          <w:szCs w:val="28"/>
          <w:highlight w:val="none"/>
          <w14:textFill>
            <w14:solidFill>
              <w14:schemeClr w14:val="tx1"/>
            </w14:solidFill>
          </w14:textFill>
        </w:rPr>
      </w:pPr>
      <w:bookmarkStart w:id="48" w:name="_Toc342615446"/>
      <w:r>
        <w:rPr>
          <w:b/>
          <w:bCs/>
          <w:color w:val="000000" w:themeColor="text1"/>
          <w:sz w:val="28"/>
          <w:szCs w:val="28"/>
          <w:highlight w:val="none"/>
          <w14:textFill>
            <w14:solidFill>
              <w14:schemeClr w14:val="tx1"/>
            </w14:solidFill>
          </w14:textFill>
        </w:rPr>
        <w:t xml:space="preserve">合同编号：              </w:t>
      </w:r>
    </w:p>
    <w:p>
      <w:pP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spacing w:line="360" w:lineRule="auto"/>
        <w:jc w:val="center"/>
        <w:rPr>
          <w:b/>
          <w:bCs/>
          <w:color w:val="000000" w:themeColor="text1"/>
          <w:sz w:val="44"/>
          <w:szCs w:val="44"/>
          <w:highlight w:val="none"/>
          <w14:textFill>
            <w14:solidFill>
              <w14:schemeClr w14:val="tx1"/>
            </w14:solidFill>
          </w14:textFill>
        </w:rPr>
      </w:pPr>
      <w:r>
        <w:rPr>
          <w:b/>
          <w:bCs/>
          <w:color w:val="000000" w:themeColor="text1"/>
          <w:sz w:val="44"/>
          <w:szCs w:val="44"/>
          <w:highlight w:val="none"/>
          <w14:textFill>
            <w14:solidFill>
              <w14:schemeClr w14:val="tx1"/>
            </w14:solidFill>
          </w14:textFill>
        </w:rPr>
        <w:t>中山大学附属第三医院</w:t>
      </w:r>
    </w:p>
    <w:p>
      <w:pPr>
        <w:jc w:val="center"/>
        <w:rPr>
          <w:color w:val="000000" w:themeColor="text1"/>
          <w:sz w:val="44"/>
          <w:szCs w:val="44"/>
          <w:highlight w:val="none"/>
          <w:u w:val="single"/>
          <w14:textFill>
            <w14:solidFill>
              <w14:schemeClr w14:val="tx1"/>
            </w14:solidFill>
          </w14:textFill>
        </w:rPr>
      </w:pPr>
      <w:bookmarkStart w:id="49" w:name="_Hlk44578735"/>
      <w:bookmarkStart w:id="50" w:name="_Hlk44578826"/>
      <w:r>
        <w:rPr>
          <w:rFonts w:hint="eastAsia"/>
          <w:color w:val="000000" w:themeColor="text1"/>
          <w:sz w:val="44"/>
          <w:szCs w:val="44"/>
          <w:highlight w:val="none"/>
          <w:u w:val="single"/>
          <w14:textFill>
            <w14:solidFill>
              <w14:schemeClr w14:val="tx1"/>
            </w14:solidFill>
          </w14:textFill>
        </w:rPr>
        <w:t>维修服务采购合同</w:t>
      </w: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bookmarkEnd w:id="49"/>
    <w:bookmarkEnd w:id="50"/>
    <w:p>
      <w:pPr>
        <w:ind w:firstLine="960" w:firstLineChars="300"/>
        <w:rPr>
          <w:b/>
          <w:bCs/>
          <w:color w:val="000000" w:themeColor="text1"/>
          <w:sz w:val="32"/>
          <w:szCs w:val="32"/>
          <w:highlight w:val="none"/>
          <w14:textFill>
            <w14:solidFill>
              <w14:schemeClr w14:val="tx1"/>
            </w14:solidFill>
          </w14:textFill>
        </w:rPr>
      </w:pPr>
      <w:bookmarkStart w:id="51" w:name="_Hlk44578600"/>
      <w:bookmarkEnd w:id="51"/>
      <w:r>
        <w:rPr>
          <w:b/>
          <w:bCs/>
          <w:color w:val="000000" w:themeColor="text1"/>
          <w:sz w:val="32"/>
          <w:szCs w:val="32"/>
          <w:highlight w:val="none"/>
          <w14:textFill>
            <w14:solidFill>
              <w14:schemeClr w14:val="tx1"/>
            </w14:solidFill>
          </w14:textFill>
        </w:rPr>
        <w:t xml:space="preserve">项目名称：                               </w:t>
      </w:r>
    </w:p>
    <w:p>
      <w:pPr>
        <w:ind w:firstLine="960" w:firstLineChars="300"/>
        <w:rPr>
          <w:b/>
          <w:bCs/>
          <w:color w:val="000000" w:themeColor="text1"/>
          <w:sz w:val="32"/>
          <w:szCs w:val="32"/>
          <w:highlight w:val="none"/>
          <w14:textFill>
            <w14:solidFill>
              <w14:schemeClr w14:val="tx1"/>
            </w14:solidFill>
          </w14:textFill>
        </w:rPr>
      </w:pPr>
      <w:bookmarkStart w:id="52" w:name="_Hlk44578523"/>
      <w:r>
        <w:rPr>
          <w:b/>
          <w:bCs/>
          <w:color w:val="000000" w:themeColor="text1"/>
          <w:sz w:val="32"/>
          <w:szCs w:val="32"/>
          <w:highlight w:val="none"/>
          <w14:textFill>
            <w14:solidFill>
              <w14:schemeClr w14:val="tx1"/>
            </w14:solidFill>
          </w14:textFill>
        </w:rPr>
        <w:t>甲    方：</w:t>
      </w:r>
      <w:r>
        <w:rPr>
          <w:b/>
          <w:bCs/>
          <w:color w:val="000000" w:themeColor="text1"/>
          <w:sz w:val="32"/>
          <w:szCs w:val="32"/>
          <w:highlight w:val="none"/>
          <w:u w:val="single"/>
          <w14:textFill>
            <w14:solidFill>
              <w14:schemeClr w14:val="tx1"/>
            </w14:solidFill>
          </w14:textFill>
        </w:rPr>
        <w:t xml:space="preserve">   中山大学附属第三医院        </w:t>
      </w:r>
    </w:p>
    <w:p>
      <w:pPr>
        <w:ind w:firstLine="960" w:firstLineChars="300"/>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 xml:space="preserve">乙    方：                               </w:t>
      </w:r>
    </w:p>
    <w:bookmarkEnd w:id="52"/>
    <w:p>
      <w:pPr>
        <w:ind w:firstLine="960" w:firstLineChars="300"/>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 xml:space="preserve">签定地点：                               </w:t>
      </w:r>
    </w:p>
    <w:p>
      <w:pPr>
        <w:ind w:firstLine="960" w:firstLineChars="300"/>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签定时间：</w:t>
      </w:r>
      <w:r>
        <w:rPr>
          <w:b/>
          <w:bCs/>
          <w:color w:val="000000" w:themeColor="text1"/>
          <w:sz w:val="32"/>
          <w:szCs w:val="32"/>
          <w:highlight w:val="none"/>
          <w:u w:val="single"/>
          <w14:textFill>
            <w14:solidFill>
              <w14:schemeClr w14:val="tx1"/>
            </w14:solidFill>
          </w14:textFill>
        </w:rPr>
        <w:t xml:space="preserve">          年     月     日     </w:t>
      </w:r>
    </w:p>
    <w:p>
      <w:pPr>
        <w:ind w:left="99" w:firstLine="1033" w:firstLineChars="492"/>
        <w:rPr>
          <w:color w:val="000000" w:themeColor="text1"/>
          <w:highlight w:val="none"/>
          <w14:textFill>
            <w14:solidFill>
              <w14:schemeClr w14:val="tx1"/>
            </w14:solidFill>
          </w14:textFill>
        </w:rPr>
      </w:pPr>
    </w:p>
    <w:p>
      <w:pPr>
        <w:ind w:left="99" w:firstLine="1033" w:firstLineChars="492"/>
        <w:rPr>
          <w:color w:val="000000" w:themeColor="text1"/>
          <w:highlight w:val="none"/>
          <w14:textFill>
            <w14:solidFill>
              <w14:schemeClr w14:val="tx1"/>
            </w14:solidFill>
          </w14:textFill>
        </w:rPr>
      </w:pPr>
    </w:p>
    <w:p>
      <w:pPr>
        <w:spacing w:before="312" w:beforeLines="100" w:after="312" w:afterLines="100" w:line="500" w:lineRule="exac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r>
        <w:rPr>
          <w:b/>
          <w:bCs/>
          <w:color w:val="000000" w:themeColor="text1"/>
          <w:sz w:val="32"/>
          <w:szCs w:val="32"/>
          <w:highlight w:val="none"/>
          <w14:textFill>
            <w14:solidFill>
              <w14:schemeClr w14:val="tx1"/>
            </w14:solidFill>
          </w14:textFill>
        </w:rPr>
        <w:t>合同使用指引</w:t>
      </w:r>
    </w:p>
    <w:p>
      <w:pPr>
        <w:ind w:firstLine="420" w:firstLineChars="175"/>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一、本合同为中山大学附属第三医院的合同示范文本，建议合同当事人参照使用。</w:t>
      </w:r>
    </w:p>
    <w:p>
      <w:pPr>
        <w:ind w:firstLine="420" w:firstLineChars="175"/>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pPr>
        <w:ind w:firstLine="420" w:firstLineChars="175"/>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三、合同中约定的实施计划应尽可能细化，项目工作的推进、款项支付进度等应与实施计划相适应，以监控项目的具体实施。</w:t>
      </w:r>
    </w:p>
    <w:p>
      <w:pPr>
        <w:ind w:firstLine="420" w:firstLineChars="175"/>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四、若项目允许分包、转包，甲方应对乙方拟分包、转包的项目是否属于非主体事项等进行严格审核，方可作出书面同意。</w:t>
      </w:r>
    </w:p>
    <w:p>
      <w:pPr>
        <w:ind w:firstLine="420" w:firstLineChars="175"/>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五、若对方出现违约情形的，应注意及时收集相关书面信息、数据、资料等客观依据，避免过于主观的判断，同时书面告知对方违约事项。</w:t>
      </w:r>
    </w:p>
    <w:p>
      <w:pPr>
        <w:ind w:firstLine="420" w:firstLineChars="175"/>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六、合同的审批、订立、履行、变更、解除及纠纷处理等，必须符合《中山大学附属第三医院合同管理办法》的相关规定。</w:t>
      </w:r>
    </w:p>
    <w:p>
      <w:pPr>
        <w:ind w:firstLine="420" w:firstLineChars="175"/>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七、合同文本要求按规定格式打印，大小为A4幅面，正文内容所用字型应不小于5号字，合同正本中所指定附件备齐后应与合同装订在一起，其规格大小应与合同书一致。</w:t>
      </w:r>
    </w:p>
    <w:p>
      <w:pPr>
        <w:ind w:firstLine="420" w:firstLineChars="175"/>
        <w:rPr>
          <w:color w:val="000000" w:themeColor="text1"/>
          <w:sz w:val="28"/>
          <w:szCs w:val="28"/>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八、本合同经签约双方法人（委托代理人）签署、盖章后，需交合同原件一式一份至【院办】备案。</w:t>
      </w:r>
      <w:r>
        <w:rPr>
          <w:color w:val="000000" w:themeColor="text1"/>
          <w:highlight w:val="none"/>
          <w14:textFill>
            <w14:solidFill>
              <w14:schemeClr w14:val="tx1"/>
            </w14:solidFill>
          </w14:textFill>
        </w:rPr>
        <w:br w:type="page"/>
      </w:r>
    </w:p>
    <w:p>
      <w:pPr>
        <w:tabs>
          <w:tab w:val="left" w:pos="7513"/>
        </w:tabs>
        <w:spacing w:line="560" w:lineRule="exact"/>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 甲方：           中山大学附属第三医院             </w:t>
      </w:r>
    </w:p>
    <w:p>
      <w:pPr>
        <w:tabs>
          <w:tab w:val="left" w:pos="7513"/>
        </w:tabs>
        <w:spacing w:line="560" w:lineRule="exact"/>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住所地：       广州市天河区天河路600号             </w:t>
      </w:r>
    </w:p>
    <w:p>
      <w:pPr>
        <w:tabs>
          <w:tab w:val="left" w:pos="7513"/>
        </w:tabs>
        <w:spacing w:line="560" w:lineRule="exact"/>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法定代表人            戎利民                      </w:t>
      </w:r>
    </w:p>
    <w:p>
      <w:pPr>
        <w:tabs>
          <w:tab w:val="left" w:pos="7513"/>
        </w:tabs>
        <w:spacing w:line="560" w:lineRule="exact"/>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授权代表人：    /                            </w:t>
      </w:r>
    </w:p>
    <w:p>
      <w:pPr>
        <w:tabs>
          <w:tab w:val="left" w:pos="7513"/>
        </w:tabs>
        <w:spacing w:line="560" w:lineRule="exact"/>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项目联系人：                         </w:t>
      </w:r>
    </w:p>
    <w:p>
      <w:pPr>
        <w:tabs>
          <w:tab w:val="left" w:pos="7513"/>
        </w:tabs>
        <w:spacing w:line="560" w:lineRule="exact"/>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通讯地址：    广州市 天河区天河路600号          </w:t>
      </w:r>
    </w:p>
    <w:p>
      <w:pPr>
        <w:tabs>
          <w:tab w:val="left" w:pos="7513"/>
        </w:tabs>
        <w:spacing w:line="560" w:lineRule="exact"/>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邮政编码：    510000                             </w:t>
      </w:r>
    </w:p>
    <w:p>
      <w:pPr>
        <w:tabs>
          <w:tab w:val="left" w:pos="7513"/>
        </w:tabs>
        <w:spacing w:line="560" w:lineRule="exact"/>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电话：      85253140          传真：             </w:t>
      </w:r>
    </w:p>
    <w:p>
      <w:pPr>
        <w:tabs>
          <w:tab w:val="left" w:pos="7513"/>
        </w:tabs>
        <w:spacing w:line="560" w:lineRule="exact"/>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电子信箱：</w:t>
      </w:r>
      <w:r>
        <w:rPr>
          <w:rFonts w:hint="eastAsia"/>
          <w:color w:val="000000" w:themeColor="text1"/>
          <w:sz w:val="28"/>
          <w:szCs w:val="28"/>
          <w:highlight w:val="none"/>
          <w14:textFill>
            <w14:solidFill>
              <w14:schemeClr w14:val="tx1"/>
            </w14:solidFill>
          </w14:textFill>
        </w:rPr>
        <w:t xml:space="preserve">                                        </w:t>
      </w:r>
    </w:p>
    <w:p>
      <w:pPr>
        <w:tabs>
          <w:tab w:val="left" w:pos="7513"/>
        </w:tabs>
        <w:spacing w:line="560" w:lineRule="exact"/>
        <w:ind w:firstLine="420" w:firstLineChars="200"/>
        <w:rPr>
          <w:color w:val="000000" w:themeColor="text1"/>
          <w:highlight w:val="none"/>
          <w14:textFill>
            <w14:solidFill>
              <w14:schemeClr w14:val="tx1"/>
            </w14:solidFill>
          </w14:textFill>
        </w:rPr>
      </w:pPr>
    </w:p>
    <w:p>
      <w:pPr>
        <w:tabs>
          <w:tab w:val="left" w:pos="7513"/>
        </w:tabs>
        <w:spacing w:line="560" w:lineRule="exact"/>
        <w:ind w:firstLine="420" w:firstLineChars="200"/>
        <w:rPr>
          <w:color w:val="000000" w:themeColor="text1"/>
          <w:highlight w:val="none"/>
          <w14:textFill>
            <w14:solidFill>
              <w14:schemeClr w14:val="tx1"/>
            </w14:solidFill>
          </w14:textFill>
        </w:rPr>
      </w:pPr>
    </w:p>
    <w:p>
      <w:pPr>
        <w:tabs>
          <w:tab w:val="left" w:pos="7513"/>
        </w:tabs>
        <w:spacing w:line="560" w:lineRule="exact"/>
        <w:ind w:firstLine="420" w:firstLineChars="200"/>
        <w:rPr>
          <w:color w:val="000000" w:themeColor="text1"/>
          <w:highlight w:val="none"/>
          <w14:textFill>
            <w14:solidFill>
              <w14:schemeClr w14:val="tx1"/>
            </w14:solidFill>
          </w14:textFill>
        </w:rPr>
      </w:pPr>
    </w:p>
    <w:p>
      <w:pPr>
        <w:tabs>
          <w:tab w:val="left" w:pos="7513"/>
        </w:tabs>
        <w:spacing w:line="560" w:lineRule="exact"/>
        <w:ind w:firstLine="560" w:firstLineChars="200"/>
        <w:jc w:val="both"/>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乙方：      </w:t>
      </w:r>
    </w:p>
    <w:p>
      <w:pPr>
        <w:tabs>
          <w:tab w:val="left" w:pos="7513"/>
        </w:tabs>
        <w:spacing w:line="560" w:lineRule="exact"/>
        <w:ind w:firstLine="560" w:firstLineChars="200"/>
        <w:jc w:val="both"/>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住所地：                                          </w:t>
      </w:r>
    </w:p>
    <w:p>
      <w:pPr>
        <w:tabs>
          <w:tab w:val="left" w:pos="7513"/>
        </w:tabs>
        <w:spacing w:line="560" w:lineRule="exact"/>
        <w:ind w:firstLine="560" w:firstLineChars="200"/>
        <w:jc w:val="both"/>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法定代表人：                                      </w:t>
      </w:r>
    </w:p>
    <w:p>
      <w:pPr>
        <w:tabs>
          <w:tab w:val="left" w:pos="7513"/>
        </w:tabs>
        <w:spacing w:line="560" w:lineRule="exact"/>
        <w:ind w:firstLine="560" w:firstLineChars="200"/>
        <w:jc w:val="both"/>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授权代表人：                                      </w:t>
      </w:r>
    </w:p>
    <w:p>
      <w:pPr>
        <w:tabs>
          <w:tab w:val="left" w:pos="7513"/>
        </w:tabs>
        <w:spacing w:line="560" w:lineRule="exact"/>
        <w:ind w:firstLine="560" w:firstLineChars="200"/>
        <w:jc w:val="both"/>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项目联系人：                                      </w:t>
      </w:r>
    </w:p>
    <w:p>
      <w:pPr>
        <w:tabs>
          <w:tab w:val="left" w:pos="7513"/>
        </w:tabs>
        <w:spacing w:line="560" w:lineRule="exact"/>
        <w:ind w:firstLine="560" w:firstLineChars="200"/>
        <w:jc w:val="both"/>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通讯地址：                                        </w:t>
      </w:r>
    </w:p>
    <w:p>
      <w:pPr>
        <w:tabs>
          <w:tab w:val="left" w:pos="7513"/>
        </w:tabs>
        <w:spacing w:line="560" w:lineRule="exact"/>
        <w:ind w:firstLine="560" w:firstLineChars="200"/>
        <w:jc w:val="both"/>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邮政编码：                                        </w:t>
      </w:r>
    </w:p>
    <w:p>
      <w:pPr>
        <w:tabs>
          <w:tab w:val="left" w:pos="7513"/>
        </w:tabs>
        <w:spacing w:line="560" w:lineRule="exact"/>
        <w:ind w:firstLine="560" w:firstLineChars="200"/>
        <w:jc w:val="both"/>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电话：                         传真：                   </w:t>
      </w:r>
    </w:p>
    <w:p>
      <w:pPr>
        <w:tabs>
          <w:tab w:val="left" w:pos="7513"/>
        </w:tabs>
        <w:spacing w:line="560" w:lineRule="exact"/>
        <w:ind w:firstLine="560" w:firstLineChars="200"/>
        <w:jc w:val="both"/>
        <w:rPr>
          <w:color w:val="000000" w:themeColor="text1"/>
          <w:highlight w:val="none"/>
          <w14:textFill>
            <w14:solidFill>
              <w14:schemeClr w14:val="tx1"/>
            </w14:solidFill>
          </w14:textFill>
        </w:rPr>
      </w:pPr>
      <w:r>
        <w:rPr>
          <w:rFonts w:hint="eastAsia"/>
          <w:color w:val="000000" w:themeColor="text1"/>
          <w:sz w:val="28"/>
          <w:szCs w:val="28"/>
          <w:highlight w:val="none"/>
          <w:u w:val="single"/>
          <w14:textFill>
            <w14:solidFill>
              <w14:schemeClr w14:val="tx1"/>
            </w14:solidFill>
          </w14:textFill>
        </w:rPr>
        <w:t xml:space="preserve">电子信箱：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w:t>
      </w:r>
    </w:p>
    <w:p>
      <w:pPr>
        <w:spacing w:line="560" w:lineRule="exact"/>
        <w:rPr>
          <w:color w:val="000000" w:themeColor="text1"/>
          <w:highlight w:val="none"/>
          <w14:textFill>
            <w14:solidFill>
              <w14:schemeClr w14:val="tx1"/>
            </w14:solidFill>
          </w14:textFill>
        </w:rPr>
      </w:pPr>
    </w:p>
    <w:p>
      <w:pPr>
        <w:spacing w:line="560" w:lineRule="exact"/>
        <w:rPr>
          <w:color w:val="000000" w:themeColor="text1"/>
          <w:highlight w:val="none"/>
          <w14:textFill>
            <w14:solidFill>
              <w14:schemeClr w14:val="tx1"/>
            </w14:solidFill>
          </w14:textFill>
        </w:rPr>
      </w:pPr>
    </w:p>
    <w:p>
      <w:pPr>
        <w:spacing w:line="360" w:lineRule="auto"/>
        <w:ind w:left="525" w:hanging="525" w:hangingChars="250"/>
        <w:rPr>
          <w:color w:val="000000" w:themeColor="text1"/>
          <w:highlight w:val="none"/>
          <w14:textFill>
            <w14:solidFill>
              <w14:schemeClr w14:val="tx1"/>
            </w14:solidFill>
          </w14:textFill>
        </w:rPr>
      </w:pPr>
    </w:p>
    <w:p>
      <w:pPr>
        <w:spacing w:line="360" w:lineRule="auto"/>
        <w:ind w:left="525" w:hanging="525" w:hangingChars="250"/>
        <w:rPr>
          <w:color w:val="000000" w:themeColor="text1"/>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根据《中华人民共和国民法典》及中山大学附属第三医院招(货/特)[   </w:t>
      </w:r>
      <w:r>
        <w:rPr>
          <w:rFonts w:hint="eastAsia" w:ascii="宋体" w:hAnsi="宋体" w:cs="宋体"/>
          <w:color w:val="000000" w:themeColor="text1"/>
          <w:sz w:val="24"/>
          <w:szCs w:val="24"/>
          <w:highlight w:val="none"/>
          <w:u w:val="single"/>
          <w14:textFill>
            <w14:solidFill>
              <w14:schemeClr w14:val="tx1"/>
            </w14:solidFill>
          </w14:textFill>
        </w:rPr>
        <w:t>_</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____</w:t>
      </w:r>
      <w:r>
        <w:rPr>
          <w:rFonts w:hint="eastAsia" w:ascii="宋体" w:hAnsi="宋体" w:cs="宋体"/>
          <w:color w:val="000000" w:themeColor="text1"/>
          <w:sz w:val="24"/>
          <w:szCs w:val="24"/>
          <w:highlight w:val="none"/>
          <w14:textFill>
            <w14:solidFill>
              <w14:schemeClr w14:val="tx1"/>
            </w14:solidFill>
          </w14:textFill>
        </w:rPr>
        <w:t>号的□招标结果、□小额竟磋的结果，甲方委托乙方对本合同项下的设备进行保养、维修，经双方协商一致，签订本合同，由双方共同恪守。</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53" w:name="_Toc894"/>
      <w:r>
        <w:rPr>
          <w:rFonts w:hint="eastAsia" w:ascii="宋体" w:hAnsi="宋体" w:cs="宋体"/>
          <w:b/>
          <w:bCs/>
          <w:snapToGrid w:val="0"/>
          <w:color w:val="000000" w:themeColor="text1"/>
          <w:sz w:val="24"/>
          <w:szCs w:val="24"/>
          <w:highlight w:val="none"/>
          <w14:textFill>
            <w14:solidFill>
              <w14:schemeClr w14:val="tx1"/>
            </w14:solidFill>
          </w14:textFill>
        </w:rPr>
        <w:t>一、项目概况</w:t>
      </w:r>
      <w:bookmarkEnd w:id="53"/>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1.1项目名称：中山大学附属第三医院</w:t>
      </w:r>
      <w:r>
        <w:rPr>
          <w:rFonts w:hint="eastAsia" w:ascii="宋体" w:hAnsi="宋体" w:cs="宋体"/>
          <w:color w:val="000000" w:themeColor="text1"/>
          <w:sz w:val="24"/>
          <w:szCs w:val="24"/>
          <w:highlight w:val="none"/>
          <w:u w:val="single"/>
          <w14:textFill>
            <w14:solidFill>
              <w14:schemeClr w14:val="tx1"/>
            </w14:solidFill>
          </w14:textFill>
        </w:rPr>
        <w:t>（    ）</w:t>
      </w:r>
      <w:r>
        <w:rPr>
          <w:rFonts w:hint="eastAsia" w:ascii="宋体" w:hAnsi="宋体" w:cs="宋体"/>
          <w:color w:val="000000" w:themeColor="text1"/>
          <w:sz w:val="24"/>
          <w:szCs w:val="24"/>
          <w:highlight w:val="none"/>
          <w14:textFill>
            <w14:solidFill>
              <w14:schemeClr w14:val="tx1"/>
            </w14:solidFill>
          </w14:textFill>
        </w:rPr>
        <w:t>院区项目。</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1.2项目地址：</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1.3项目范围及内容：</w:t>
      </w:r>
    </w:p>
    <w:p>
      <w:pPr>
        <w:spacing w:after="156" w:afterLines="50" w:line="360" w:lineRule="auto"/>
        <w:ind w:firstLine="480"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对</w:t>
      </w:r>
      <w:r>
        <w:rPr>
          <w:rFonts w:hint="eastAsia" w:ascii="宋体" w:hAnsi="宋体" w:cs="宋体"/>
          <w:color w:val="000000" w:themeColor="text1"/>
          <w:sz w:val="24"/>
          <w:szCs w:val="24"/>
          <w:highlight w:val="none"/>
          <w:u w:val="single"/>
          <w14:textFill>
            <w14:solidFill>
              <w14:schemeClr w14:val="tx1"/>
            </w14:solidFill>
          </w14:textFill>
        </w:rPr>
        <w:t>（    ）</w:t>
      </w:r>
      <w:r>
        <w:rPr>
          <w:rFonts w:hint="eastAsia" w:ascii="宋体" w:hAnsi="宋体" w:cs="宋体"/>
          <w:color w:val="000000" w:themeColor="text1"/>
          <w:sz w:val="24"/>
          <w:szCs w:val="24"/>
          <w:highlight w:val="none"/>
          <w14:textFill>
            <w14:solidFill>
              <w14:schemeClr w14:val="tx1"/>
            </w14:solidFill>
          </w14:textFill>
        </w:rPr>
        <w:t>院区等进行服务。</w:t>
      </w:r>
    </w:p>
    <w:tbl>
      <w:tblPr>
        <w:tblStyle w:val="39"/>
        <w:tblW w:w="10635" w:type="dxa"/>
        <w:jc w:val="center"/>
        <w:tblLayout w:type="fixed"/>
        <w:tblCellMar>
          <w:top w:w="0" w:type="dxa"/>
          <w:left w:w="108" w:type="dxa"/>
          <w:bottom w:w="0" w:type="dxa"/>
          <w:right w:w="108" w:type="dxa"/>
        </w:tblCellMar>
      </w:tblPr>
      <w:tblGrid>
        <w:gridCol w:w="456"/>
        <w:gridCol w:w="1985"/>
        <w:gridCol w:w="1523"/>
        <w:gridCol w:w="1296"/>
        <w:gridCol w:w="831"/>
        <w:gridCol w:w="1154"/>
        <w:gridCol w:w="2142"/>
        <w:gridCol w:w="1248"/>
      </w:tblGrid>
      <w:tr>
        <w:tblPrEx>
          <w:tblCellMar>
            <w:top w:w="0" w:type="dxa"/>
            <w:left w:w="108" w:type="dxa"/>
            <w:bottom w:w="0" w:type="dxa"/>
            <w:right w:w="108" w:type="dxa"/>
          </w:tblCellMar>
        </w:tblPrEx>
        <w:trPr>
          <w:trHeight w:val="48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序号</w:t>
            </w:r>
          </w:p>
        </w:tc>
        <w:tc>
          <w:tcPr>
            <w:tcW w:w="19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设备名称</w:t>
            </w:r>
          </w:p>
        </w:tc>
        <w:tc>
          <w:tcPr>
            <w:tcW w:w="15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品牌/型号</w:t>
            </w:r>
          </w:p>
        </w:tc>
        <w:tc>
          <w:tcPr>
            <w:tcW w:w="129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配置</w:t>
            </w:r>
          </w:p>
        </w:tc>
        <w:tc>
          <w:tcPr>
            <w:tcW w:w="83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数量</w:t>
            </w:r>
          </w:p>
        </w:tc>
        <w:tc>
          <w:tcPr>
            <w:tcW w:w="11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机身号</w:t>
            </w:r>
          </w:p>
        </w:tc>
        <w:tc>
          <w:tcPr>
            <w:tcW w:w="214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使用地址</w:t>
            </w:r>
          </w:p>
        </w:tc>
        <w:tc>
          <w:tcPr>
            <w:tcW w:w="124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现状</w:t>
            </w:r>
          </w:p>
        </w:tc>
      </w:tr>
      <w:tr>
        <w:tblPrEx>
          <w:tblCellMar>
            <w:top w:w="0" w:type="dxa"/>
            <w:left w:w="108" w:type="dxa"/>
            <w:bottom w:w="0" w:type="dxa"/>
            <w:right w:w="108" w:type="dxa"/>
          </w:tblCellMar>
        </w:tblPrEx>
        <w:trPr>
          <w:trHeight w:val="480" w:hRule="atLeast"/>
          <w:jc w:val="center"/>
        </w:trPr>
        <w:tc>
          <w:tcPr>
            <w:tcW w:w="456"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1</w:t>
            </w:r>
          </w:p>
        </w:tc>
        <w:tc>
          <w:tcPr>
            <w:tcW w:w="1985"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523"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296"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831"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154"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2142"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248"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456"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2</w:t>
            </w:r>
          </w:p>
        </w:tc>
        <w:tc>
          <w:tcPr>
            <w:tcW w:w="1985"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523"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296"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831"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154"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2142"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248"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456"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3</w:t>
            </w:r>
          </w:p>
        </w:tc>
        <w:tc>
          <w:tcPr>
            <w:tcW w:w="1985"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523"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296"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831"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154"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2142"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c>
          <w:tcPr>
            <w:tcW w:w="1248" w:type="dxa"/>
            <w:tcBorders>
              <w:top w:val="nil"/>
              <w:left w:val="nil"/>
              <w:bottom w:val="single" w:color="auto" w:sz="4" w:space="0"/>
              <w:right w:val="single" w:color="auto" w:sz="4" w:space="0"/>
            </w:tcBorders>
            <w:vAlign w:val="center"/>
          </w:tcPr>
          <w:p>
            <w:pPr>
              <w:spacing w:line="360" w:lineRule="auto"/>
              <w:jc w:val="center"/>
              <w:rPr>
                <w:rFonts w:ascii="宋体" w:hAnsi="宋体" w:cs="宋体"/>
                <w:b/>
                <w:bCs/>
                <w:color w:val="000000" w:themeColor="text1"/>
                <w:sz w:val="22"/>
                <w:szCs w:val="22"/>
                <w:highlight w:val="none"/>
                <w14:textFill>
                  <w14:solidFill>
                    <w14:schemeClr w14:val="tx1"/>
                  </w14:solidFill>
                </w14:textFill>
              </w:rPr>
            </w:pPr>
          </w:p>
        </w:tc>
      </w:tr>
    </w:tbl>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1.4乙方定期提供维护保养，依据不同仪器设备的保养需求（考虑但不限于以下因素：仪器设备的质量、性能、生产商、使用频率和使用环境）,由甲乙双方协商确定定期维护保养的频率，作为本合同附件；如甲方或乙方有合理理由认为需要调整部分仪器设备的维修保养频率，经协商一致，可签订补充协议作为本合同附件；甲方用户根据需要要求乙方提供维护保养，乙方应在甲方用户提出需求后__个工作日内响应。</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1.5乙方应在征得甲方同意下及时、免费对仪器设备的配套软件进行升级。</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1.6 各仪器设备的保养、维修范围和内容，由甲乙双方协商确定，作为本合同附件。超出约定范围和内容的特殊要求，由甲乙双方另行协商确定。</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1.7乙方到甲方设备所在现场进行保修，合同保修范围内产生的一切费用均由乙方承担。包括更换配件费用、人工费及差旅费。乙方接到甲方用户要求服务的电话或电子信息后，应在</w:t>
      </w:r>
      <w:r>
        <w:rPr>
          <w:rFonts w:hint="eastAsia" w:ascii="宋体" w:hAnsi="宋体" w:cs="宋体"/>
          <w:color w:val="000000" w:themeColor="text1"/>
          <w:sz w:val="24"/>
          <w:szCs w:val="24"/>
          <w:highlight w:val="none"/>
          <w:u w:val="single"/>
          <w14:textFill>
            <w14:solidFill>
              <w14:schemeClr w14:val="tx1"/>
            </w14:solidFill>
          </w14:textFill>
        </w:rPr>
        <w:t>_</w:t>
      </w:r>
      <w:r>
        <w:rPr>
          <w:rFonts w:hint="eastAsia" w:ascii="宋体" w:hAnsi="宋体" w:cs="宋体"/>
          <w:color w:val="000000" w:themeColor="text1"/>
          <w:sz w:val="24"/>
          <w:szCs w:val="24"/>
          <w:highlight w:val="none"/>
          <w14:textFill>
            <w14:solidFill>
              <w14:schemeClr w14:val="tx1"/>
            </w14:solidFill>
          </w14:textFill>
        </w:rPr>
        <w:t>_小时内上门维保并在</w:t>
      </w:r>
      <w:r>
        <w:rPr>
          <w:rFonts w:hint="eastAsia" w:ascii="宋体" w:hAnsi="宋体" w:cs="宋体"/>
          <w:color w:val="000000" w:themeColor="text1"/>
          <w:sz w:val="24"/>
          <w:szCs w:val="24"/>
          <w:highlight w:val="none"/>
          <w:u w:val="single"/>
          <w14:textFill>
            <w14:solidFill>
              <w14:schemeClr w14:val="tx1"/>
            </w14:solidFill>
          </w14:textFill>
        </w:rPr>
        <w:t>___</w:t>
      </w:r>
      <w:r>
        <w:rPr>
          <w:rFonts w:hint="eastAsia" w:ascii="宋体" w:hAnsi="宋体" w:cs="宋体"/>
          <w:color w:val="000000" w:themeColor="text1"/>
          <w:sz w:val="24"/>
          <w:szCs w:val="24"/>
          <w:highlight w:val="none"/>
          <w14:textFill>
            <w14:solidFill>
              <w14:schemeClr w14:val="tx1"/>
            </w14:solidFill>
          </w14:textFill>
        </w:rPr>
        <w:t>小时内解决故障。</w:t>
      </w:r>
    </w:p>
    <w:p>
      <w:pPr>
        <w:spacing w:line="360" w:lineRule="auto"/>
        <w:ind w:firstLine="480" w:firstLineChars="20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1.8 其他：</w:t>
      </w:r>
    </w:p>
    <w:p>
      <w:pPr>
        <w:spacing w:line="360" w:lineRule="auto"/>
        <w:ind w:firstLine="480"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1.9 其他条款以投标文件承诺为准。</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54" w:name="_Toc3537"/>
      <w:r>
        <w:rPr>
          <w:rFonts w:hint="eastAsia" w:ascii="宋体" w:hAnsi="宋体" w:cs="宋体"/>
          <w:b/>
          <w:bCs/>
          <w:snapToGrid w:val="0"/>
          <w:color w:val="000000" w:themeColor="text1"/>
          <w:sz w:val="24"/>
          <w:szCs w:val="24"/>
          <w:highlight w:val="none"/>
          <w14:textFill>
            <w14:solidFill>
              <w14:schemeClr w14:val="tx1"/>
            </w14:solidFill>
          </w14:textFill>
        </w:rPr>
        <w:t>二、合同期限</w:t>
      </w:r>
      <w:bookmarkEnd w:id="54"/>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本合同签订有效期</w:t>
      </w:r>
      <w:r>
        <w:rPr>
          <w:rFonts w:hint="eastAsia" w:ascii="宋体" w:hAnsi="宋体" w:cs="宋体"/>
          <w:color w:val="000000" w:themeColor="text1"/>
          <w:sz w:val="24"/>
          <w:szCs w:val="24"/>
          <w:highlight w:val="none"/>
          <w:u w:val="single"/>
          <w14:textFill>
            <w14:solidFill>
              <w14:schemeClr w14:val="tx1"/>
            </w14:solidFill>
          </w14:textFill>
        </w:rPr>
        <w:t>___</w:t>
      </w:r>
      <w:r>
        <w:rPr>
          <w:rFonts w:hint="eastAsia" w:ascii="宋体" w:hAnsi="宋体" w:cs="宋体"/>
          <w:color w:val="000000" w:themeColor="text1"/>
          <w:sz w:val="24"/>
          <w:szCs w:val="24"/>
          <w:highlight w:val="none"/>
          <w14:textFill>
            <w14:solidFill>
              <w14:schemeClr w14:val="tx1"/>
            </w14:solidFill>
          </w14:textFill>
        </w:rPr>
        <w:t>年，自</w:t>
      </w:r>
      <w:r>
        <w:rPr>
          <w:rFonts w:hint="eastAsia" w:ascii="宋体" w:hAnsi="宋体" w:cs="宋体"/>
          <w:color w:val="000000" w:themeColor="text1"/>
          <w:sz w:val="24"/>
          <w:szCs w:val="24"/>
          <w:highlight w:val="none"/>
          <w:u w:val="single"/>
          <w14:textFill>
            <w14:solidFill>
              <w14:schemeClr w14:val="tx1"/>
            </w14:solidFill>
          </w14:textFill>
        </w:rPr>
        <w:t>__</w:t>
      </w:r>
      <w:r>
        <w:rPr>
          <w:rFonts w:hint="eastAsia"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u w:val="single"/>
          <w14:textFill>
            <w14:solidFill>
              <w14:schemeClr w14:val="tx1"/>
            </w14:solidFill>
          </w14:textFill>
        </w:rPr>
        <w:t>__</w:t>
      </w:r>
      <w:r>
        <w:rPr>
          <w:rFonts w:hint="eastAsia" w:ascii="宋体" w:hAnsi="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u w:val="single"/>
          <w14:textFill>
            <w14:solidFill>
              <w14:schemeClr w14:val="tx1"/>
            </w14:solidFill>
          </w14:textFill>
        </w:rPr>
        <w:t>__</w:t>
      </w:r>
      <w:r>
        <w:rPr>
          <w:rFonts w:hint="eastAsia" w:ascii="宋体" w:hAnsi="宋体" w:cs="宋体"/>
          <w:color w:val="000000" w:themeColor="text1"/>
          <w:sz w:val="24"/>
          <w:szCs w:val="24"/>
          <w:highlight w:val="none"/>
          <w14:textFill>
            <w14:solidFill>
              <w14:schemeClr w14:val="tx1"/>
            </w14:solidFill>
          </w14:textFill>
        </w:rPr>
        <w:t>日始， 至</w:t>
      </w:r>
      <w:r>
        <w:rPr>
          <w:rFonts w:hint="eastAsia" w:ascii="宋体" w:hAnsi="宋体" w:cs="宋体"/>
          <w:color w:val="000000" w:themeColor="text1"/>
          <w:sz w:val="24"/>
          <w:szCs w:val="24"/>
          <w:highlight w:val="none"/>
          <w:u w:val="single"/>
          <w14:textFill>
            <w14:solidFill>
              <w14:schemeClr w14:val="tx1"/>
            </w14:solidFill>
          </w14:textFill>
        </w:rPr>
        <w:t>__</w:t>
      </w:r>
      <w:r>
        <w:rPr>
          <w:rFonts w:hint="eastAsia" w:ascii="宋体" w:hAnsi="宋体" w:cs="宋体"/>
          <w:color w:val="000000" w:themeColor="text1"/>
          <w:sz w:val="24"/>
          <w:szCs w:val="24"/>
          <w:highlight w:val="none"/>
          <w14:textFill>
            <w14:solidFill>
              <w14:schemeClr w14:val="tx1"/>
            </w14:solidFill>
          </w14:textFill>
        </w:rPr>
        <w:t>年__月</w:t>
      </w:r>
      <w:r>
        <w:rPr>
          <w:rFonts w:hint="eastAsia" w:ascii="宋体" w:hAnsi="宋体" w:cs="宋体"/>
          <w:color w:val="000000" w:themeColor="text1"/>
          <w:sz w:val="24"/>
          <w:szCs w:val="24"/>
          <w:highlight w:val="none"/>
          <w:u w:val="single"/>
          <w14:textFill>
            <w14:solidFill>
              <w14:schemeClr w14:val="tx1"/>
            </w14:solidFill>
          </w14:textFill>
        </w:rPr>
        <w:t>__</w:t>
      </w:r>
      <w:r>
        <w:rPr>
          <w:rFonts w:hint="eastAsia" w:ascii="宋体" w:hAnsi="宋体" w:cs="宋体"/>
          <w:color w:val="000000" w:themeColor="text1"/>
          <w:sz w:val="24"/>
          <w:szCs w:val="24"/>
          <w:highlight w:val="none"/>
          <w14:textFill>
            <w14:solidFill>
              <w14:schemeClr w14:val="tx1"/>
            </w14:solidFill>
          </w14:textFill>
        </w:rPr>
        <w:t>日止。</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55" w:name="_Toc22947"/>
      <w:r>
        <w:rPr>
          <w:rFonts w:hint="eastAsia" w:ascii="宋体" w:hAnsi="宋体" w:cs="宋体"/>
          <w:b/>
          <w:bCs/>
          <w:snapToGrid w:val="0"/>
          <w:color w:val="000000" w:themeColor="text1"/>
          <w:sz w:val="24"/>
          <w:szCs w:val="24"/>
          <w:highlight w:val="none"/>
          <w14:textFill>
            <w14:solidFill>
              <w14:schemeClr w14:val="tx1"/>
            </w14:solidFill>
          </w14:textFill>
        </w:rPr>
        <w:t>三、合同价款</w:t>
      </w:r>
      <w:bookmarkEnd w:id="55"/>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本合同项下仪器设备维修、保养费用总价款（含___%税）为：人民币____________元整（¥_________）。</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56" w:name="_Toc11325"/>
      <w:r>
        <w:rPr>
          <w:rFonts w:hint="eastAsia" w:ascii="宋体" w:hAnsi="宋体" w:cs="宋体"/>
          <w:b/>
          <w:bCs/>
          <w:snapToGrid w:val="0"/>
          <w:color w:val="000000" w:themeColor="text1"/>
          <w:sz w:val="24"/>
          <w:szCs w:val="24"/>
          <w:highlight w:val="none"/>
          <w14:textFill>
            <w14:solidFill>
              <w14:schemeClr w14:val="tx1"/>
            </w14:solidFill>
          </w14:textFill>
        </w:rPr>
        <w:t>四、支付方式</w:t>
      </w:r>
      <w:bookmarkEnd w:id="56"/>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4.1合同签订后，乙方将设备现有故障解决并校准调试，待设备恢复正常运行三个月，并完成第一次保养后，提交书面支付申请，甲方收到乙方书面支付申请及开具的等额正式发票后【60】个工作日内，向乙方支付人民币【***】元。</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4.2甲方收到乙方开具等额的 □增值税普通发票 □增值税专用发票后，按上述期限向乙方付款。乙方须提前提供合法有效的等额发票，否则甲方有权顺延付款。</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4.3账户及开票信息</w:t>
      </w:r>
    </w:p>
    <w:p>
      <w:pPr>
        <w:spacing w:line="360" w:lineRule="auto"/>
        <w:ind w:firstLine="569"/>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4.3.1乙方指定以下账户为唯一收款账户：</w:t>
      </w:r>
    </w:p>
    <w:p>
      <w:pPr>
        <w:spacing w:line="360" w:lineRule="auto"/>
        <w:ind w:firstLine="569"/>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账户名称：</w:t>
      </w:r>
    </w:p>
    <w:p>
      <w:pPr>
        <w:spacing w:line="360" w:lineRule="auto"/>
        <w:ind w:firstLine="569"/>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开户银行：</w:t>
      </w:r>
    </w:p>
    <w:p>
      <w:pPr>
        <w:spacing w:line="360" w:lineRule="auto"/>
        <w:ind w:firstLine="569"/>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银行账号：</w:t>
      </w:r>
    </w:p>
    <w:p>
      <w:pPr>
        <w:spacing w:line="360" w:lineRule="auto"/>
        <w:ind w:firstLine="569"/>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4.3.2 乙方向甲方开具发票的信息：</w:t>
      </w:r>
    </w:p>
    <w:tbl>
      <w:tblPr>
        <w:tblStyle w:val="39"/>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920"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单位名称</w:t>
            </w:r>
          </w:p>
        </w:tc>
        <w:tc>
          <w:tcPr>
            <w:tcW w:w="6656"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中山大学附属第三医院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920"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纳税人识别号</w:t>
            </w:r>
          </w:p>
        </w:tc>
        <w:tc>
          <w:tcPr>
            <w:tcW w:w="6656"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121000004554160457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920"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地址</w:t>
            </w:r>
          </w:p>
        </w:tc>
        <w:tc>
          <w:tcPr>
            <w:tcW w:w="6656"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广东省广州市天河路600号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20"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电话号码</w:t>
            </w:r>
          </w:p>
        </w:tc>
        <w:tc>
          <w:tcPr>
            <w:tcW w:w="6656"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020-85253120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20"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开户行</w:t>
            </w:r>
          </w:p>
        </w:tc>
        <w:tc>
          <w:tcPr>
            <w:tcW w:w="6656"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中国工商银行广州高新支行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920"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开户行账号</w:t>
            </w:r>
          </w:p>
        </w:tc>
        <w:tc>
          <w:tcPr>
            <w:tcW w:w="6656" w:type="dxa"/>
            <w:vAlign w:val="center"/>
          </w:tcPr>
          <w:p>
            <w:pPr>
              <w:suppressAutoHyphens/>
              <w:contextualSpacing/>
              <w:textAlignment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3602008109000334985</w:t>
            </w:r>
          </w:p>
        </w:tc>
      </w:tr>
    </w:tbl>
    <w:p>
      <w:pPr>
        <w:spacing w:before="156" w:beforeLines="50"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4.3.3除本合同明确约定的费用外，甲方无需支付任何额外费用和承担任何额外义务。在实际合同履行过程中，如果乙方未完全履行合同义务或履行的合同义务不符合约定的，则未履行或履行不符合合同约定的内容所对应的费用由甲方直接从合同总价中扣除。</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4.3.4乙方须提前提供符合税法规定、以甲方财务要求的正规税务发票，否则甲方有权顺延付款。甲方向乙方指定账户汇出款项后，即视为已履行付款义务，在汇款过程中，因乙方账户的原因（包括但不限于账号被注销、被冻结等）导致无法收取款项的，由乙方承担后果。甲方有权直接在应付款项中扣除乙方应承担违约金或赔偿金等。因财政拨款等非因甲方原因导致付款延迟或出现其他不符合约定的情形，甲方不承担任何责任。</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57" w:name="_Toc28399"/>
      <w:r>
        <w:rPr>
          <w:rFonts w:hint="eastAsia" w:ascii="宋体" w:hAnsi="宋体" w:cs="宋体"/>
          <w:b/>
          <w:bCs/>
          <w:snapToGrid w:val="0"/>
          <w:color w:val="000000" w:themeColor="text1"/>
          <w:sz w:val="24"/>
          <w:szCs w:val="24"/>
          <w:highlight w:val="none"/>
          <w14:textFill>
            <w14:solidFill>
              <w14:schemeClr w14:val="tx1"/>
            </w14:solidFill>
          </w14:textFill>
        </w:rPr>
        <w:t>五、服务质量要求与验收</w:t>
      </w:r>
      <w:bookmarkEnd w:id="57"/>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5.1 维保服务作业应符合国家、地方、行业规范，确保仪器设备处于技术状态良好、安全、稳定、持续运行的要求。</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5.2乙方提供的货物必须是原厂生产的、全新的，必须具备出厂合格证，且进货渠道合法。</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5.3乙方提供的所有货物及服务不得侵犯第三方版权、专利、税费等。</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5.4验收标准：服务验收以甲乙双方共同确认的仪器处于正常工作状态为准。</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5.4 每次维保服务工作结束并得到甲方认可后，乙方需填写并签署维保报告一式两份，甲乙各一份。乙方每次维护后应对设备的现状、甲方使用中需要注意的内容写入维保报告。</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58" w:name="_Toc8518"/>
      <w:r>
        <w:rPr>
          <w:rFonts w:hint="eastAsia" w:ascii="宋体" w:hAnsi="宋体" w:cs="宋体"/>
          <w:b/>
          <w:bCs/>
          <w:snapToGrid w:val="0"/>
          <w:color w:val="000000" w:themeColor="text1"/>
          <w:sz w:val="24"/>
          <w:szCs w:val="24"/>
          <w:highlight w:val="none"/>
          <w14:textFill>
            <w14:solidFill>
              <w14:schemeClr w14:val="tx1"/>
            </w14:solidFill>
          </w14:textFill>
        </w:rPr>
        <w:t>六、甲方的权利和义务</w:t>
      </w:r>
      <w:bookmarkEnd w:id="58"/>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 甲方应确保仪器设备工作环境的良好，无人为擅自拆修造成组件的损坏情况出现。</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6.2 为保证仪器的正常运行，甲方应指定专人对仪器设备运行情况进行检查并做好记录，如果出现问题及时通知乙方保修。</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6.3 甲方有权对乙方的工作进行监督、检验，并提出意见。</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6.4 在维修保养过程中，甲方应积极配合乙方维修人员的工作，提供必要的维保条件如场地、水、电等，甲乙双方另有约定的依照约定执行。</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6.5 乙方完成维保服务并提交维保报告后，甲方应在__个工作日内检查验收，如验收合格，签署并向乙方反馈维保报告；如验收不合格，可要求乙方在__个工作日内返工并重新提交维保报告。</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6.6 在乙方严格按照本合同约定提供维保服务条件下，甲方应按照本合同约定及时支付服务费用。</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59" w:name="_Toc23856"/>
      <w:r>
        <w:rPr>
          <w:rFonts w:hint="eastAsia" w:ascii="宋体" w:hAnsi="宋体" w:cs="宋体"/>
          <w:b/>
          <w:bCs/>
          <w:snapToGrid w:val="0"/>
          <w:color w:val="000000" w:themeColor="text1"/>
          <w:sz w:val="24"/>
          <w:szCs w:val="24"/>
          <w:highlight w:val="none"/>
          <w14:textFill>
            <w14:solidFill>
              <w14:schemeClr w14:val="tx1"/>
            </w14:solidFill>
          </w14:textFill>
        </w:rPr>
        <w:t>七、乙方的权利和义务</w:t>
      </w:r>
      <w:bookmarkEnd w:id="59"/>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7.1 保证开机率：乙方应当承诺在服务时间期内（每天24小时，全年365个自然日），对所保设备开机率承诺保证至少应达到95%，即正常开机时间达到每年346.75个自然日，停机时间不超过18.25个自然日。一个自然日内停机超过8小时，按停机1个自然日计算；一个自然日内停机不超过8小时即恢复正常，按停机0.5个自然日计算。  当开机率低于95%，每降低1%，维保期免费顺延30个自然日；当开机率低于90%，乙方应按合同总价款    （三年合同总价款）的10%向甲方支付违约金（甲方可以以未支付的维保服务费抵扣），并对甲方因此遭受的所有损失进行赔偿。（开机率的计算统计，以甲方根据维保设备使用的实际情况统计为准。）。</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7.2 除自然灾害等不可抗拒力导致的设备损坏外，乙方应在维保期内保证系统设备处于良好状态，达到本合同技术要求的标准。</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7.3 乙方应按照本合同的约定时间和要求进行设备维护，设备故障时乙方应按承诺的响应时间到场维修。如设备有突发性故障甲方需要紧急维修时，乙方应积极配合甲方尽快安排人员到场维修。7.4 本合同不含第三方产品故障的维修，但乙方需配合第三方设备故障检测的工作。</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7.5 每次维保服务工作结束后，乙方应及时向甲方提交维保报告，经甲方验收并签署维保报告后，本次维保服务方为完结。</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7.6 在履行本合同过程中，因乙方过错造成甲方直接经济损失，由乙方承担。</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7.7 在维保服务过程中，乙方应做好安全防护措施，确保人身安全。如维保过程发生事故，乙方承担全部责任（包括人身安全）。</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7.8乙方应在合同结束15个工作日内，提交总结分析报告。</w:t>
      </w:r>
    </w:p>
    <w:p>
      <w:pPr>
        <w:rPr>
          <w:rFonts w:ascii="宋体" w:hAnsi="宋体" w:cs="宋体"/>
          <w:b/>
          <w:bCs/>
          <w:snapToGrid w:val="0"/>
          <w:color w:val="000000" w:themeColor="text1"/>
          <w:sz w:val="24"/>
          <w:szCs w:val="24"/>
          <w:highlight w:val="none"/>
          <w14:textFill>
            <w14:solidFill>
              <w14:schemeClr w14:val="tx1"/>
            </w14:solidFill>
          </w14:textFill>
        </w:rPr>
      </w:pPr>
      <w:bookmarkStart w:id="60" w:name="_Toc10772"/>
      <w:r>
        <w:rPr>
          <w:rFonts w:hint="eastAsia" w:ascii="宋体" w:hAnsi="宋体" w:cs="宋体"/>
          <w:b/>
          <w:bCs/>
          <w:snapToGrid w:val="0"/>
          <w:color w:val="000000" w:themeColor="text1"/>
          <w:sz w:val="24"/>
          <w:szCs w:val="24"/>
          <w:highlight w:val="none"/>
          <w14:textFill>
            <w14:solidFill>
              <w14:schemeClr w14:val="tx1"/>
            </w14:solidFill>
          </w14:textFill>
        </w:rPr>
        <w:t>八、违约责任</w:t>
      </w:r>
      <w:bookmarkEnd w:id="60"/>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8.1在合同期间，若由于乙方原因导致乙方终止合同或退场，须提前一个月书面通知甲方，并向甲方缴纳合同总价的</w:t>
      </w:r>
      <w:r>
        <w:rPr>
          <w:rFonts w:hint="eastAsia" w:ascii="宋体" w:hAnsi="宋体" w:cs="宋体"/>
          <w:color w:val="000000" w:themeColor="text1"/>
          <w:sz w:val="24"/>
          <w:szCs w:val="24"/>
          <w:highlight w:val="none"/>
          <w:u w:val="single"/>
          <w14:textFill>
            <w14:solidFill>
              <w14:schemeClr w14:val="tx1"/>
            </w14:solidFill>
          </w14:textFill>
        </w:rPr>
        <w:t xml:space="preserve"> 10 %</w:t>
      </w:r>
      <w:r>
        <w:rPr>
          <w:rFonts w:hint="eastAsia" w:ascii="宋体" w:hAnsi="宋体" w:cs="宋体"/>
          <w:color w:val="000000" w:themeColor="text1"/>
          <w:sz w:val="24"/>
          <w:szCs w:val="24"/>
          <w:highlight w:val="none"/>
          <w14:textFill>
            <w14:solidFill>
              <w14:schemeClr w14:val="tx1"/>
            </w14:solidFill>
          </w14:textFill>
        </w:rPr>
        <w:t>作为违约金，甲方不予退回履约保证金；</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8.2乙方在维保期间应遵守甲方的规章制度，爱护甲方设备财物，若因乙方因素造成甲方设备财物损坏或随意更改建筑结构的，乙方须按照原价进行赔偿，并承担全部责任。</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8.3如乙方未按约定时间提供维保服务、维保返工，经甲方催告后无正当理由仍不履行义务的，自催告后每逾期1个自然日，应按本合同价款□年度 □季度 □月度金额的每日</w:t>
      </w:r>
      <w:bookmarkStart w:id="61" w:name="_Hlk503892313"/>
      <w:r>
        <w:rPr>
          <w:rFonts w:hint="eastAsia" w:ascii="宋体" w:hAnsi="宋体" w:cs="宋体"/>
          <w:color w:val="000000" w:themeColor="text1"/>
          <w:sz w:val="24"/>
          <w:szCs w:val="24"/>
          <w:highlight w:val="none"/>
          <w:u w:val="single"/>
          <w14:textFill>
            <w14:solidFill>
              <w14:schemeClr w14:val="tx1"/>
            </w14:solidFill>
          </w14:textFill>
        </w:rPr>
        <w:t>5‰</w:t>
      </w:r>
      <w:bookmarkEnd w:id="61"/>
      <w:r>
        <w:rPr>
          <w:rFonts w:hint="eastAsia" w:ascii="宋体" w:hAnsi="宋体" w:cs="宋体"/>
          <w:color w:val="000000" w:themeColor="text1"/>
          <w:sz w:val="24"/>
          <w:szCs w:val="24"/>
          <w:highlight w:val="none"/>
          <w14:textFill>
            <w14:solidFill>
              <w14:schemeClr w14:val="tx1"/>
            </w14:solidFill>
          </w14:textFill>
        </w:rPr>
        <w:t>向甲方支付违约金；且甲方有权自行委托第三方提供甲方所需要维保服务，由此造成的包括但不限于第三方维保费用、甲方其他经济损失等均由乙方承担赔偿。</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8.4若甲方对乙方的服务效果不满意时，在情节不严重的情况下可予以警告。乙方应该及时按照甲方要求进行整改；若</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次警告无效或出现严重情节时，甲方可发出书面通知要求整改，并按合同总价的 1‰ /次从合同费用中扣除违约费。</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8.5甲方逾期支付货款，经乙方催告后无正当理由仍不支付的，自催告后每逾期1个自然日，</w:t>
      </w:r>
      <w:r>
        <w:rPr>
          <w:rFonts w:hint="eastAsia" w:ascii="宋体" w:hAnsi="宋体" w:cs="宋体"/>
          <w:bCs/>
          <w:color w:val="000000" w:themeColor="text1"/>
          <w:sz w:val="24"/>
          <w:szCs w:val="24"/>
          <w:highlight w:val="none"/>
          <w14:textFill>
            <w14:solidFill>
              <w14:schemeClr w14:val="tx1"/>
            </w14:solidFill>
          </w14:textFill>
        </w:rPr>
        <w:t>应按逾期付款金额每日</w:t>
      </w:r>
      <w:r>
        <w:rPr>
          <w:rFonts w:hint="eastAsia" w:ascii="宋体" w:hAnsi="宋体" w:cs="宋体"/>
          <w:bCs/>
          <w:color w:val="000000" w:themeColor="text1"/>
          <w:sz w:val="24"/>
          <w:szCs w:val="24"/>
          <w:highlight w:val="none"/>
          <w:u w:val="single"/>
          <w14:textFill>
            <w14:solidFill>
              <w14:schemeClr w14:val="tx1"/>
            </w14:solidFill>
          </w14:textFill>
        </w:rPr>
        <w:t>1‰</w:t>
      </w:r>
      <w:r>
        <w:rPr>
          <w:rFonts w:hint="eastAsia" w:ascii="宋体" w:hAnsi="宋体" w:cs="宋体"/>
          <w:bCs/>
          <w:color w:val="000000" w:themeColor="text1"/>
          <w:sz w:val="24"/>
          <w:szCs w:val="24"/>
          <w:highlight w:val="none"/>
          <w14:textFill>
            <w14:solidFill>
              <w14:schemeClr w14:val="tx1"/>
            </w14:solidFill>
          </w14:textFill>
        </w:rPr>
        <w:t>向乙方支付违约金。</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8.6有以下情形之一的，甲方有权解除合同，并不再支付当期合同款项，乙方应按合同总金额的</w:t>
      </w:r>
      <w:r>
        <w:rPr>
          <w:rFonts w:hint="eastAsia" w:ascii="宋体" w:hAnsi="宋体" w:cs="宋体"/>
          <w:bCs/>
          <w:color w:val="000000" w:themeColor="text1"/>
          <w:sz w:val="24"/>
          <w:szCs w:val="24"/>
          <w:highlight w:val="none"/>
          <w:u w:val="single"/>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向甲方支付违约金，违约金不足以弥补甲方损失的，乙方应另行赔偿甲方，具体情形如下：</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8.6.1乙方履行义务不符合约定，经甲方提出后在合理期限内仍未改正的；</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8.6.2未经甲方书面同意，乙方将本合同项下的权利或义务转让，或将本合同项下服务转包或分包的；</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8.6.3乙方逾期超过10个自然日仍未提供合同约定服务的；</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8.6.4法律规定的其他情形。</w:t>
      </w:r>
    </w:p>
    <w:p>
      <w:pPr>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 xml:space="preserve">8.5 </w:t>
      </w:r>
      <w:r>
        <w:rPr>
          <w:rFonts w:hint="eastAsia" w:ascii="宋体" w:hAnsi="宋体" w:cs="宋体"/>
          <w:color w:val="000000" w:themeColor="text1"/>
          <w:sz w:val="24"/>
          <w:szCs w:val="24"/>
          <w:highlight w:val="none"/>
          <w14:textFill>
            <w14:solidFill>
              <w14:schemeClr w14:val="tx1"/>
            </w14:solidFill>
          </w14:textFill>
        </w:rPr>
        <w:t>本合同所称之损失包括直接经济损失和合同履行后可以获得的利益及合理的调查费、评估费、公证费、诉讼费、交通费、律师费等相关法律费用。</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62" w:name="_Toc5427"/>
      <w:r>
        <w:rPr>
          <w:rFonts w:hint="eastAsia" w:ascii="宋体" w:hAnsi="宋体" w:cs="宋体"/>
          <w:b/>
          <w:bCs/>
          <w:snapToGrid w:val="0"/>
          <w:color w:val="000000" w:themeColor="text1"/>
          <w:sz w:val="24"/>
          <w:szCs w:val="24"/>
          <w:highlight w:val="none"/>
          <w14:textFill>
            <w14:solidFill>
              <w14:schemeClr w14:val="tx1"/>
            </w14:solidFill>
          </w14:textFill>
        </w:rPr>
        <w:t>九、保密条款</w:t>
      </w:r>
      <w:bookmarkEnd w:id="62"/>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9.1任何一方应对本合同履行过程中所知悉的对方的知识产权、商业秘密、技术成果、经营计划和战略、客户信息及其它非技术性信息承担保密义务。未经书面同意，不得通过任何途径向社会公众或第三方出示和泄露保密信息，不得对上述信息进行复制、传播和销售。双方应约束其员工履行保密义务。</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9.2无论本合同是否发生变更、解除或终止，本保密条款均长期有效。</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63" w:name="_Toc9058"/>
      <w:r>
        <w:rPr>
          <w:rFonts w:hint="eastAsia" w:ascii="宋体" w:hAnsi="宋体" w:cs="宋体"/>
          <w:b/>
          <w:bCs/>
          <w:snapToGrid w:val="0"/>
          <w:color w:val="000000" w:themeColor="text1"/>
          <w:sz w:val="24"/>
          <w:szCs w:val="24"/>
          <w:highlight w:val="none"/>
          <w14:textFill>
            <w14:solidFill>
              <w14:schemeClr w14:val="tx1"/>
            </w14:solidFill>
          </w14:textFill>
        </w:rPr>
        <w:t>十、不可抗力</w:t>
      </w:r>
      <w:bookmarkEnd w:id="63"/>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10.1不可抗力指在本合同期限内发生的不可预见（或可预见，但其发生或后果不可避免）、非任何一方所能控制且使任何一方无法完全履行本合同的国家政策、法律、法规的限制、地震、台风、火灾、水灾、战争、罢工、暴动、黑客攻击或任何其它社会、政治动荡造成的灾难。</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10.2任何一方由于不可抗力的原因而不能履行合同时，应在不可抗力发生后 3个自然日内书面向对方通报不能履行或不能完全履行合同的理由，在取得不可抗力发生的地市级以上政府相关部门证明以后，双方经友好协商之后，允许延期履行、部分履行或者不履行合同，并根据情况可免于承担部分或全部违约责任。</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64" w:name="_Toc31588"/>
      <w:r>
        <w:rPr>
          <w:rFonts w:hint="eastAsia" w:ascii="宋体" w:hAnsi="宋体" w:cs="宋体"/>
          <w:b/>
          <w:bCs/>
          <w:snapToGrid w:val="0"/>
          <w:color w:val="000000" w:themeColor="text1"/>
          <w:sz w:val="24"/>
          <w:szCs w:val="24"/>
          <w:highlight w:val="none"/>
          <w14:textFill>
            <w14:solidFill>
              <w14:schemeClr w14:val="tx1"/>
            </w14:solidFill>
          </w14:textFill>
        </w:rPr>
        <w:t>十一、法律适用与争议解决</w:t>
      </w:r>
      <w:bookmarkEnd w:id="64"/>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11.1本合同适用法律为中华人民共和国法律、法规。</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11.2如履行本合同过程中发生争议的，由双方当事人友好协商解决。协商不成的，双方同意向所属地广州市天河区人民法院提起诉讼。</w:t>
      </w:r>
    </w:p>
    <w:p>
      <w:pPr>
        <w:spacing w:line="360" w:lineRule="auto"/>
        <w:ind w:firstLine="480" w:firstLineChars="20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11.3诉讼进行过程中，除双方有争议的部分外，本合同其他部分仍然有效，各方应继续履行。</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65" w:name="_Toc22556"/>
      <w:r>
        <w:rPr>
          <w:rFonts w:hint="eastAsia" w:ascii="宋体" w:hAnsi="宋体" w:cs="宋体"/>
          <w:b/>
          <w:bCs/>
          <w:snapToGrid w:val="0"/>
          <w:color w:val="000000" w:themeColor="text1"/>
          <w:sz w:val="24"/>
          <w:szCs w:val="24"/>
          <w:highlight w:val="none"/>
          <w14:textFill>
            <w14:solidFill>
              <w14:schemeClr w14:val="tx1"/>
            </w14:solidFill>
          </w14:textFill>
        </w:rPr>
        <w:t>十二、通知与送达</w:t>
      </w:r>
      <w:bookmarkEnd w:id="65"/>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以签收视为送达。</w:t>
      </w: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66" w:name="_Toc3688"/>
      <w:r>
        <w:rPr>
          <w:rFonts w:hint="eastAsia" w:ascii="宋体" w:hAnsi="宋体" w:cs="宋体"/>
          <w:b/>
          <w:bCs/>
          <w:snapToGrid w:val="0"/>
          <w:color w:val="000000" w:themeColor="text1"/>
          <w:sz w:val="24"/>
          <w:szCs w:val="24"/>
          <w:highlight w:val="none"/>
          <w14:textFill>
            <w14:solidFill>
              <w14:schemeClr w14:val="tx1"/>
            </w14:solidFill>
          </w14:textFill>
        </w:rPr>
        <w:t>十三、其它</w:t>
      </w:r>
      <w:bookmarkEnd w:id="66"/>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13.1本合同未尽事宜，应由双方友好协商解决。如需对本合同及其附件作任何修改或补充，须由双方以书面做出方为有效。修改或补充文件与本合同有不一致的，以修改或补充文件为准。 </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13.2附件为本合同不可分割的部分。若附件与合同正文有任何不一致，以合同正文为准。</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13.3本合同经双方法定代表人（委托代理人）</w:t>
      </w:r>
      <w:r>
        <w:rPr>
          <w:rFonts w:hint="eastAsia" w:ascii="宋体" w:hAnsi="宋体" w:cs="宋体"/>
          <w:bCs/>
          <w:color w:val="000000" w:themeColor="text1"/>
          <w:sz w:val="24"/>
          <w:szCs w:val="24"/>
          <w:highlight w:val="none"/>
          <w14:textFill>
            <w14:solidFill>
              <w14:schemeClr w14:val="tx1"/>
            </w14:solidFill>
          </w14:textFill>
        </w:rPr>
        <w:t>签字并加盖单位合同印章生效</w:t>
      </w:r>
      <w:r>
        <w:rPr>
          <w:rFonts w:hint="eastAsia" w:ascii="宋体" w:hAnsi="宋体" w:cs="宋体"/>
          <w:color w:val="000000" w:themeColor="text1"/>
          <w:sz w:val="24"/>
          <w:szCs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13.4 本合同一式  份(甲方执  份、乙方执  份)，均为正本，具有同等法律效力。</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附件1：仪器设备维修保养细则</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附件2：医疗卫生机构医药产品廉洁购销合同</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附件3：公开信</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（以下无正文）</w:t>
      </w:r>
    </w:p>
    <w:tbl>
      <w:tblPr>
        <w:tblStyle w:val="39"/>
        <w:tblW w:w="8027" w:type="dxa"/>
        <w:jc w:val="center"/>
        <w:tblLayout w:type="fixed"/>
        <w:tblCellMar>
          <w:top w:w="0" w:type="dxa"/>
          <w:left w:w="108" w:type="dxa"/>
          <w:bottom w:w="0" w:type="dxa"/>
          <w:right w:w="108" w:type="dxa"/>
        </w:tblCellMar>
      </w:tblPr>
      <w:tblGrid>
        <w:gridCol w:w="8027"/>
      </w:tblGrid>
      <w:tr>
        <w:tblPrEx>
          <w:tblCellMar>
            <w:top w:w="0" w:type="dxa"/>
            <w:left w:w="108" w:type="dxa"/>
            <w:bottom w:w="0" w:type="dxa"/>
            <w:right w:w="108" w:type="dxa"/>
          </w:tblCellMar>
        </w:tblPrEx>
        <w:trPr>
          <w:trHeight w:val="2339" w:hRule="atLeast"/>
          <w:jc w:val="center"/>
        </w:trPr>
        <w:tc>
          <w:tcPr>
            <w:tcW w:w="8027" w:type="dxa"/>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甲方（盖章）：中山大学附属第三医院</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委托代理人：</w:t>
            </w:r>
          </w:p>
          <w:p>
            <w:pPr>
              <w:spacing w:line="360" w:lineRule="auto"/>
              <w:ind w:firstLine="1440" w:firstLineChars="6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年   月   日</w:t>
            </w:r>
          </w:p>
        </w:tc>
      </w:tr>
      <w:tr>
        <w:tblPrEx>
          <w:tblCellMar>
            <w:top w:w="0" w:type="dxa"/>
            <w:left w:w="108" w:type="dxa"/>
            <w:bottom w:w="0" w:type="dxa"/>
            <w:right w:w="108" w:type="dxa"/>
          </w:tblCellMar>
        </w:tblPrEx>
        <w:trPr>
          <w:trHeight w:val="2604" w:hRule="atLeast"/>
          <w:jc w:val="center"/>
        </w:trPr>
        <w:tc>
          <w:tcPr>
            <w:tcW w:w="8027" w:type="dxa"/>
          </w:tcPr>
          <w:p>
            <w:pPr>
              <w:spacing w:line="360" w:lineRule="auto"/>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乙方（盖章）：</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法定代表人：</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委托代理人：</w:t>
            </w:r>
          </w:p>
          <w:p>
            <w:pPr>
              <w:spacing w:line="360" w:lineRule="auto"/>
              <w:ind w:firstLine="1440" w:firstLineChars="6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年   月   日</w:t>
            </w:r>
          </w:p>
          <w:p>
            <w:pPr>
              <w:spacing w:line="360" w:lineRule="auto"/>
              <w:rPr>
                <w:rFonts w:ascii="宋体" w:hAnsi="宋体" w:cs="宋体"/>
                <w:color w:val="000000" w:themeColor="text1"/>
                <w:sz w:val="24"/>
                <w:szCs w:val="24"/>
                <w:highlight w:val="none"/>
                <w14:textFill>
                  <w14:solidFill>
                    <w14:schemeClr w14:val="tx1"/>
                  </w14:solidFill>
                </w14:textFill>
              </w:rPr>
            </w:pPr>
          </w:p>
        </w:tc>
      </w:tr>
    </w:tbl>
    <w:p>
      <w:pPr>
        <w:spacing w:line="360" w:lineRule="auto"/>
        <w:ind w:firstLine="420" w:firstLineChars="200"/>
        <w:rPr>
          <w:rFonts w:ascii="宋体" w:hAnsi="宋体" w:cs="宋体"/>
          <w:color w:val="000000" w:themeColor="text1"/>
          <w:highlight w:val="none"/>
          <w14:textFill>
            <w14:solidFill>
              <w14:schemeClr w14:val="tx1"/>
            </w14:solidFill>
          </w14:textFill>
        </w:rPr>
        <w:sectPr>
          <w:pgSz w:w="11906" w:h="16838"/>
          <w:pgMar w:top="1304" w:right="1106" w:bottom="1304" w:left="1418" w:header="851" w:footer="992" w:gutter="0"/>
          <w:pgNumType w:fmt="decimal"/>
          <w:cols w:space="720" w:num="1"/>
          <w:docGrid w:type="linesAndChars" w:linePitch="312" w:charSpace="0"/>
        </w:sectPr>
      </w:pPr>
    </w:p>
    <w:p>
      <w:pPr>
        <w:keepNext/>
        <w:keepLines/>
        <w:tabs>
          <w:tab w:val="left" w:pos="720"/>
        </w:tabs>
        <w:spacing w:line="360" w:lineRule="auto"/>
        <w:ind w:firstLine="480" w:firstLineChars="200"/>
        <w:outlineLvl w:val="2"/>
        <w:rPr>
          <w:rFonts w:ascii="宋体" w:hAnsi="宋体" w:cs="宋体"/>
          <w:b/>
          <w:bCs/>
          <w:snapToGrid w:val="0"/>
          <w:color w:val="000000" w:themeColor="text1"/>
          <w:sz w:val="24"/>
          <w:szCs w:val="24"/>
          <w:highlight w:val="none"/>
          <w14:textFill>
            <w14:solidFill>
              <w14:schemeClr w14:val="tx1"/>
            </w14:solidFill>
          </w14:textFill>
        </w:rPr>
      </w:pPr>
      <w:bookmarkStart w:id="67" w:name="_Toc22042"/>
      <w:r>
        <w:rPr>
          <w:rFonts w:hint="eastAsia" w:ascii="宋体" w:hAnsi="宋体" w:cs="宋体"/>
          <w:b/>
          <w:bCs/>
          <w:snapToGrid w:val="0"/>
          <w:color w:val="000000" w:themeColor="text1"/>
          <w:sz w:val="24"/>
          <w:szCs w:val="24"/>
          <w:highlight w:val="none"/>
          <w14:textFill>
            <w14:solidFill>
              <w14:schemeClr w14:val="tx1"/>
            </w14:solidFill>
          </w14:textFill>
        </w:rPr>
        <w:t>附件1、仪器设备维修保养细则</w:t>
      </w:r>
      <w:bookmarkEnd w:id="67"/>
    </w:p>
    <w:tbl>
      <w:tblPr>
        <w:tblStyle w:val="39"/>
        <w:tblW w:w="9776" w:type="dxa"/>
        <w:jc w:val="center"/>
        <w:tblLayout w:type="fixed"/>
        <w:tblCellMar>
          <w:top w:w="0" w:type="dxa"/>
          <w:left w:w="108" w:type="dxa"/>
          <w:bottom w:w="0" w:type="dxa"/>
          <w:right w:w="108" w:type="dxa"/>
        </w:tblCellMar>
      </w:tblPr>
      <w:tblGrid>
        <w:gridCol w:w="704"/>
        <w:gridCol w:w="1500"/>
        <w:gridCol w:w="1235"/>
        <w:gridCol w:w="1125"/>
        <w:gridCol w:w="1527"/>
        <w:gridCol w:w="1163"/>
        <w:gridCol w:w="1105"/>
        <w:gridCol w:w="1417"/>
      </w:tblGrid>
      <w:tr>
        <w:tblPrEx>
          <w:tblCellMar>
            <w:top w:w="0" w:type="dxa"/>
            <w:left w:w="108" w:type="dxa"/>
            <w:bottom w:w="0" w:type="dxa"/>
            <w:right w:w="108" w:type="dxa"/>
          </w:tblCellMar>
        </w:tblPrEx>
        <w:trPr>
          <w:trHeight w:val="48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序号</w:t>
            </w:r>
          </w:p>
        </w:tc>
        <w:tc>
          <w:tcPr>
            <w:tcW w:w="1500"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设备名称</w:t>
            </w:r>
          </w:p>
        </w:tc>
        <w:tc>
          <w:tcPr>
            <w:tcW w:w="123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品牌/型号</w:t>
            </w:r>
          </w:p>
        </w:tc>
        <w:tc>
          <w:tcPr>
            <w:tcW w:w="112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机身号</w:t>
            </w:r>
          </w:p>
        </w:tc>
        <w:tc>
          <w:tcPr>
            <w:tcW w:w="1527"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使用地址</w:t>
            </w:r>
          </w:p>
        </w:tc>
        <w:tc>
          <w:tcPr>
            <w:tcW w:w="116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保养频率</w:t>
            </w:r>
          </w:p>
        </w:tc>
        <w:tc>
          <w:tcPr>
            <w:tcW w:w="110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保养范围和内容</w:t>
            </w:r>
          </w:p>
        </w:tc>
        <w:tc>
          <w:tcPr>
            <w:tcW w:w="1417"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维修范围和内容</w:t>
            </w:r>
          </w:p>
        </w:tc>
      </w:tr>
      <w:tr>
        <w:tblPrEx>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p>
        </w:tc>
        <w:tc>
          <w:tcPr>
            <w:tcW w:w="1500"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23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2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527"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63"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0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p>
        </w:tc>
        <w:tc>
          <w:tcPr>
            <w:tcW w:w="1500"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23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2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527"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63"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0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704" w:type="dxa"/>
            <w:tcBorders>
              <w:top w:val="nil"/>
              <w:left w:val="single" w:color="auto" w:sz="4" w:space="0"/>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p>
        </w:tc>
        <w:tc>
          <w:tcPr>
            <w:tcW w:w="1500"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23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2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527"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63"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105"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c>
          <w:tcPr>
            <w:tcW w:w="1417" w:type="dxa"/>
            <w:tcBorders>
              <w:top w:val="nil"/>
              <w:left w:val="nil"/>
              <w:bottom w:val="single" w:color="auto" w:sz="4" w:space="0"/>
              <w:right w:val="single" w:color="auto" w:sz="4" w:space="0"/>
            </w:tcBorders>
            <w:vAlign w:val="center"/>
          </w:tcPr>
          <w:p>
            <w:pPr>
              <w:spacing w:line="360" w:lineRule="auto"/>
              <w:rPr>
                <w:rFonts w:ascii="宋体" w:hAnsi="宋体" w:cs="宋体"/>
                <w:color w:val="000000" w:themeColor="text1"/>
                <w:sz w:val="24"/>
                <w:szCs w:val="24"/>
                <w:highlight w:val="none"/>
                <w14:textFill>
                  <w14:solidFill>
                    <w14:schemeClr w14:val="tx1"/>
                  </w14:solidFill>
                </w14:textFill>
              </w:rPr>
            </w:pPr>
          </w:p>
        </w:tc>
      </w:tr>
    </w:tbl>
    <w:p>
      <w:pPr>
        <w:rPr>
          <w:rFonts w:ascii="宋体" w:hAnsi="宋体" w:cs="宋体"/>
          <w:color w:val="000000" w:themeColor="text1"/>
          <w:sz w:val="24"/>
          <w:szCs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（保养频率：1.每月1次；2.每季度1次；3.每半年1次；4.每年1次；5.其他：________）</w:t>
      </w:r>
    </w:p>
    <w:p>
      <w:pPr>
        <w:spacing w:line="360" w:lineRule="auto"/>
        <w:ind w:left="525" w:hanging="525" w:hangingChars="250"/>
        <w:rPr>
          <w:color w:val="000000" w:themeColor="text1"/>
          <w:highlight w:val="none"/>
          <w14:textFill>
            <w14:solidFill>
              <w14:schemeClr w14:val="tx1"/>
            </w14:solidFill>
          </w14:textFill>
        </w:rPr>
      </w:pPr>
    </w:p>
    <w:p>
      <w:pPr>
        <w:spacing w:line="360" w:lineRule="auto"/>
        <w:ind w:left="525" w:hanging="525" w:hangingChars="250"/>
        <w:rPr>
          <w:color w:val="000000" w:themeColor="text1"/>
          <w:highlight w:val="none"/>
          <w14:textFill>
            <w14:solidFill>
              <w14:schemeClr w14:val="tx1"/>
            </w14:solidFill>
          </w14:textFill>
        </w:rPr>
      </w:pPr>
    </w:p>
    <w:p>
      <w:pPr>
        <w:spacing w:line="360" w:lineRule="auto"/>
        <w:ind w:left="525" w:hanging="525" w:hangingChars="250"/>
        <w:rPr>
          <w:color w:val="000000" w:themeColor="text1"/>
          <w:highlight w:val="none"/>
          <w14:textFill>
            <w14:solidFill>
              <w14:schemeClr w14:val="tx1"/>
            </w14:solidFill>
          </w14:textFill>
        </w:rPr>
      </w:pPr>
    </w:p>
    <w:p>
      <w:pPr>
        <w:spacing w:line="360" w:lineRule="auto"/>
        <w:ind w:left="525" w:hanging="525" w:hangingChars="250"/>
        <w:rPr>
          <w:color w:val="000000" w:themeColor="text1"/>
          <w:highlight w:val="none"/>
          <w14:textFill>
            <w14:solidFill>
              <w14:schemeClr w14:val="tx1"/>
            </w14:solidFill>
          </w14:textFill>
        </w:rPr>
      </w:pPr>
    </w:p>
    <w:p>
      <w:pPr>
        <w:spacing w:line="360" w:lineRule="auto"/>
        <w:ind w:left="525" w:hanging="525" w:hangingChars="250"/>
        <w:rPr>
          <w:color w:val="000000" w:themeColor="text1"/>
          <w:highlight w:val="none"/>
          <w14:textFill>
            <w14:solidFill>
              <w14:schemeClr w14:val="tx1"/>
            </w14:solidFill>
          </w14:textFill>
        </w:rPr>
      </w:pPr>
    </w:p>
    <w:p>
      <w:pPr>
        <w:spacing w:line="360" w:lineRule="auto"/>
        <w:ind w:left="525" w:hanging="525" w:hangingChars="250"/>
        <w:rPr>
          <w:color w:val="000000" w:themeColor="text1"/>
          <w:highlight w:val="none"/>
          <w14:textFill>
            <w14:solidFill>
              <w14:schemeClr w14:val="tx1"/>
            </w14:solidFill>
          </w14:textFill>
        </w:rPr>
      </w:pPr>
    </w:p>
    <w:p>
      <w:pPr>
        <w:spacing w:line="360" w:lineRule="auto"/>
        <w:ind w:left="525" w:hanging="525" w:hangingChars="25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keepNext/>
        <w:keepLines/>
        <w:tabs>
          <w:tab w:val="left" w:pos="720"/>
        </w:tabs>
        <w:spacing w:before="156" w:beforeLines="50" w:after="156" w:afterLines="50" w:line="360" w:lineRule="auto"/>
        <w:rPr>
          <w:b/>
          <w:bCs/>
          <w:snapToGrid w:val="0"/>
          <w:color w:val="000000" w:themeColor="text1"/>
          <w:sz w:val="24"/>
          <w:szCs w:val="24"/>
          <w:highlight w:val="none"/>
          <w14:textFill>
            <w14:solidFill>
              <w14:schemeClr w14:val="tx1"/>
            </w14:solidFill>
          </w14:textFill>
        </w:rPr>
      </w:pPr>
      <w:bookmarkStart w:id="68" w:name="_Toc1723"/>
      <w:r>
        <w:rPr>
          <w:b/>
          <w:bCs/>
          <w:snapToGrid w:val="0"/>
          <w:color w:val="000000" w:themeColor="text1"/>
          <w:sz w:val="24"/>
          <w:szCs w:val="24"/>
          <w:highlight w:val="none"/>
          <w14:textFill>
            <w14:solidFill>
              <w14:schemeClr w14:val="tx1"/>
            </w14:solidFill>
          </w14:textFill>
        </w:rPr>
        <w:t>附件</w:t>
      </w:r>
      <w:r>
        <w:rPr>
          <w:rFonts w:hint="eastAsia"/>
          <w:b/>
          <w:bCs/>
          <w:snapToGrid w:val="0"/>
          <w:color w:val="000000" w:themeColor="text1"/>
          <w:sz w:val="24"/>
          <w:szCs w:val="24"/>
          <w:highlight w:val="none"/>
          <w14:textFill>
            <w14:solidFill>
              <w14:schemeClr w14:val="tx1"/>
            </w14:solidFill>
          </w14:textFill>
        </w:rPr>
        <w:t>2</w:t>
      </w:r>
      <w:r>
        <w:rPr>
          <w:b/>
          <w:bCs/>
          <w:snapToGrid w:val="0"/>
          <w:color w:val="000000" w:themeColor="text1"/>
          <w:sz w:val="24"/>
          <w:szCs w:val="24"/>
          <w:highlight w:val="none"/>
          <w14:textFill>
            <w14:solidFill>
              <w14:schemeClr w14:val="tx1"/>
            </w14:solidFill>
          </w14:textFill>
        </w:rPr>
        <w:t>、医疗卫生机构医药产品廉洁购销合同</w:t>
      </w:r>
      <w:bookmarkEnd w:id="68"/>
    </w:p>
    <w:p>
      <w:pPr>
        <w:spacing w:before="156" w:beforeLines="50" w:after="156" w:afterLines="50" w:line="360" w:lineRule="auto"/>
        <w:jc w:val="center"/>
        <w:rPr>
          <w:b/>
          <w:bCs/>
          <w:color w:val="000000" w:themeColor="text1"/>
          <w:sz w:val="36"/>
          <w:szCs w:val="36"/>
          <w:highlight w:val="none"/>
          <w14:textFill>
            <w14:solidFill>
              <w14:schemeClr w14:val="tx1"/>
            </w14:solidFill>
          </w14:textFill>
        </w:rPr>
      </w:pPr>
      <w:r>
        <w:rPr>
          <w:b/>
          <w:bCs/>
          <w:color w:val="000000" w:themeColor="text1"/>
          <w:sz w:val="36"/>
          <w:szCs w:val="36"/>
          <w:highlight w:val="none"/>
          <w14:textFill>
            <w14:solidFill>
              <w14:schemeClr w14:val="tx1"/>
            </w14:solidFill>
          </w14:textFill>
        </w:rPr>
        <w:t>医疗卫生机构医药产品廉洁购销合同</w:t>
      </w:r>
    </w:p>
    <w:p>
      <w:pPr>
        <w:autoSpaceDE w:val="0"/>
        <w:autoSpaceDN w:val="0"/>
        <w:adjustRightInd w:val="0"/>
        <w:spacing w:before="156" w:beforeLines="50" w:after="156" w:afterLines="50" w:line="360" w:lineRule="auto"/>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 xml:space="preserve">甲方（医疗卫生机构）：                     </w:t>
      </w:r>
    </w:p>
    <w:p>
      <w:pPr>
        <w:autoSpaceDE w:val="0"/>
        <w:autoSpaceDN w:val="0"/>
        <w:adjustRightInd w:val="0"/>
        <w:spacing w:before="156" w:beforeLines="50" w:after="156" w:afterLines="50" w:line="360" w:lineRule="auto"/>
        <w:rPr>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乙方（医药生产经营企业及其代理人）：</w:t>
      </w:r>
      <w:r>
        <w:rPr>
          <w:color w:val="000000" w:themeColor="text1"/>
          <w:sz w:val="24"/>
          <w:szCs w:val="24"/>
          <w:highlight w:val="none"/>
          <w14:textFill>
            <w14:solidFill>
              <w14:schemeClr w14:val="tx1"/>
            </w14:solidFill>
          </w14:textFill>
        </w:rPr>
        <w:t xml:space="preserve">                  </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为进一步加强医疗卫生行风建设，规范医疗卫生机构医药购销行为，有效防范商业贿赂行为，营造公平交易、诚实守信的购销环境，经甲、乙双方协商，同意签订本合同，并共同遵守：</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一、甲乙双方按照《中华人民共和国民法典》及医药产品购销合同约定购销药品、医用设备、医用耗材等医药产品。</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二、甲方应当严格执行医药产品购销合同验收、入库制度，对采购医药产品及发票进行查验，不得违反有关规定合同外采购、违价采购或从非规定渠道采购。</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四、严禁甲方工作人员利用任何途径和方式，为乙方统计医师个人及临床科室有关医药产品用量信息，或为乙方统计提供便利。</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五、乙方不得以回扣、宴请等方式影响甲方工作人员采购或使用医药产品的选择权，不得在学术活动中提供旅游、超标准支付食宿费用。</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六、乙方指定销售代表洽谈业务。销售代表必须在工作时间到甲方指定地点联系商谈，不得到住院部、门诊部、医技科室等推销医药产品，不得借故到甲方相关领导、部门负责人及相关工作人员家中访谈并提供任何好处费。</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七、乙方如违反本合同，一经发现，甲方有权终止购销合同，并向有关卫生健康行政部门报告。如乙方被列入商业贿赂不良记录，则严格按照《国家卫生健康委关于建立医药购销领域商业贿赂不良记录的规定》（国卫法制发〔2013〕50 号）相关规定处理。</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八、本合同作为医药产品购销合同的重要组成部分，与购销合同一并执行，具有同等的法律效力。</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九、本合同□一式五份(甲方执3份、乙方执2份)，□一式四份(甲方执3份、乙方执1份)，均为正本，甲方纪检监察部门（基层医疗卫生机构上报上级卫生健康行政部门）执一份，并从签订之日起生效。</w:t>
      </w:r>
    </w:p>
    <w:p>
      <w:pPr>
        <w:autoSpaceDE w:val="0"/>
        <w:autoSpaceDN w:val="0"/>
        <w:adjustRightInd w:val="0"/>
        <w:spacing w:line="360" w:lineRule="auto"/>
        <w:ind w:firstLine="480" w:firstLineChars="200"/>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（以下无正文）</w:t>
      </w:r>
    </w:p>
    <w:p>
      <w:pPr>
        <w:autoSpaceDE w:val="0"/>
        <w:autoSpaceDN w:val="0"/>
        <w:adjustRightInd w:val="0"/>
        <w:spacing w:line="360" w:lineRule="auto"/>
        <w:ind w:firstLine="480" w:firstLineChars="200"/>
        <w:rPr>
          <w:color w:val="000000" w:themeColor="text1"/>
          <w:sz w:val="24"/>
          <w:szCs w:val="24"/>
          <w:highlight w:val="none"/>
          <w14:textFill>
            <w14:solidFill>
              <w14:schemeClr w14:val="tx1"/>
            </w14:solidFill>
          </w14:textFill>
        </w:rPr>
      </w:pPr>
    </w:p>
    <w:p>
      <w:pPr>
        <w:autoSpaceDE w:val="0"/>
        <w:autoSpaceDN w:val="0"/>
        <w:adjustRightInd w:val="0"/>
        <w:spacing w:line="360" w:lineRule="auto"/>
        <w:ind w:firstLine="708" w:firstLineChars="295"/>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甲方（盖章）： </w:t>
      </w:r>
    </w:p>
    <w:p>
      <w:pPr>
        <w:autoSpaceDE w:val="0"/>
        <w:autoSpaceDN w:val="0"/>
        <w:adjustRightInd w:val="0"/>
        <w:spacing w:line="360" w:lineRule="auto"/>
        <w:ind w:firstLine="708" w:firstLineChars="295"/>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法定代表人（负责人）： </w:t>
      </w:r>
    </w:p>
    <w:p>
      <w:pPr>
        <w:autoSpaceDE w:val="0"/>
        <w:autoSpaceDN w:val="0"/>
        <w:adjustRightInd w:val="0"/>
        <w:spacing w:line="360" w:lineRule="auto"/>
        <w:ind w:firstLine="708" w:firstLineChars="295"/>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经办人签名： </w:t>
      </w:r>
    </w:p>
    <w:p>
      <w:pPr>
        <w:spacing w:line="360" w:lineRule="auto"/>
        <w:ind w:firstLine="708" w:firstLineChars="295"/>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签订时间：  年  月  日 </w:t>
      </w:r>
    </w:p>
    <w:p>
      <w:pPr>
        <w:spacing w:line="360" w:lineRule="auto"/>
        <w:ind w:firstLine="708" w:firstLineChars="295"/>
        <w:rPr>
          <w:color w:val="000000" w:themeColor="text1"/>
          <w:sz w:val="24"/>
          <w:szCs w:val="24"/>
          <w:highlight w:val="none"/>
          <w14:textFill>
            <w14:solidFill>
              <w14:schemeClr w14:val="tx1"/>
            </w14:solidFill>
          </w14:textFill>
        </w:rPr>
      </w:pPr>
    </w:p>
    <w:p>
      <w:pPr>
        <w:spacing w:line="360" w:lineRule="auto"/>
        <w:ind w:firstLine="708" w:firstLineChars="295"/>
        <w:rPr>
          <w:color w:val="000000" w:themeColor="text1"/>
          <w:sz w:val="24"/>
          <w:szCs w:val="24"/>
          <w:highlight w:val="none"/>
          <w14:textFill>
            <w14:solidFill>
              <w14:schemeClr w14:val="tx1"/>
            </w14:solidFill>
          </w14:textFill>
        </w:rPr>
      </w:pPr>
    </w:p>
    <w:p>
      <w:pPr>
        <w:spacing w:line="360" w:lineRule="auto"/>
        <w:ind w:firstLine="708" w:firstLineChars="295"/>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乙方（盖章）：</w:t>
      </w:r>
    </w:p>
    <w:p>
      <w:pPr>
        <w:spacing w:line="360" w:lineRule="auto"/>
        <w:ind w:firstLine="708" w:firstLineChars="295"/>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法定代表人（负责人）：</w:t>
      </w:r>
    </w:p>
    <w:p>
      <w:pPr>
        <w:spacing w:line="360" w:lineRule="auto"/>
        <w:ind w:firstLine="708" w:firstLineChars="295"/>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经办人签名：</w:t>
      </w:r>
    </w:p>
    <w:p>
      <w:pPr>
        <w:spacing w:line="360" w:lineRule="auto"/>
        <w:ind w:firstLine="708" w:firstLineChars="295"/>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签订时间：  年  月  日</w:t>
      </w:r>
    </w:p>
    <w:p>
      <w:pPr>
        <w:spacing w:line="360" w:lineRule="auto"/>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br w:type="page"/>
      </w:r>
    </w:p>
    <w:p>
      <w:pPr>
        <w:keepNext/>
        <w:keepLines/>
        <w:tabs>
          <w:tab w:val="left" w:pos="720"/>
        </w:tabs>
        <w:spacing w:line="360" w:lineRule="auto"/>
        <w:ind w:firstLine="480" w:firstLineChars="200"/>
        <w:rPr>
          <w:b/>
          <w:bCs/>
          <w:snapToGrid w:val="0"/>
          <w:color w:val="000000" w:themeColor="text1"/>
          <w:sz w:val="24"/>
          <w:szCs w:val="24"/>
          <w:highlight w:val="none"/>
          <w14:textFill>
            <w14:solidFill>
              <w14:schemeClr w14:val="tx1"/>
            </w14:solidFill>
          </w14:textFill>
        </w:rPr>
      </w:pPr>
      <w:bookmarkStart w:id="69" w:name="_Toc15237"/>
      <w:r>
        <w:rPr>
          <w:b/>
          <w:bCs/>
          <w:snapToGrid w:val="0"/>
          <w:color w:val="000000" w:themeColor="text1"/>
          <w:sz w:val="24"/>
          <w:szCs w:val="24"/>
          <w:highlight w:val="none"/>
          <w14:textFill>
            <w14:solidFill>
              <w14:schemeClr w14:val="tx1"/>
            </w14:solidFill>
          </w14:textFill>
        </w:rPr>
        <w:t>附件</w:t>
      </w:r>
      <w:r>
        <w:rPr>
          <w:rFonts w:hint="eastAsia"/>
          <w:b/>
          <w:bCs/>
          <w:snapToGrid w:val="0"/>
          <w:color w:val="000000" w:themeColor="text1"/>
          <w:sz w:val="24"/>
          <w:szCs w:val="24"/>
          <w:highlight w:val="none"/>
          <w14:textFill>
            <w14:solidFill>
              <w14:schemeClr w14:val="tx1"/>
            </w14:solidFill>
          </w14:textFill>
        </w:rPr>
        <w:t>3</w:t>
      </w:r>
      <w:r>
        <w:rPr>
          <w:b/>
          <w:bCs/>
          <w:snapToGrid w:val="0"/>
          <w:color w:val="000000" w:themeColor="text1"/>
          <w:sz w:val="24"/>
          <w:szCs w:val="24"/>
          <w:highlight w:val="none"/>
          <w14:textFill>
            <w14:solidFill>
              <w14:schemeClr w14:val="tx1"/>
            </w14:solidFill>
          </w14:textFill>
        </w:rPr>
        <w:t>、公开信</w:t>
      </w:r>
      <w:bookmarkEnd w:id="69"/>
    </w:p>
    <w:p>
      <w:pPr>
        <w:spacing w:line="360" w:lineRule="auto"/>
        <w:jc w:val="center"/>
        <w:rPr>
          <w:b/>
          <w:bCs/>
          <w:color w:val="000000" w:themeColor="text1"/>
          <w:sz w:val="36"/>
          <w:szCs w:val="36"/>
          <w:highlight w:val="none"/>
          <w14:textFill>
            <w14:solidFill>
              <w14:schemeClr w14:val="tx1"/>
            </w14:solidFill>
          </w14:textFill>
        </w:rPr>
      </w:pPr>
      <w:r>
        <w:rPr>
          <w:b/>
          <w:bCs/>
          <w:color w:val="000000" w:themeColor="text1"/>
          <w:sz w:val="36"/>
          <w:szCs w:val="36"/>
          <w:highlight w:val="none"/>
          <w14:textFill>
            <w14:solidFill>
              <w14:schemeClr w14:val="tx1"/>
            </w14:solidFill>
          </w14:textFill>
        </w:rPr>
        <w:t>公 开 信</w:t>
      </w:r>
    </w:p>
    <w:p>
      <w:pPr>
        <w:spacing w:line="36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各供应厂商：</w:t>
      </w:r>
    </w:p>
    <w:p>
      <w:pPr>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为认真贯彻中央关于加强反腐倡廉建设的要求，深入推进医院行风建设，营造风清气正的医疗环境和氛围，创建廉洁诚信医院，我们郑重向各供应厂商发出此公开信。</w:t>
      </w:r>
    </w:p>
    <w:p>
      <w:pPr>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一、请各供应厂商认真遵守与我院签署的廉洁协议，坚持以公开、公正、诚信、透明的原则进行购销行为，不得损害国家、集体和群众的利益，不得违反药品、器械、设备、试剂、耗材等物资的采购或遴选制度。</w:t>
      </w:r>
    </w:p>
    <w:p>
      <w:pPr>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二、各供应厂商不得违规赞助、邀请医院工作人员出席包括讲课、开会、学术交流、参观等形式在内的各项活动。</w:t>
      </w:r>
    </w:p>
    <w:p>
      <w:pPr>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三、各供应厂商销售代表不得在门诊、病房活动，影响医疗工作。对在医院进行违规推销、销售活动的供应厂商，医院一经发现，给予第一次警告、第二次停止采购其产品的处理。</w:t>
      </w:r>
    </w:p>
    <w:p>
      <w:pPr>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四、医院建立不良记录制度，对商业贿赂行为采取零容忍态度，对经查实，确实存在商业贿赂等违规行为的公司，一经发现，立即终止合同关系，并纳入商业贿赂不良记录，两年内不得参与医院任何采购项目。</w:t>
      </w:r>
    </w:p>
    <w:p>
      <w:pPr>
        <w:spacing w:line="360" w:lineRule="auto"/>
        <w:ind w:firstLine="480" w:firstLineChars="2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五、各供应厂商销售人员如有正常业务往来需要，请各供应厂商先向医院相应职能部门申请，通过审批备案后，才能与医院相关科室或工作人员联系。医院将严格遵守国家卫生健康委颁布的《医疗机构工作人员连接从业九项准则》，并要求广大职工以《医疗机构从业人员行为规范》为准则，认真履行职责，自觉规范行为。也请广大医药卫生界同仁对我们的工作予以支持、配合和监督。让我们一起努力，共创廉洁三院！                                 </w:t>
      </w:r>
    </w:p>
    <w:p>
      <w:pPr>
        <w:spacing w:line="360" w:lineRule="auto"/>
        <w:rPr>
          <w:color w:val="000000" w:themeColor="text1"/>
          <w:sz w:val="24"/>
          <w:szCs w:val="24"/>
          <w:highlight w:val="none"/>
          <w14:textFill>
            <w14:solidFill>
              <w14:schemeClr w14:val="tx1"/>
            </w14:solidFill>
          </w14:textFill>
        </w:rPr>
      </w:pPr>
    </w:p>
    <w:p>
      <w:pPr>
        <w:spacing w:line="360" w:lineRule="auto"/>
        <w:jc w:val="righ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中山大学附属第三医院</w:t>
      </w:r>
    </w:p>
    <w:p>
      <w:pPr>
        <w:autoSpaceDE w:val="0"/>
        <w:autoSpaceDN w:val="0"/>
        <w:adjustRightInd w:val="0"/>
        <w:spacing w:line="240" w:lineRule="auto"/>
        <w:jc w:val="righ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年  月  日</w:t>
      </w:r>
    </w:p>
    <w:p>
      <w:pPr>
        <w:autoSpaceDE w:val="0"/>
        <w:autoSpaceDN w:val="0"/>
        <w:adjustRightInd w:val="0"/>
        <w:spacing w:line="240" w:lineRule="auto"/>
        <w:rPr>
          <w:color w:val="000000" w:themeColor="text1"/>
          <w:highlight w:val="none"/>
          <w14:textFill>
            <w14:solidFill>
              <w14:schemeClr w14:val="tx1"/>
            </w14:solidFill>
          </w14:textFill>
        </w:rPr>
      </w:pPr>
    </w:p>
    <w:p>
      <w:pPr>
        <w:spacing w:line="240" w:lineRule="auto"/>
        <w:jc w:val="center"/>
        <w:rPr>
          <w:color w:val="000000" w:themeColor="text1"/>
          <w:sz w:val="84"/>
          <w:szCs w:val="84"/>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pStyle w:val="3"/>
        <w:jc w:val="center"/>
        <w:rPr>
          <w:b w:val="0"/>
          <w:bCs w:val="0"/>
          <w:color w:val="000000" w:themeColor="text1"/>
          <w:highlight w:val="none"/>
          <w14:textFill>
            <w14:solidFill>
              <w14:schemeClr w14:val="tx1"/>
            </w14:solidFill>
          </w14:textFill>
        </w:rPr>
      </w:pPr>
      <w:bookmarkStart w:id="70" w:name="_Toc102987729"/>
      <w:bookmarkStart w:id="71" w:name="_Toc102987764"/>
      <w:bookmarkStart w:id="72" w:name="_Toc102987391"/>
      <w:r>
        <w:rPr>
          <w:b w:val="0"/>
          <w:bCs w:val="0"/>
          <w:color w:val="000000" w:themeColor="text1"/>
          <w:highlight w:val="none"/>
          <w14:textFill>
            <w14:solidFill>
              <w14:schemeClr w14:val="tx1"/>
            </w14:solidFill>
          </w14:textFill>
        </w:rPr>
        <w:t>第五部分 投标文件格式</w:t>
      </w:r>
      <w:bookmarkEnd w:id="70"/>
      <w:bookmarkEnd w:id="71"/>
      <w:bookmarkEnd w:id="72"/>
    </w:p>
    <w:p>
      <w:pPr>
        <w:spacing w:line="240" w:lineRule="auto"/>
        <w:ind w:firstLine="315" w:firstLineChars="150"/>
        <w:rPr>
          <w:color w:val="000000" w:themeColor="text1"/>
          <w:highlight w:val="none"/>
          <w14:textFill>
            <w14:solidFill>
              <w14:schemeClr w14:val="tx1"/>
            </w14:solidFill>
          </w14:textFill>
        </w:rPr>
      </w:pPr>
    </w:p>
    <w:p>
      <w:pPr>
        <w:autoSpaceDE w:val="0"/>
        <w:autoSpaceDN w:val="0"/>
        <w:adjustRightInd w:val="0"/>
        <w:spacing w:line="240" w:lineRule="auto"/>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bookmarkStart w:id="73" w:name="_Toc6463"/>
      <w:r>
        <w:rPr>
          <w:color w:val="000000" w:themeColor="text1"/>
          <w:highlight w:val="none"/>
          <w14:textFill>
            <w14:solidFill>
              <w14:schemeClr w14:val="tx1"/>
            </w14:solidFill>
          </w14:textFill>
        </w:rPr>
        <w:br w:type="page"/>
      </w:r>
      <w:r>
        <w:rPr>
          <w:b/>
          <w:bCs/>
          <w:color w:val="000000" w:themeColor="text1"/>
          <w:sz w:val="28"/>
          <w:szCs w:val="28"/>
          <w:highlight w:val="none"/>
          <w14:textFill>
            <w14:solidFill>
              <w14:schemeClr w14:val="tx1"/>
            </w14:solidFill>
          </w14:textFill>
        </w:rPr>
        <w:t xml:space="preserve">第五部分  </w:t>
      </w:r>
      <w:bookmarkEnd w:id="73"/>
      <w:r>
        <w:rPr>
          <w:b/>
          <w:bCs/>
          <w:color w:val="000000" w:themeColor="text1"/>
          <w:sz w:val="28"/>
          <w:szCs w:val="28"/>
          <w:highlight w:val="none"/>
          <w14:textFill>
            <w14:solidFill>
              <w14:schemeClr w14:val="tx1"/>
            </w14:solidFill>
          </w14:textFill>
        </w:rPr>
        <w:t>投标文件格式</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1、投标人或联合体的主办人必须严格按照招标文件第五部分所提供的“投标文件格式”的顺序和要求填写相关内容，并按规定的投标文件的形式提交以下规定之表格及有关资料。</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2、除明确允许投标人可以自行编写的外，投标人不得以“投标文件格式”规定之外的方式填写相关内容，否则投标人提供的投标文件将可能被视为无效投标。</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3、对于没有格式要求部分的投标文件内容，由投标人自拟格式编写。</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4、投标人提交的文件将给予保密但不再退还。</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5、中标人投标文件纸质版的正、副本均须用装订线在A4 纸竖向的左侧进行装订，装订须牢固。每页应带页码双面打印，单册厚度不能超过4 厘米，如超过必须分上下册，若附图纸，必须按风琴式折法折成A4 纸大小。任何情况下，招标方对投标人采用活页等装订方式可能引致投标文件的拆散、缺失和换页等，都不承担责任。</w:t>
      </w:r>
    </w:p>
    <w:p>
      <w:pPr>
        <w:pStyle w:val="4"/>
        <w:numPr>
          <w:ilvl w:val="0"/>
          <w:numId w:val="0"/>
        </w:numPr>
        <w:jc w:val="both"/>
        <w:rPr>
          <w:color w:val="000000" w:themeColor="text1"/>
          <w:szCs w:val="32"/>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74" w:name="_Toc102987392"/>
      <w:bookmarkStart w:id="75" w:name="_Toc102987765"/>
      <w:bookmarkStart w:id="76" w:name="_Toc102987730"/>
      <w:r>
        <w:rPr>
          <w:color w:val="000000" w:themeColor="text1"/>
          <w:szCs w:val="32"/>
          <w:highlight w:val="none"/>
          <w14:textFill>
            <w14:solidFill>
              <w14:schemeClr w14:val="tx1"/>
            </w14:solidFill>
          </w14:textFill>
        </w:rPr>
        <w:t>一、投标文件封面格式</w:t>
      </w:r>
      <w:bookmarkEnd w:id="74"/>
      <w:bookmarkEnd w:id="75"/>
      <w:bookmarkEnd w:id="76"/>
    </w:p>
    <w:p>
      <w:pPr>
        <w:snapToGrid w:val="0"/>
        <w:spacing w:line="240" w:lineRule="auto"/>
        <w:rPr>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t>（本页格式仅供参考）</w:t>
      </w:r>
    </w:p>
    <w:p>
      <w:pPr>
        <w:autoSpaceDE w:val="0"/>
        <w:autoSpaceDN w:val="0"/>
        <w:adjustRightInd w:val="0"/>
        <w:spacing w:line="240" w:lineRule="auto"/>
        <w:jc w:val="center"/>
        <w:rPr>
          <w:color w:val="000000" w:themeColor="text1"/>
          <w:sz w:val="72"/>
          <w:szCs w:val="72"/>
          <w:highlight w:val="none"/>
          <w14:textFill>
            <w14:solidFill>
              <w14:schemeClr w14:val="tx1"/>
            </w14:solidFill>
          </w14:textFill>
        </w:rPr>
      </w:pPr>
      <w:r>
        <w:rPr>
          <w:color w:val="000000" w:themeColor="text1"/>
          <w:sz w:val="72"/>
          <w:szCs w:val="72"/>
          <w:highlight w:val="none"/>
          <w14:textFill>
            <w14:solidFill>
              <w14:schemeClr w14:val="tx1"/>
            </w14:solidFill>
          </w14:textFill>
        </w:rPr>
        <w:t>投 标 文 件</w:t>
      </w:r>
    </w:p>
    <w:p>
      <w:pPr>
        <w:autoSpaceDE w:val="0"/>
        <w:autoSpaceDN w:val="0"/>
        <w:adjustRightInd w:val="0"/>
        <w:spacing w:line="240" w:lineRule="atLeast"/>
        <w:jc w:val="center"/>
        <w:rPr>
          <w:color w:val="000000" w:themeColor="text1"/>
          <w:sz w:val="44"/>
          <w:szCs w:val="44"/>
          <w:highlight w:val="none"/>
          <w14:textFill>
            <w14:solidFill>
              <w14:schemeClr w14:val="tx1"/>
            </w14:solidFill>
          </w14:textFill>
        </w:rPr>
      </w:pPr>
      <w:r>
        <w:rPr>
          <w:color w:val="000000" w:themeColor="text1"/>
          <w:sz w:val="44"/>
          <w:szCs w:val="44"/>
          <w:highlight w:val="none"/>
          <w14:textFill>
            <w14:solidFill>
              <w14:schemeClr w14:val="tx1"/>
            </w14:solidFill>
          </w14:textFill>
        </w:rPr>
        <w:t>（封面）</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项目名称：                   采购项目</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项目编号：                   号</w:t>
      </w:r>
    </w:p>
    <w:p>
      <w:pPr>
        <w:autoSpaceDE w:val="0"/>
        <w:autoSpaceDN w:val="0"/>
        <w:adjustRightInd w:val="0"/>
        <w:spacing w:line="240" w:lineRule="auto"/>
        <w:rPr>
          <w:rFonts w:ascii="宋体" w:hAnsi="宋体" w:cs="宋体"/>
          <w:color w:val="000000" w:themeColor="text1"/>
          <w:sz w:val="32"/>
          <w:szCs w:val="32"/>
          <w:highlight w:val="none"/>
          <w:u w:val="singl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包组编号：             </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包组名称：</w:t>
      </w:r>
    </w:p>
    <w:p>
      <w:pPr>
        <w:autoSpaceDE w:val="0"/>
        <w:autoSpaceDN w:val="0"/>
        <w:adjustRightInd w:val="0"/>
        <w:spacing w:line="240"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（正本/副本）</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投标人名称：</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法定代表人姓名：          手机：</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地址：                    邮编：</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电话：                    传真：</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网址：</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电子邮箱：</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投标代表（印刷体）：</w:t>
      </w:r>
    </w:p>
    <w:p>
      <w:pPr>
        <w:autoSpaceDE w:val="0"/>
        <w:autoSpaceDN w:val="0"/>
        <w:adjustRightInd w:val="0"/>
        <w:spacing w:line="24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手机：                    日期：20  年  月  </w:t>
      </w:r>
      <w:bookmarkEnd w:id="48"/>
      <w:bookmarkStart w:id="77" w:name="_Toc23823"/>
      <w:bookmarkStart w:id="78" w:name="_Toc342615447"/>
    </w:p>
    <w:p>
      <w:pPr>
        <w:autoSpaceDE w:val="0"/>
        <w:autoSpaceDN w:val="0"/>
        <w:adjustRightInd w:val="0"/>
        <w:spacing w:line="240" w:lineRule="auto"/>
        <w:rPr>
          <w:b/>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r>
        <w:rPr>
          <w:color w:val="000000" w:themeColor="text1"/>
          <w:sz w:val="28"/>
          <w:szCs w:val="28"/>
          <w:highlight w:val="none"/>
          <w14:textFill>
            <w14:solidFill>
              <w14:schemeClr w14:val="tx1"/>
            </w14:solidFill>
          </w14:textFill>
        </w:rPr>
        <w:t>投标文件书脊格式</w:t>
      </w:r>
    </w:p>
    <w:tbl>
      <w:tblPr>
        <w:tblStyle w:val="39"/>
        <w:tblpPr w:leftFromText="180" w:rightFromText="180" w:vertAnchor="text" w:horzAnchor="margin" w:tblpXSpec="center" w:tblpY="1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3" w:hRule="atLeast"/>
        </w:trPr>
        <w:tc>
          <w:tcPr>
            <w:tcW w:w="817" w:type="dxa"/>
            <w:textDirection w:val="tbRlV"/>
            <w:vAlign w:val="center"/>
          </w:tcPr>
          <w:p>
            <w:pPr>
              <w:spacing w:line="240" w:lineRule="auto"/>
              <w:ind w:left="113" w:right="113"/>
              <w:textAlignment w:val="baseline"/>
              <w:rPr>
                <w:b/>
                <w:bCs/>
                <w:color w:val="000000" w:themeColor="text1"/>
                <w:highlight w:val="none"/>
                <w14:textFill>
                  <w14:solidFill>
                    <w14:schemeClr w14:val="tx1"/>
                  </w14:solidFill>
                </w14:textFill>
              </w:rPr>
            </w:pPr>
            <w:r>
              <w:rPr>
                <w:b/>
                <w:bCs/>
                <w:color w:val="000000" w:themeColor="text1"/>
                <w:highlight w:val="none"/>
                <w:u w:val="single"/>
                <w14:textFill>
                  <w14:solidFill>
                    <w14:schemeClr w14:val="tx1"/>
                  </w14:solidFill>
                </w14:textFill>
              </w:rPr>
              <w:t>项目编号+项目名称</w:t>
            </w:r>
            <w:r>
              <w:rPr>
                <w:b/>
                <w:bCs/>
                <w:color w:val="000000" w:themeColor="text1"/>
                <w:highlight w:val="none"/>
                <w14:textFill>
                  <w14:solidFill>
                    <w14:schemeClr w14:val="tx1"/>
                  </w14:solidFill>
                </w14:textFill>
              </w:rPr>
              <w:t xml:space="preserve">        第 一 包组    公司名称：</w:t>
            </w:r>
          </w:p>
        </w:tc>
      </w:tr>
    </w:tbl>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pPr>
    </w:p>
    <w:p>
      <w:pPr>
        <w:spacing w:line="240" w:lineRule="auto"/>
        <w:jc w:val="center"/>
        <w:rPr>
          <w:color w:val="000000" w:themeColor="text1"/>
          <w:highlight w:val="none"/>
          <w14:textFill>
            <w14:solidFill>
              <w14:schemeClr w14:val="tx1"/>
            </w14:solidFill>
          </w14:textFill>
        </w:rPr>
        <w:sectPr>
          <w:pgSz w:w="11906" w:h="16838"/>
          <w:pgMar w:top="1304" w:right="1106" w:bottom="1304" w:left="1418" w:header="851" w:footer="992" w:gutter="0"/>
          <w:pgNumType w:fmt="decimal"/>
          <w:cols w:space="720" w:num="1"/>
          <w:docGrid w:type="linesAndChars" w:linePitch="312" w:charSpace="0"/>
        </w:sectPr>
      </w:pPr>
    </w:p>
    <w:p>
      <w:pPr>
        <w:pStyle w:val="4"/>
        <w:numPr>
          <w:ilvl w:val="0"/>
          <w:numId w:val="0"/>
        </w:numPr>
        <w:rPr>
          <w:color w:val="000000" w:themeColor="text1"/>
          <w:highlight w:val="none"/>
          <w14:textFill>
            <w14:solidFill>
              <w14:schemeClr w14:val="tx1"/>
            </w14:solidFill>
          </w14:textFill>
        </w:rPr>
      </w:pPr>
      <w:bookmarkStart w:id="79" w:name="_Toc102987731"/>
      <w:bookmarkStart w:id="80" w:name="_Toc102987393"/>
      <w:bookmarkStart w:id="81" w:name="_Toc102987766"/>
      <w:r>
        <w:rPr>
          <w:color w:val="000000" w:themeColor="text1"/>
          <w:highlight w:val="none"/>
          <w14:textFill>
            <w14:solidFill>
              <w14:schemeClr w14:val="tx1"/>
            </w14:solidFill>
          </w14:textFill>
        </w:rPr>
        <w:t>二、目录</w:t>
      </w:r>
      <w:bookmarkEnd w:id="79"/>
      <w:bookmarkEnd w:id="80"/>
      <w:bookmarkEnd w:id="81"/>
    </w:p>
    <w:p>
      <w:pPr>
        <w:pStyle w:val="24"/>
        <w:tabs>
          <w:tab w:val="right" w:leader="dot" w:pos="8516"/>
        </w:tabs>
        <w:spacing w:before="60" w:line="240" w:lineRule="auto"/>
        <w:ind w:left="210"/>
        <w:rPr>
          <w:rStyle w:val="46"/>
          <w:rFonts w:ascii="Times New Roman" w:hAnsi="Times New Roman" w:eastAsia="黑体"/>
          <w:bCs w:val="0"/>
          <w:i w:val="0"/>
          <w:iCs w:val="0"/>
          <w:color w:val="000000" w:themeColor="text1"/>
          <w:kern w:val="2"/>
          <w:sz w:val="20"/>
          <w:szCs w:val="20"/>
          <w:highlight w:val="none"/>
          <w14:textFill>
            <w14:solidFill>
              <w14:schemeClr w14:val="tx1"/>
            </w14:solidFill>
          </w14:textFill>
        </w:rPr>
      </w:pPr>
      <w:r>
        <w:rPr>
          <w:color w:val="000000" w:themeColor="text1"/>
          <w:sz w:val="20"/>
          <w:szCs w:val="20"/>
          <w:highlight w:val="none"/>
          <w14:textFill>
            <w14:solidFill>
              <w14:schemeClr w14:val="tx1"/>
            </w14:solidFill>
          </w14:textFill>
        </w:rPr>
        <w:fldChar w:fldCharType="begin"/>
      </w:r>
      <w:r>
        <w:rPr>
          <w:color w:val="000000" w:themeColor="text1"/>
          <w:sz w:val="20"/>
          <w:szCs w:val="20"/>
          <w:highlight w:val="none"/>
          <w14:textFill>
            <w14:solidFill>
              <w14:schemeClr w14:val="tx1"/>
            </w14:solidFill>
          </w14:textFill>
        </w:rPr>
        <w:instrText xml:space="preserve"> TOC \o "1-4" \h \z \u </w:instrText>
      </w:r>
      <w:r>
        <w:rPr>
          <w:color w:val="000000" w:themeColor="text1"/>
          <w:sz w:val="20"/>
          <w:szCs w:val="20"/>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"_Toc102987765" </w:instrText>
      </w:r>
      <w:r>
        <w:rPr>
          <w:color w:val="000000" w:themeColor="text1"/>
          <w:highlight w:val="none"/>
          <w14:textFill>
            <w14:solidFill>
              <w14:schemeClr w14:val="tx1"/>
            </w14:solidFill>
          </w14:textFill>
        </w:rPr>
        <w:fldChar w:fldCharType="separate"/>
      </w:r>
      <w:r>
        <w:rPr>
          <w:rStyle w:val="46"/>
          <w:rFonts w:ascii="Times New Roman" w:hAnsi="Times New Roman"/>
          <w:i w:val="0"/>
          <w:iCs w:val="0"/>
          <w:color w:val="000000" w:themeColor="text1"/>
          <w:sz w:val="20"/>
          <w:szCs w:val="20"/>
          <w:highlight w:val="none"/>
          <w14:textFill>
            <w14:solidFill>
              <w14:schemeClr w14:val="tx1"/>
            </w14:solidFill>
          </w14:textFill>
        </w:rPr>
        <w:t>一、投标文件封面格式</w:t>
      </w:r>
      <w:r>
        <w:rPr>
          <w:rStyle w:val="46"/>
          <w:rFonts w:ascii="Times New Roman" w:hAnsi="Times New Roman"/>
          <w:i w:val="0"/>
          <w:iCs w:val="0"/>
          <w:color w:val="000000" w:themeColor="text1"/>
          <w:sz w:val="20"/>
          <w:szCs w:val="20"/>
          <w:highlight w:val="none"/>
          <w14:textFill>
            <w14:solidFill>
              <w14:schemeClr w14:val="tx1"/>
            </w14:solidFill>
          </w14:textFill>
        </w:rPr>
        <w:tab/>
      </w:r>
      <w:r>
        <w:rPr>
          <w:rStyle w:val="46"/>
          <w:rFonts w:ascii="Times New Roman" w:hAnsi="Times New Roman"/>
          <w:i w:val="0"/>
          <w:iCs w:val="0"/>
          <w:color w:val="000000" w:themeColor="text1"/>
          <w:sz w:val="20"/>
          <w:szCs w:val="20"/>
          <w:highlight w:val="none"/>
          <w14:textFill>
            <w14:solidFill>
              <w14:schemeClr w14:val="tx1"/>
            </w14:solidFill>
          </w14:textFill>
        </w:rPr>
        <w:fldChar w:fldCharType="end"/>
      </w:r>
    </w:p>
    <w:p>
      <w:pPr>
        <w:pStyle w:val="31"/>
        <w:tabs>
          <w:tab w:val="right" w:leader="dot" w:pos="8516"/>
        </w:tabs>
        <w:spacing w:before="60" w:line="240" w:lineRule="auto"/>
        <w:rPr>
          <w:rFonts w:ascii="Times New Roman" w:hAnsi="Times New Roman"/>
          <w:color w:val="000000" w:themeColor="text1"/>
          <w:kern w:val="2"/>
          <w:sz w:val="20"/>
          <w:szCs w:val="2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"_Toc102987766"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sz w:val="20"/>
          <w:szCs w:val="20"/>
          <w:highlight w:val="none"/>
          <w14:textFill>
            <w14:solidFill>
              <w14:schemeClr w14:val="tx1"/>
            </w14:solidFill>
          </w14:textFill>
        </w:rPr>
        <w:t>二、目录</w:t>
      </w:r>
      <w:r>
        <w:rPr>
          <w:rFonts w:ascii="Times New Roman" w:hAnsi="Times New Roman"/>
          <w:color w:val="000000" w:themeColor="text1"/>
          <w:sz w:val="20"/>
          <w:szCs w:val="20"/>
          <w:highlight w:val="none"/>
          <w14:textFill>
            <w14:solidFill>
              <w14:schemeClr w14:val="tx1"/>
            </w14:solidFill>
          </w14:textFill>
        </w:rPr>
        <w:tab/>
      </w:r>
      <w:r>
        <w:rPr>
          <w:rFonts w:ascii="Times New Roman" w:hAnsi="Times New Roman"/>
          <w:color w:val="000000" w:themeColor="text1"/>
          <w:sz w:val="20"/>
          <w:szCs w:val="20"/>
          <w:highlight w:val="none"/>
          <w14:textFill>
            <w14:solidFill>
              <w14:schemeClr w14:val="tx1"/>
            </w14:solidFill>
          </w14:textFill>
        </w:rPr>
        <w:fldChar w:fldCharType="end"/>
      </w:r>
    </w:p>
    <w:p>
      <w:pPr>
        <w:pStyle w:val="31"/>
        <w:tabs>
          <w:tab w:val="right" w:leader="dot" w:pos="8516"/>
        </w:tabs>
        <w:spacing w:before="60" w:line="240" w:lineRule="auto"/>
        <w:rPr>
          <w:rFonts w:ascii="Times New Roman" w:hAnsi="Times New Roman"/>
          <w:color w:val="000000" w:themeColor="text1"/>
          <w:kern w:val="2"/>
          <w:sz w:val="20"/>
          <w:szCs w:val="2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"_Toc102987767"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sz w:val="20"/>
          <w:szCs w:val="20"/>
          <w:highlight w:val="none"/>
          <w14:textFill>
            <w14:solidFill>
              <w14:schemeClr w14:val="tx1"/>
            </w14:solidFill>
          </w14:textFill>
        </w:rPr>
        <w:t>三、自查表格式</w:t>
      </w:r>
      <w:r>
        <w:rPr>
          <w:rFonts w:ascii="Times New Roman" w:hAnsi="Times New Roman"/>
          <w:color w:val="000000" w:themeColor="text1"/>
          <w:sz w:val="20"/>
          <w:szCs w:val="20"/>
          <w:highlight w:val="none"/>
          <w14:textFill>
            <w14:solidFill>
              <w14:schemeClr w14:val="tx1"/>
            </w14:solidFill>
          </w14:textFill>
        </w:rPr>
        <w:tab/>
      </w:r>
      <w:r>
        <w:rPr>
          <w:rFonts w:ascii="Times New Roman" w:hAnsi="Times New Roman"/>
          <w:color w:val="000000" w:themeColor="text1"/>
          <w:sz w:val="20"/>
          <w:szCs w:val="20"/>
          <w:highlight w:val="none"/>
          <w14:textFill>
            <w14:solidFill>
              <w14:schemeClr w14:val="tx1"/>
            </w14:solidFill>
          </w14:textFill>
        </w:rPr>
        <w:fldChar w:fldCharType="end"/>
      </w:r>
    </w:p>
    <w:p>
      <w:pPr>
        <w:pStyle w:val="31"/>
        <w:tabs>
          <w:tab w:val="right" w:leader="dot" w:pos="8516"/>
        </w:tabs>
        <w:spacing w:before="60" w:line="240" w:lineRule="auto"/>
        <w:rPr>
          <w:rFonts w:ascii="Times New Roman" w:hAnsi="Times New Roman"/>
          <w:color w:val="000000" w:themeColor="text1"/>
          <w:kern w:val="2"/>
          <w:sz w:val="20"/>
          <w:szCs w:val="2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"_Toc102987768"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sz w:val="20"/>
          <w:szCs w:val="20"/>
          <w:highlight w:val="none"/>
          <w14:textFill>
            <w14:solidFill>
              <w14:schemeClr w14:val="tx1"/>
            </w14:solidFill>
          </w14:textFill>
        </w:rPr>
        <w:t>（一）资格性自查表</w:t>
      </w:r>
      <w:r>
        <w:rPr>
          <w:rFonts w:ascii="Times New Roman" w:hAnsi="Times New Roman"/>
          <w:color w:val="000000" w:themeColor="text1"/>
          <w:sz w:val="20"/>
          <w:szCs w:val="20"/>
          <w:highlight w:val="none"/>
          <w14:textFill>
            <w14:solidFill>
              <w14:schemeClr w14:val="tx1"/>
            </w14:solidFill>
          </w14:textFill>
        </w:rPr>
        <w:tab/>
      </w:r>
      <w:r>
        <w:rPr>
          <w:rFonts w:ascii="Times New Roman" w:hAnsi="Times New Roman"/>
          <w:color w:val="000000" w:themeColor="text1"/>
          <w:sz w:val="20"/>
          <w:szCs w:val="20"/>
          <w:highlight w:val="none"/>
          <w14:textFill>
            <w14:solidFill>
              <w14:schemeClr w14:val="tx1"/>
            </w14:solidFill>
          </w14:textFill>
        </w:rPr>
        <w:fldChar w:fldCharType="end"/>
      </w:r>
    </w:p>
    <w:p>
      <w:pPr>
        <w:pStyle w:val="31"/>
        <w:tabs>
          <w:tab w:val="right" w:leader="dot" w:pos="8516"/>
        </w:tabs>
        <w:spacing w:before="60" w:line="240" w:lineRule="auto"/>
        <w:rPr>
          <w:rFonts w:ascii="Times New Roman" w:hAnsi="Times New Roman"/>
          <w:color w:val="000000" w:themeColor="text1"/>
          <w:kern w:val="2"/>
          <w:sz w:val="20"/>
          <w:szCs w:val="2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"_Toc102987769"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sz w:val="20"/>
          <w:szCs w:val="20"/>
          <w:highlight w:val="none"/>
          <w14:textFill>
            <w14:solidFill>
              <w14:schemeClr w14:val="tx1"/>
            </w14:solidFill>
          </w14:textFill>
        </w:rPr>
        <w:t>（二）符合性自查表</w:t>
      </w:r>
      <w:r>
        <w:rPr>
          <w:rFonts w:ascii="Times New Roman" w:hAnsi="Times New Roman"/>
          <w:color w:val="000000" w:themeColor="text1"/>
          <w:sz w:val="20"/>
          <w:szCs w:val="20"/>
          <w:highlight w:val="none"/>
          <w14:textFill>
            <w14:solidFill>
              <w14:schemeClr w14:val="tx1"/>
            </w14:solidFill>
          </w14:textFill>
        </w:rPr>
        <w:tab/>
      </w:r>
      <w:r>
        <w:rPr>
          <w:rFonts w:ascii="Times New Roman" w:hAnsi="Times New Roman"/>
          <w:color w:val="000000" w:themeColor="text1"/>
          <w:sz w:val="20"/>
          <w:szCs w:val="20"/>
          <w:highlight w:val="none"/>
          <w14:textFill>
            <w14:solidFill>
              <w14:schemeClr w14:val="tx1"/>
            </w14:solidFill>
          </w14:textFill>
        </w:rPr>
        <w:fldChar w:fldCharType="end"/>
      </w:r>
    </w:p>
    <w:p>
      <w:pPr>
        <w:pStyle w:val="31"/>
        <w:tabs>
          <w:tab w:val="right" w:leader="dot" w:pos="8516"/>
        </w:tabs>
        <w:spacing w:before="60" w:line="240" w:lineRule="auto"/>
        <w:rPr>
          <w:rFonts w:ascii="Times New Roman" w:hAnsi="Times New Roman"/>
          <w:color w:val="000000" w:themeColor="text1"/>
          <w:kern w:val="2"/>
          <w:sz w:val="20"/>
          <w:szCs w:val="2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"_Toc102987770"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sz w:val="20"/>
          <w:szCs w:val="20"/>
          <w:highlight w:val="none"/>
          <w14:textFill>
            <w14:solidFill>
              <w14:schemeClr w14:val="tx1"/>
            </w14:solidFill>
          </w14:textFill>
        </w:rPr>
        <w:t>（三）评审项目自查表</w:t>
      </w:r>
      <w:r>
        <w:rPr>
          <w:rFonts w:ascii="Times New Roman" w:hAnsi="Times New Roman"/>
          <w:color w:val="000000" w:themeColor="text1"/>
          <w:sz w:val="20"/>
          <w:szCs w:val="20"/>
          <w:highlight w:val="none"/>
          <w14:textFill>
            <w14:solidFill>
              <w14:schemeClr w14:val="tx1"/>
            </w14:solidFill>
          </w14:textFill>
        </w:rPr>
        <w:tab/>
      </w:r>
      <w:r>
        <w:rPr>
          <w:rFonts w:ascii="Times New Roman" w:hAnsi="Times New Roman"/>
          <w:color w:val="000000" w:themeColor="text1"/>
          <w:sz w:val="20"/>
          <w:szCs w:val="20"/>
          <w:highlight w:val="none"/>
          <w14:textFill>
            <w14:solidFill>
              <w14:schemeClr w14:val="tx1"/>
            </w14:solidFill>
          </w14:textFill>
        </w:rPr>
        <w:fldChar w:fldCharType="end"/>
      </w:r>
    </w:p>
    <w:p>
      <w:pPr>
        <w:pStyle w:val="16"/>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"_Toc102987771"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1.技术评价表自查表</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16"/>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"_Toc102987772"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2.商务评价表自查表</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16"/>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"_Toc102987773"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3.价格评价自查表</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31"/>
        <w:tabs>
          <w:tab w:val="right" w:leader="dot" w:pos="8516"/>
        </w:tabs>
        <w:spacing w:before="60" w:line="240" w:lineRule="auto"/>
        <w:rPr>
          <w:rFonts w:ascii="Times New Roman" w:hAnsi="Times New Roman"/>
          <w:color w:val="000000" w:themeColor="text1"/>
          <w:kern w:val="2"/>
          <w:sz w:val="20"/>
          <w:szCs w:val="20"/>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"_Toc102987774"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sz w:val="20"/>
          <w:szCs w:val="20"/>
          <w:highlight w:val="none"/>
          <w14:textFill>
            <w14:solidFill>
              <w14:schemeClr w14:val="tx1"/>
            </w14:solidFill>
          </w14:textFill>
        </w:rPr>
        <w:t>（四）附件资料</w:t>
      </w:r>
      <w:r>
        <w:rPr>
          <w:rFonts w:ascii="Times New Roman" w:hAnsi="Times New Roman"/>
          <w:color w:val="000000" w:themeColor="text1"/>
          <w:sz w:val="20"/>
          <w:szCs w:val="20"/>
          <w:highlight w:val="none"/>
          <w14:textFill>
            <w14:solidFill>
              <w14:schemeClr w14:val="tx1"/>
            </w14:solidFill>
          </w14:textFill>
        </w:rPr>
        <w:tab/>
      </w:r>
      <w:r>
        <w:rPr>
          <w:rFonts w:ascii="Times New Roman" w:hAnsi="Times New Roman"/>
          <w:color w:val="000000" w:themeColor="text1"/>
          <w:sz w:val="20"/>
          <w:szCs w:val="20"/>
          <w:highlight w:val="none"/>
          <w14:textFill>
            <w14:solidFill>
              <w14:schemeClr w14:val="tx1"/>
            </w14:solidFill>
          </w14:textFill>
        </w:rPr>
        <w:fldChar w:fldCharType="end"/>
      </w:r>
    </w:p>
    <w:p>
      <w:pPr>
        <w:pStyle w:val="16"/>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"_Toc102987775"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1.资格证明材料</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"_Toc102987776"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1.1投标函</w:t>
      </w:r>
      <w:bookmarkStart w:id="82" w:name="_Hlt126653872"/>
      <w:bookmarkStart w:id="83" w:name="_Hlt126653873"/>
      <w:r>
        <w:rPr>
          <w:rStyle w:val="46"/>
          <w:rFonts w:ascii="Times New Roman" w:hAnsi="Times New Roman"/>
          <w:color w:val="000000" w:themeColor="text1"/>
          <w:highlight w:val="none"/>
          <w14:textFill>
            <w14:solidFill>
              <w14:schemeClr w14:val="tx1"/>
            </w14:solidFill>
          </w14:textFill>
        </w:rPr>
        <w:t>格</w:t>
      </w:r>
      <w:bookmarkEnd w:id="82"/>
      <w:bookmarkEnd w:id="83"/>
      <w:r>
        <w:rPr>
          <w:rStyle w:val="46"/>
          <w:rFonts w:ascii="Times New Roman" w:hAnsi="Times New Roman"/>
          <w:color w:val="000000" w:themeColor="text1"/>
          <w:highlight w:val="none"/>
          <w14:textFill>
            <w14:solidFill>
              <w14:schemeClr w14:val="tx1"/>
            </w14:solidFill>
          </w14:textFill>
        </w:rPr>
        <w:t>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"_Toc102987777"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1.2投标人声明函格式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"_Toc102987778"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1.3法定代表人身份证明格式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"_Toc102987779"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1.4法定代表人授权书格式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"_Toc102987780"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1.5投标人的资格声明格式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Style w:val="46"/>
          <w:rFonts w:ascii="Times New Roman" w:hAnsi="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"_Toc102987781"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1.6与投标人存在关联关系的单位名称说明格式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Style w:val="46"/>
          <w:rFonts w:ascii="Times New Roman" w:hAnsi="Times New Roman"/>
          <w:color w:val="000000" w:themeColor="text1"/>
          <w:highlight w:val="none"/>
          <w14:textFill>
            <w14:solidFill>
              <w14:schemeClr w14:val="tx1"/>
            </w14:solidFill>
          </w14:textFill>
        </w:rPr>
      </w:pPr>
      <w:r>
        <w:rPr>
          <w:rStyle w:val="46"/>
          <w:rFonts w:hint="eastAsia" w:ascii="Times New Roman" w:hAnsi="Times New Roman"/>
          <w:color w:val="000000" w:themeColor="text1"/>
          <w:highlight w:val="none"/>
          <w14:textFill>
            <w14:solidFill>
              <w14:schemeClr w14:val="tx1"/>
            </w14:solidFill>
          </w14:textFill>
        </w:rPr>
        <w:t>1.7非联合体投标声明</w:t>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"_Toc102987782"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1.</w:t>
      </w:r>
      <w:r>
        <w:rPr>
          <w:rStyle w:val="46"/>
          <w:rFonts w:hint="eastAsia" w:ascii="Times New Roman" w:hAnsi="Times New Roman"/>
          <w:color w:val="000000" w:themeColor="text1"/>
          <w:highlight w:val="none"/>
          <w14:textFill>
            <w14:solidFill>
              <w14:schemeClr w14:val="tx1"/>
            </w14:solidFill>
          </w14:textFill>
        </w:rPr>
        <w:t>8</w:t>
      </w:r>
      <w:r>
        <w:rPr>
          <w:rStyle w:val="46"/>
          <w:rFonts w:ascii="Times New Roman" w:hAnsi="Times New Roman"/>
          <w:color w:val="000000" w:themeColor="text1"/>
          <w:highlight w:val="none"/>
          <w14:textFill>
            <w14:solidFill>
              <w14:schemeClr w14:val="tx1"/>
            </w14:solidFill>
          </w14:textFill>
        </w:rPr>
        <w:t>实质性响应条款一览表格式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16"/>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"_Toc102987783"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2.报价材料</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"_Toc102987784"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2.1开标一览表（货物类）格式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"_Toc102987785"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2.2投标报价表格式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"_Toc102987786"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2.3配置清单格式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"_Toc102987787"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2.4售后服务承诺书格式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"_Toc102987788"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2.5中小微企业声明函等</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"_Toc102987789"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2.6产品适用政府采购政策情况表</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16"/>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"_Toc102987790"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3.商务证明资料</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"_Toc102987791"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3.1投标人基本情况说明</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"_Toc102987792"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3.2业绩一览表格式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"_Toc102987793"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3.3制造厂商出具的授权函格式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"_Toc102987794"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3.4商务条件偏离表</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"_Toc102987795"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3.5投标人认为有必要说明的其他商务文件资料</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16"/>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"_Toc102987796"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4.技术证明资料</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"_Toc102987797"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4.1技术规格/要求偏离表格式</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Fonts w:ascii="Times New Roman" w:hAnsi="Times New Roman"/>
          <w:color w:val="000000" w:themeColor="text1"/>
          <w:kern w:val="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"_Toc102987798"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4.2安装调试验收方案</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25"/>
        <w:tabs>
          <w:tab w:val="right" w:leader="dot" w:pos="8516"/>
        </w:tabs>
        <w:snapToGrid w:val="0"/>
        <w:spacing w:line="228" w:lineRule="auto"/>
        <w:rPr>
          <w:rStyle w:val="46"/>
          <w:rFonts w:ascii="Times New Roman" w:hAnsi="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"_Toc102987799" </w:instrText>
      </w:r>
      <w:r>
        <w:rPr>
          <w:color w:val="000000" w:themeColor="text1"/>
          <w:highlight w:val="none"/>
          <w14:textFill>
            <w14:solidFill>
              <w14:schemeClr w14:val="tx1"/>
            </w14:solidFill>
          </w14:textFill>
        </w:rPr>
        <w:fldChar w:fldCharType="separate"/>
      </w:r>
      <w:r>
        <w:rPr>
          <w:rStyle w:val="46"/>
          <w:rFonts w:ascii="Times New Roman" w:hAnsi="Times New Roman"/>
          <w:color w:val="000000" w:themeColor="text1"/>
          <w:highlight w:val="none"/>
          <w14:textFill>
            <w14:solidFill>
              <w14:schemeClr w14:val="tx1"/>
            </w14:solidFill>
          </w14:textFill>
        </w:rPr>
        <w:t>4.3其他材料</w:t>
      </w:r>
      <w:r>
        <w:rPr>
          <w:rFonts w:ascii="Times New Roman" w:hAnsi="Times New Roman"/>
          <w:color w:val="000000" w:themeColor="text1"/>
          <w:highlight w:val="none"/>
          <w14:textFill>
            <w14:solidFill>
              <w14:schemeClr w14:val="tx1"/>
            </w14:solidFill>
          </w14:textFill>
        </w:rPr>
        <w:tab/>
      </w:r>
      <w:r>
        <w:rPr>
          <w:rFonts w:ascii="Times New Roman" w:hAnsi="Times New Roman"/>
          <w:color w:val="000000" w:themeColor="text1"/>
          <w:highlight w:val="none"/>
          <w14:textFill>
            <w14:solidFill>
              <w14:schemeClr w14:val="tx1"/>
            </w14:solidFill>
          </w14:textFill>
        </w:rPr>
        <w:fldChar w:fldCharType="end"/>
      </w:r>
    </w:p>
    <w:p>
      <w:pPr>
        <w:pStyle w:val="16"/>
        <w:tabs>
          <w:tab w:val="right" w:leader="dot" w:pos="8516"/>
        </w:tabs>
        <w:snapToGrid w:val="0"/>
        <w:spacing w:line="228" w:lineRule="auto"/>
        <w:rPr>
          <w:rStyle w:val="46"/>
          <w:rFonts w:ascii="Times New Roman" w:hAnsi="Times New Roman"/>
          <w:color w:val="000000" w:themeColor="text1"/>
          <w:highlight w:val="none"/>
          <w14:textFill>
            <w14:solidFill>
              <w14:schemeClr w14:val="tx1"/>
            </w14:solidFill>
          </w14:textFill>
        </w:rPr>
      </w:pPr>
      <w:r>
        <w:rPr>
          <w:rStyle w:val="46"/>
          <w:rFonts w:hint="eastAsia" w:ascii="Times New Roman" w:hAnsi="Times New Roman"/>
          <w:color w:val="000000" w:themeColor="text1"/>
          <w:highlight w:val="none"/>
          <w14:textFill>
            <w14:solidFill>
              <w14:schemeClr w14:val="tx1"/>
            </w14:solidFill>
          </w14:textFill>
        </w:rPr>
        <w:t>5.承诺函模板</w:t>
      </w:r>
    </w:p>
    <w:p>
      <w:pPr>
        <w:pStyle w:val="25"/>
        <w:tabs>
          <w:tab w:val="right" w:leader="dot" w:pos="8516"/>
        </w:tabs>
        <w:snapToGrid w:val="0"/>
        <w:spacing w:line="228" w:lineRule="auto"/>
        <w:rPr>
          <w:rStyle w:val="46"/>
          <w:rFonts w:ascii="Times New Roman" w:hAnsi="Times New Roman"/>
          <w:color w:val="000000" w:themeColor="text1"/>
          <w:highlight w:val="none"/>
          <w14:textFill>
            <w14:solidFill>
              <w14:schemeClr w14:val="tx1"/>
            </w14:solidFill>
          </w14:textFill>
        </w:rPr>
      </w:pPr>
      <w:r>
        <w:rPr>
          <w:rStyle w:val="46"/>
          <w:rFonts w:hint="eastAsia" w:ascii="Times New Roman" w:hAnsi="Times New Roman"/>
          <w:color w:val="000000" w:themeColor="text1"/>
          <w:highlight w:val="none"/>
          <w14:textFill>
            <w14:solidFill>
              <w14:schemeClr w14:val="tx1"/>
            </w14:solidFill>
          </w14:textFill>
        </w:rPr>
        <w:t>5.1投标文件所有响应内容真实性负责承诺函</w:t>
      </w:r>
    </w:p>
    <w:p>
      <w:pPr>
        <w:pStyle w:val="25"/>
        <w:tabs>
          <w:tab w:val="right" w:leader="dot" w:pos="8516"/>
        </w:tabs>
        <w:snapToGrid w:val="0"/>
        <w:spacing w:line="228" w:lineRule="auto"/>
        <w:rPr>
          <w:rStyle w:val="46"/>
          <w:rFonts w:ascii="Times New Roman" w:hAnsi="Times New Roman"/>
          <w:color w:val="000000" w:themeColor="text1"/>
          <w:highlight w:val="none"/>
          <w14:textFill>
            <w14:solidFill>
              <w14:schemeClr w14:val="tx1"/>
            </w14:solidFill>
          </w14:textFill>
        </w:rPr>
      </w:pPr>
      <w:r>
        <w:rPr>
          <w:rStyle w:val="46"/>
          <w:rFonts w:hint="eastAsia" w:ascii="Times New Roman" w:hAnsi="Times New Roman"/>
          <w:color w:val="000000" w:themeColor="text1"/>
          <w:highlight w:val="none"/>
          <w14:textFill>
            <w14:solidFill>
              <w14:schemeClr w14:val="tx1"/>
            </w14:solidFill>
          </w14:textFill>
        </w:rPr>
        <w:t>5.2针对“技术要求”承诺条款的承诺函模板</w:t>
      </w:r>
    </w:p>
    <w:p>
      <w:pPr>
        <w:rPr>
          <w:color w:val="000000" w:themeColor="text1"/>
          <w:sz w:val="20"/>
          <w:highlight w:val="none"/>
          <w14:textFill>
            <w14:solidFill>
              <w14:schemeClr w14:val="tx1"/>
            </w14:solidFill>
          </w14:textFill>
        </w:rPr>
      </w:pPr>
      <w:r>
        <w:rPr>
          <w:color w:val="000000" w:themeColor="text1"/>
          <w:sz w:val="20"/>
          <w:highlight w:val="none"/>
          <w14:textFill>
            <w14:solidFill>
              <w14:schemeClr w14:val="tx1"/>
            </w14:solidFill>
          </w14:textFill>
        </w:rPr>
        <w:fldChar w:fldCharType="end"/>
      </w:r>
    </w:p>
    <w:p>
      <w:pPr>
        <w:autoSpaceDE w:val="0"/>
        <w:autoSpaceDN w:val="0"/>
        <w:adjustRightInd w:val="0"/>
        <w:spacing w:line="240" w:lineRule="exact"/>
        <w:jc w:val="center"/>
        <w:rPr>
          <w:b/>
          <w:bCs/>
          <w:color w:val="000000" w:themeColor="text1"/>
          <w:sz w:val="20"/>
          <w:highlight w:val="none"/>
          <w14:textFill>
            <w14:solidFill>
              <w14:schemeClr w14:val="tx1"/>
            </w14:solidFill>
          </w14:textFill>
        </w:rPr>
      </w:pPr>
      <w:r>
        <w:rPr>
          <w:b/>
          <w:bCs/>
          <w:color w:val="000000" w:themeColor="text1"/>
          <w:sz w:val="20"/>
          <w:highlight w:val="none"/>
          <w14:textFill>
            <w14:solidFill>
              <w14:schemeClr w14:val="tx1"/>
            </w14:solidFill>
          </w14:textFill>
        </w:rPr>
        <w:t>（本目录可根据公开招标采购文件要求必须提供的资料排序，其余资料酌情提供）</w:t>
      </w:r>
    </w:p>
    <w:p>
      <w:pPr>
        <w:autoSpaceDE w:val="0"/>
        <w:autoSpaceDN w:val="0"/>
        <w:adjustRightInd w:val="0"/>
        <w:spacing w:line="240" w:lineRule="exact"/>
        <w:rPr>
          <w:color w:val="000000" w:themeColor="text1"/>
          <w:highlight w:val="none"/>
          <w14:textFill>
            <w14:solidFill>
              <w14:schemeClr w14:val="tx1"/>
            </w14:solidFill>
          </w14:textFill>
        </w:rPr>
      </w:pPr>
    </w:p>
    <w:p>
      <w:pPr>
        <w:autoSpaceDE w:val="0"/>
        <w:autoSpaceDN w:val="0"/>
        <w:adjustRightInd w:val="0"/>
        <w:spacing w:line="240" w:lineRule="exact"/>
        <w:rPr>
          <w:color w:val="000000" w:themeColor="text1"/>
          <w:highlight w:val="none"/>
          <w14:textFill>
            <w14:solidFill>
              <w14:schemeClr w14:val="tx1"/>
            </w14:solidFill>
          </w14:textFill>
        </w:rPr>
      </w:pPr>
    </w:p>
    <w:p>
      <w:pPr>
        <w:pStyle w:val="4"/>
        <w:keepNext w:val="0"/>
        <w:keepLines w:val="0"/>
        <w:numPr>
          <w:ilvl w:val="0"/>
          <w:numId w:val="0"/>
        </w:numPr>
        <w:spacing w:before="0" w:after="0" w:line="240" w:lineRule="auto"/>
        <w:jc w:val="left"/>
        <w:rPr>
          <w:rFonts w:ascii="宋体" w:hAnsi="宋体" w:eastAsia="宋体" w:cs="宋体"/>
          <w:color w:val="000000" w:themeColor="text1"/>
          <w:sz w:val="24"/>
          <w:szCs w:val="24"/>
          <w:highlight w:val="none"/>
          <w14:textFill>
            <w14:solidFill>
              <w14:schemeClr w14:val="tx1"/>
            </w14:solidFill>
          </w14:textFill>
        </w:rPr>
      </w:pPr>
      <w:bookmarkStart w:id="84" w:name="_Toc102987732"/>
      <w:bookmarkStart w:id="85" w:name="_Toc102987394"/>
      <w:bookmarkStart w:id="86" w:name="_Toc102987767"/>
      <w:r>
        <w:rPr>
          <w:color w:val="000000" w:themeColor="text1"/>
          <w:highlight w:val="none"/>
          <w14:textFill>
            <w14:solidFill>
              <w14:schemeClr w14:val="tx1"/>
            </w14:solidFill>
          </w14:textFill>
        </w:rPr>
        <w:br w:type="page"/>
      </w:r>
      <w:r>
        <w:rPr>
          <w:rFonts w:hint="eastAsia" w:ascii="宋体" w:hAnsi="宋体" w:eastAsia="宋体" w:cs="宋体"/>
          <w:color w:val="000000" w:themeColor="text1"/>
          <w:sz w:val="24"/>
          <w:szCs w:val="24"/>
          <w:highlight w:val="none"/>
          <w14:textFill>
            <w14:solidFill>
              <w14:schemeClr w14:val="tx1"/>
            </w14:solidFill>
          </w14:textFill>
        </w:rPr>
        <w:t>三、自查表格式</w:t>
      </w:r>
      <w:bookmarkEnd w:id="84"/>
      <w:bookmarkEnd w:id="85"/>
      <w:bookmarkEnd w:id="86"/>
    </w:p>
    <w:p>
      <w:pPr>
        <w:pStyle w:val="4"/>
        <w:keepNext w:val="0"/>
        <w:keepLines w:val="0"/>
        <w:numPr>
          <w:ilvl w:val="0"/>
          <w:numId w:val="0"/>
        </w:numPr>
        <w:spacing w:before="0" w:after="0" w:line="240" w:lineRule="auto"/>
        <w:jc w:val="left"/>
        <w:rPr>
          <w:rFonts w:ascii="宋体" w:hAnsi="宋体" w:eastAsia="宋体" w:cs="宋体"/>
          <w:color w:val="000000" w:themeColor="text1"/>
          <w:sz w:val="24"/>
          <w:szCs w:val="24"/>
          <w:highlight w:val="none"/>
          <w14:textFill>
            <w14:solidFill>
              <w14:schemeClr w14:val="tx1"/>
            </w14:solidFill>
          </w14:textFill>
        </w:rPr>
      </w:pPr>
      <w:bookmarkStart w:id="87" w:name="_Toc102987768"/>
      <w:r>
        <w:rPr>
          <w:rFonts w:hint="eastAsia" w:ascii="宋体" w:hAnsi="宋体" w:eastAsia="宋体" w:cs="宋体"/>
          <w:color w:val="000000" w:themeColor="text1"/>
          <w:sz w:val="24"/>
          <w:szCs w:val="24"/>
          <w:highlight w:val="none"/>
          <w14:textFill>
            <w14:solidFill>
              <w14:schemeClr w14:val="tx1"/>
            </w14:solidFill>
          </w14:textFill>
        </w:rPr>
        <w:t>（一）资格性自查表</w:t>
      </w:r>
      <w:bookmarkEnd w:id="87"/>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资格性自查表</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6085"/>
        <w:gridCol w:w="102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3479"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内容</w:t>
            </w:r>
          </w:p>
        </w:tc>
        <w:tc>
          <w:tcPr>
            <w:tcW w:w="586"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自查</w:t>
            </w:r>
          </w:p>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结论</w:t>
            </w:r>
          </w:p>
        </w:tc>
        <w:tc>
          <w:tcPr>
            <w:tcW w:w="573" w:type="pct"/>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3479"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必须是具有独立承担民事责任能力的在中华人民共和国境内注册的法人、其他组织或者自然人，投标时提交投标人有效的营业执照（事业单位法人证书、其他组织的营业执照或执业许可证、自然人身份证明等有效证明文件）复印件。如投标人以非独立法人注册的分公司名义代表总公司盖章和签署文件参与本项目投标的，须提供总公司的营业执照副本复印件及总公司针对本项目授权分公司投标的授权书。</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3479" w:type="pct"/>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必须具有良好的商业信誉和健全的财务会计制度（以投标人在《投标人的资格声明》中的承诺为准）。</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tabs>
                <w:tab w:val="left" w:pos="1260"/>
              </w:tabs>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3479" w:type="pct"/>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具备履行合同所必需的设备和专业技术能力（ 以投标人在《投标人的资格声明》中的承诺为准） 。</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tabs>
                <w:tab w:val="left" w:pos="1260"/>
              </w:tabs>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3479" w:type="pct"/>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有依法缴纳税收和社会保障资金的良好记录（以投标人在《投标人的资格声明》中的承诺为准） 。</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tabs>
                <w:tab w:val="left" w:pos="1260"/>
              </w:tabs>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3479" w:type="pct"/>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投标人参加政府采购活动前三年内，在经营活动中没有重大违法记录（以投标人在《投标人的资格声明》中的承诺为准） 。</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tabs>
                <w:tab w:val="left" w:pos="1260"/>
              </w:tabs>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p>
        </w:tc>
        <w:tc>
          <w:tcPr>
            <w:tcW w:w="3479" w:type="pct"/>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投标人必须符合法律、行政法规规定的其他条件（ 以投标人在《投标人的资格声明》中的承诺为准） 。</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tabs>
                <w:tab w:val="left" w:pos="1260"/>
              </w:tabs>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p>
        </w:tc>
        <w:tc>
          <w:tcPr>
            <w:tcW w:w="3479" w:type="pct"/>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投标人未被列入“ 信用中国”网站（ www .credi tchina. gov.cn）“ 失信被执行人”、“ </w:t>
            </w:r>
            <w:r>
              <w:rPr>
                <w:rFonts w:hint="eastAsia"/>
                <w:color w:val="000000" w:themeColor="text1"/>
                <w:highlight w:val="none"/>
                <w14:textFill>
                  <w14:solidFill>
                    <w14:schemeClr w14:val="tx1"/>
                  </w14:solidFill>
                </w14:textFill>
              </w:rPr>
              <w:t>重大税收违法失信主体</w:t>
            </w:r>
            <w:r>
              <w:rPr>
                <w:color w:val="000000" w:themeColor="text1"/>
                <w:highlight w:val="none"/>
                <w14:textFill>
                  <w14:solidFill>
                    <w14:schemeClr w14:val="tx1"/>
                  </w14:solidFill>
                </w14:textFill>
              </w:rPr>
              <w:t>名单” 、“ 政府采购严重违法失信名单” ； 不处于中国政府采购网（ www.ccg p.gov. cn） “ 政府采购严重违法失信行为信息记录” 中的禁止参加政府采购活动期间。（ 以代理机构于评标当天在“ 信用中国” 网站（ www.cre ditchi na.gov. cn） 及中国政府采购网(www.cc gp.gov .cn)查询结果为准， 同时对信用信息查询记录进行存档。如相关失信记录已失效或查询不到， 则必须出具其信用良好的承诺书原件扫描件）</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tabs>
                <w:tab w:val="left" w:pos="1260"/>
              </w:tabs>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w:t>
            </w:r>
          </w:p>
        </w:tc>
        <w:tc>
          <w:tcPr>
            <w:tcW w:w="3479" w:type="pct"/>
            <w:vAlign w:val="center"/>
          </w:tcPr>
          <w:p>
            <w:pPr>
              <w:tabs>
                <w:tab w:val="left" w:pos="1260"/>
              </w:tabs>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不同的投标人之间有下列情形之一的，不接受作为参与同一采购项目竞争的投标人：</w:t>
            </w:r>
          </w:p>
          <w:p>
            <w:pPr>
              <w:tabs>
                <w:tab w:val="left" w:pos="1260"/>
              </w:tabs>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（1）法定代表人或单位负责人为同一人或者存在直接控股、管理关系的投标人。（以投标人在《投标人声明函》中的承诺为准）</w:t>
            </w:r>
          </w:p>
          <w:p>
            <w:pPr>
              <w:tabs>
                <w:tab w:val="left" w:pos="1260"/>
              </w:tabs>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 为采购项目提供整体设计、规范编制或者项目管理、监理、检测等服务的投标人。（以投标人在《投标人声明函》中的承诺为准）</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w:t>
            </w:r>
          </w:p>
        </w:tc>
        <w:tc>
          <w:tcPr>
            <w:tcW w:w="3479" w:type="pct"/>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本项目不允许联合体投标。不接受中标备选方案。</w:t>
            </w:r>
          </w:p>
        </w:tc>
        <w:tc>
          <w:tcPr>
            <w:tcW w:w="586"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tabs>
                <w:tab w:val="left" w:pos="1260"/>
              </w:tabs>
              <w:spacing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573" w:type="pct"/>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pct"/>
            <w:vAlign w:val="center"/>
          </w:tcPr>
          <w:p>
            <w:pPr>
              <w:tabs>
                <w:tab w:val="left" w:pos="1260"/>
              </w:tabs>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w:t>
            </w:r>
          </w:p>
        </w:tc>
        <w:tc>
          <w:tcPr>
            <w:tcW w:w="6084"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投标人已获取本项目招标文件。</w:t>
            </w:r>
          </w:p>
        </w:tc>
        <w:tc>
          <w:tcPr>
            <w:tcW w:w="1025" w:type="dxa"/>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002"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bl>
    <w:p>
      <w:pPr>
        <w:spacing w:after="1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注：以上材料将作为投标人资格审核的重要内容之一，投标人必须严格按照其内容及序列要求在投标文件中对应如实提供，对缺漏和不符合项将会直接导致无效投标！在对应的□打“√”。</w:t>
      </w:r>
    </w:p>
    <w:p>
      <w:pPr>
        <w:spacing w:line="425" w:lineRule="auto"/>
        <w:rPr>
          <w:color w:val="000000" w:themeColor="text1"/>
          <w:highlight w:val="none"/>
          <w14:textFill>
            <w14:solidFill>
              <w14:schemeClr w14:val="tx1"/>
            </w14:solidFill>
          </w14:textFill>
        </w:rPr>
      </w:pPr>
    </w:p>
    <w:p>
      <w:pPr>
        <w:spacing w:line="42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投标人名称（全称，并加盖公章）：__________________________</w:t>
      </w:r>
    </w:p>
    <w:p>
      <w:pPr>
        <w:spacing w:line="42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投标人法定代表人或投标人授权代表签字或盖章：__________________________</w:t>
      </w:r>
    </w:p>
    <w:p>
      <w:pPr>
        <w:spacing w:line="42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日期：_______年______月_____日</w:t>
      </w:r>
    </w:p>
    <w:p>
      <w:pPr>
        <w:jc w:val="center"/>
        <w:rPr>
          <w:color w:val="000000" w:themeColor="text1"/>
          <w:highlight w:val="none"/>
          <w14:textFill>
            <w14:solidFill>
              <w14:schemeClr w14:val="tx1"/>
            </w14:solidFill>
          </w14:textFill>
        </w:rPr>
      </w:pPr>
    </w:p>
    <w:p>
      <w:pPr>
        <w:pStyle w:val="4"/>
        <w:keepNext w:val="0"/>
        <w:keepLines w:val="0"/>
        <w:numPr>
          <w:ilvl w:val="0"/>
          <w:numId w:val="0"/>
        </w:numPr>
        <w:spacing w:before="0" w:after="0" w:line="240" w:lineRule="auto"/>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88" w:name="_Toc102987769"/>
      <w:r>
        <w:rPr>
          <w:rFonts w:hint="eastAsia" w:ascii="宋体" w:hAnsi="宋体" w:eastAsia="宋体" w:cs="宋体"/>
          <w:color w:val="000000" w:themeColor="text1"/>
          <w:sz w:val="24"/>
          <w:szCs w:val="24"/>
          <w:highlight w:val="none"/>
          <w14:textFill>
            <w14:solidFill>
              <w14:schemeClr w14:val="tx1"/>
            </w14:solidFill>
          </w14:textFill>
        </w:rPr>
        <w:t>（二）符合性自查表</w:t>
      </w:r>
      <w:bookmarkEnd w:id="88"/>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符合性自查表</w:t>
      </w:r>
    </w:p>
    <w:tbl>
      <w:tblPr>
        <w:tblStyle w:val="39"/>
        <w:tblW w:w="8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566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5669"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内容</w:t>
            </w:r>
          </w:p>
        </w:tc>
        <w:tc>
          <w:tcPr>
            <w:tcW w:w="1134"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自查</w:t>
            </w:r>
          </w:p>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结论</w:t>
            </w:r>
          </w:p>
        </w:tc>
        <w:tc>
          <w:tcPr>
            <w:tcW w:w="1134" w:type="dxa"/>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投标文件中提供有效的法定代表人证明书或由授权代表签署的投标文件中有法定代表人授权委托书的；</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投标报价确定且不高于最高限价或单价最高限价（如有）；</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投标价是唯一固定价的（ 采购文件另有特别要求的除外） </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投标文件有盖章、签字要求的部分已按要求盖章、签字；</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投标有效期符合招标文件的要求；</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投标文件完全满足招标文件中带</w:t>
            </w: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 号的条款或技术指标（如采购文件未要求递交证明材料的则以投标人在《实质性响应条款一览表》 承诺为准） ；</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投标人未与投标文件中《与投标人存在关联关系的单位名称说明》所述存在关联关系的单位共同参与本项目投标活动；</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评标期间，投标人按评标委员会的要求提交法定代表人或其授权代表签字的澄清、说明、补正并未改变投标文件的实质性内容；</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9</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标委员会认为投标人的报价没有明显低于其他通过符合性审查投标人的报价，且不影响产品质量或者诚信履约的；评标委员会认为投标人的报价明显低于其他通过符合性审查投标人的报价，有可能影响产品质量或者不能诚信履约的，应当要求其在评标现场合理的时间内提供书面说明，必要时提交相关证明材料。</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投标文件没有采购人不能接受的附加条件的；</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tabs>
                <w:tab w:val="left" w:pos="1260"/>
              </w:tabs>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1</w:t>
            </w:r>
          </w:p>
        </w:tc>
        <w:tc>
          <w:tcPr>
            <w:tcW w:w="5669" w:type="dxa"/>
            <w:vAlign w:val="center"/>
          </w:tcPr>
          <w:p>
            <w:pPr>
              <w:tabs>
                <w:tab w:val="left" w:pos="1260"/>
              </w:tabs>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法律、法规和招标文件规定的其他无效情形。</w:t>
            </w:r>
          </w:p>
        </w:tc>
        <w:tc>
          <w:tcPr>
            <w:tcW w:w="1134" w:type="dxa"/>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□通过</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□不通过</w:t>
            </w:r>
          </w:p>
        </w:tc>
        <w:tc>
          <w:tcPr>
            <w:tcW w:w="1134" w:type="dxa"/>
            <w:vAlign w:val="center"/>
          </w:tcPr>
          <w:p>
            <w:pPr>
              <w:autoSpaceDE w:val="0"/>
              <w:autoSpaceDN w:val="0"/>
              <w:adjustRightInd w:val="0"/>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第（）页</w:t>
            </w:r>
          </w:p>
        </w:tc>
      </w:tr>
    </w:tbl>
    <w:p>
      <w:pPr>
        <w:spacing w:after="120"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注：以上材料将作为投标人资格审核的重要内容之一，投标人必须严格按照其内容及序列要求在投标文件中对应如实提供，对缺漏和不符合项将会直接导致无效投标！在对应的□打“√”。</w:t>
      </w:r>
    </w:p>
    <w:p>
      <w:pPr>
        <w:spacing w:line="425" w:lineRule="auto"/>
        <w:rPr>
          <w:color w:val="000000" w:themeColor="text1"/>
          <w:highlight w:val="none"/>
          <w14:textFill>
            <w14:solidFill>
              <w14:schemeClr w14:val="tx1"/>
            </w14:solidFill>
          </w14:textFill>
        </w:rPr>
      </w:pPr>
    </w:p>
    <w:p>
      <w:pPr>
        <w:spacing w:line="42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投标人名称（全称，并加盖公章）：__________________________</w:t>
      </w:r>
    </w:p>
    <w:p>
      <w:pPr>
        <w:spacing w:line="42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投标人法定代表人或法定代表人授权代表签字或盖章：__________________________</w:t>
      </w:r>
    </w:p>
    <w:p>
      <w:pPr>
        <w:spacing w:line="425"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日期：_______年______月_____日</w:t>
      </w:r>
      <w:bookmarkStart w:id="89" w:name="_Toc102987770"/>
    </w:p>
    <w:p>
      <w:pPr>
        <w:pStyle w:val="4"/>
        <w:numPr>
          <w:ilvl w:val="0"/>
          <w:numId w:val="0"/>
        </w:numPr>
        <w:ind w:left="-2" w:leftChars="-130" w:hanging="271" w:hangingChars="113"/>
        <w:jc w:val="both"/>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（三）评审项目自查表</w:t>
      </w:r>
      <w:bookmarkEnd w:id="89"/>
    </w:p>
    <w:p>
      <w:pPr>
        <w:pStyle w:val="6"/>
        <w:rPr>
          <w:color w:val="000000" w:themeColor="text1"/>
          <w:sz w:val="21"/>
          <w:szCs w:val="21"/>
          <w:highlight w:val="none"/>
          <w14:textFill>
            <w14:solidFill>
              <w14:schemeClr w14:val="tx1"/>
            </w14:solidFill>
          </w14:textFill>
        </w:rPr>
      </w:pPr>
      <w:bookmarkStart w:id="90" w:name="_Toc102987771"/>
      <w:r>
        <w:rPr>
          <w:color w:val="000000" w:themeColor="text1"/>
          <w:sz w:val="21"/>
          <w:szCs w:val="21"/>
          <w:highlight w:val="none"/>
          <w14:textFill>
            <w14:solidFill>
              <w14:schemeClr w14:val="tx1"/>
            </w14:solidFill>
          </w14:textFill>
        </w:rPr>
        <w:t>1.技术评价表自查表</w:t>
      </w:r>
      <w:bookmarkEnd w:id="90"/>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1928"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评审项目</w:t>
            </w:r>
          </w:p>
        </w:tc>
        <w:tc>
          <w:tcPr>
            <w:tcW w:w="3328"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评审内容</w:t>
            </w: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rPr>
                <w:color w:val="000000" w:themeColor="text1"/>
                <w:highlight w:val="none"/>
                <w14:textFill>
                  <w14:solidFill>
                    <w14:schemeClr w14:val="tx1"/>
                  </w14:solidFill>
                </w14:textFill>
              </w:rPr>
            </w:pPr>
          </w:p>
        </w:tc>
      </w:tr>
    </w:tbl>
    <w:p>
      <w:pPr>
        <w:spacing w:line="360" w:lineRule="auto"/>
        <w:ind w:left="424" w:hanging="424" w:hangingChars="202"/>
        <w:rPr>
          <w:color w:val="000000" w:themeColor="text1"/>
          <w:highlight w:val="none"/>
          <w:lang w:val="en-GB"/>
          <w14:textFill>
            <w14:solidFill>
              <w14:schemeClr w14:val="tx1"/>
            </w14:solidFill>
          </w14:textFill>
        </w:rPr>
      </w:pPr>
      <w:r>
        <w:rPr>
          <w:color w:val="000000" w:themeColor="text1"/>
          <w:highlight w:val="none"/>
          <w:lang w:val="en-GB"/>
          <w14:textFill>
            <w14:solidFill>
              <w14:schemeClr w14:val="tx1"/>
            </w14:solidFill>
          </w14:textFill>
        </w:rPr>
        <w:t>注：</w:t>
      </w:r>
      <w:r>
        <w:rPr>
          <w:color w:val="000000" w:themeColor="text1"/>
          <w:highlight w:val="none"/>
          <w14:textFill>
            <w14:solidFill>
              <w14:schemeClr w14:val="tx1"/>
            </w14:solidFill>
          </w14:textFill>
        </w:rPr>
        <w:t>投标人应根据《评审表》的技术部分各项内容填写此表</w:t>
      </w:r>
      <w:r>
        <w:rPr>
          <w:color w:val="000000" w:themeColor="text1"/>
          <w:highlight w:val="none"/>
          <w:lang w:val="en-GB"/>
          <w14:textFill>
            <w14:solidFill>
              <w14:schemeClr w14:val="tx1"/>
            </w14:solidFill>
          </w14:textFill>
        </w:rPr>
        <w:t>。</w:t>
      </w:r>
    </w:p>
    <w:p>
      <w:pPr>
        <w:pStyle w:val="6"/>
        <w:rPr>
          <w:color w:val="000000" w:themeColor="text1"/>
          <w:sz w:val="21"/>
          <w:szCs w:val="21"/>
          <w:highlight w:val="none"/>
          <w14:textFill>
            <w14:solidFill>
              <w14:schemeClr w14:val="tx1"/>
            </w14:solidFill>
          </w14:textFill>
        </w:rPr>
      </w:pPr>
      <w:bookmarkStart w:id="91" w:name="_Toc102987772"/>
      <w:r>
        <w:rPr>
          <w:color w:val="000000" w:themeColor="text1"/>
          <w:sz w:val="21"/>
          <w:szCs w:val="21"/>
          <w:highlight w:val="none"/>
          <w14:textFill>
            <w14:solidFill>
              <w14:schemeClr w14:val="tx1"/>
            </w14:solidFill>
          </w14:textFill>
        </w:rPr>
        <w:t>2.商务评价表自查表</w:t>
      </w:r>
      <w:bookmarkEnd w:id="91"/>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28"/>
        <w:gridCol w:w="3328"/>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1928"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评审项目</w:t>
            </w:r>
          </w:p>
        </w:tc>
        <w:tc>
          <w:tcPr>
            <w:tcW w:w="3328"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评审内容</w:t>
            </w: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2"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928" w:type="dxa"/>
            <w:vAlign w:val="center"/>
          </w:tcPr>
          <w:p>
            <w:pPr>
              <w:jc w:val="center"/>
              <w:rPr>
                <w:color w:val="000000" w:themeColor="text1"/>
                <w:highlight w:val="none"/>
                <w14:textFill>
                  <w14:solidFill>
                    <w14:schemeClr w14:val="tx1"/>
                  </w14:solidFill>
                </w14:textFill>
              </w:rPr>
            </w:pPr>
          </w:p>
        </w:tc>
        <w:tc>
          <w:tcPr>
            <w:tcW w:w="3328" w:type="dxa"/>
            <w:vAlign w:val="center"/>
          </w:tcPr>
          <w:p>
            <w:pPr>
              <w:jc w:val="center"/>
              <w:rPr>
                <w:color w:val="000000" w:themeColor="text1"/>
                <w:highlight w:val="none"/>
                <w14:textFill>
                  <w14:solidFill>
                    <w14:schemeClr w14:val="tx1"/>
                  </w14:solidFill>
                </w14:textFill>
              </w:rPr>
            </w:pPr>
          </w:p>
        </w:tc>
        <w:tc>
          <w:tcPr>
            <w:tcW w:w="3025" w:type="dxa"/>
            <w:vAlign w:val="center"/>
          </w:tcPr>
          <w:p>
            <w:pPr>
              <w:rPr>
                <w:color w:val="000000" w:themeColor="text1"/>
                <w:highlight w:val="none"/>
                <w14:textFill>
                  <w14:solidFill>
                    <w14:schemeClr w14:val="tx1"/>
                  </w14:solidFill>
                </w14:textFill>
              </w:rPr>
            </w:pPr>
          </w:p>
        </w:tc>
      </w:tr>
    </w:tbl>
    <w:p>
      <w:pPr>
        <w:spacing w:line="360" w:lineRule="auto"/>
        <w:ind w:left="424" w:hanging="424" w:hangingChars="202"/>
        <w:rPr>
          <w:color w:val="000000" w:themeColor="text1"/>
          <w:highlight w:val="none"/>
          <w:lang w:val="en-GB"/>
          <w14:textFill>
            <w14:solidFill>
              <w14:schemeClr w14:val="tx1"/>
            </w14:solidFill>
          </w14:textFill>
        </w:rPr>
      </w:pPr>
      <w:r>
        <w:rPr>
          <w:color w:val="000000" w:themeColor="text1"/>
          <w:highlight w:val="none"/>
          <w:lang w:val="en-GB"/>
          <w14:textFill>
            <w14:solidFill>
              <w14:schemeClr w14:val="tx1"/>
            </w14:solidFill>
          </w14:textFill>
        </w:rPr>
        <w:t>注：投标人应根据《评审表》的商务部分各项内容填写此表。</w:t>
      </w:r>
    </w:p>
    <w:p>
      <w:pPr>
        <w:pStyle w:val="6"/>
        <w:rPr>
          <w:color w:val="000000" w:themeColor="text1"/>
          <w:sz w:val="21"/>
          <w:szCs w:val="21"/>
          <w:highlight w:val="none"/>
          <w14:textFill>
            <w14:solidFill>
              <w14:schemeClr w14:val="tx1"/>
            </w14:solidFill>
          </w14:textFill>
        </w:rPr>
      </w:pPr>
      <w:bookmarkStart w:id="92" w:name="_Toc102987773"/>
      <w:r>
        <w:rPr>
          <w:color w:val="000000" w:themeColor="text1"/>
          <w:sz w:val="21"/>
          <w:szCs w:val="21"/>
          <w:highlight w:val="none"/>
          <w14:textFill>
            <w14:solidFill>
              <w14:schemeClr w14:val="tx1"/>
            </w14:solidFill>
          </w14:textFill>
        </w:rPr>
        <w:t>3.价格评价自查表</w:t>
      </w:r>
      <w:bookmarkEnd w:id="92"/>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83"/>
        <w:gridCol w:w="343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2"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5416" w:type="dxa"/>
            <w:gridSpan w:val="2"/>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评审分项</w:t>
            </w:r>
          </w:p>
        </w:tc>
        <w:tc>
          <w:tcPr>
            <w:tcW w:w="3120"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2"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5416" w:type="dxa"/>
            <w:gridSpan w:val="2"/>
            <w:vAlign w:val="center"/>
          </w:tcPr>
          <w:p>
            <w:pPr>
              <w:adjustRightInd w:val="0"/>
              <w:snapToGrid w:val="0"/>
              <w:jc w:val="center"/>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开标一览表(报价表)</w:t>
            </w:r>
          </w:p>
        </w:tc>
        <w:tc>
          <w:tcPr>
            <w:tcW w:w="3120"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52"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5416" w:type="dxa"/>
            <w:gridSpan w:val="2"/>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投标分项报价明细表</w:t>
            </w:r>
          </w:p>
        </w:tc>
        <w:tc>
          <w:tcPr>
            <w:tcW w:w="3120"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52" w:type="dxa"/>
            <w:vMerge w:val="restart"/>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1983" w:type="dxa"/>
            <w:vMerge w:val="restart"/>
            <w:vAlign w:val="center"/>
          </w:tcPr>
          <w:p>
            <w:pPr>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小、微型企业及节能环保价格扣除</w:t>
            </w:r>
          </w:p>
        </w:tc>
        <w:tc>
          <w:tcPr>
            <w:tcW w:w="3433" w:type="dxa"/>
            <w:vAlign w:val="center"/>
          </w:tcPr>
          <w:p>
            <w:pPr>
              <w:adjustRightInd w:val="0"/>
              <w:snapToGrid w:val="0"/>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中小企业声明函（可选）</w:t>
            </w:r>
          </w:p>
        </w:tc>
        <w:tc>
          <w:tcPr>
            <w:tcW w:w="3120"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52" w:type="dxa"/>
            <w:vMerge w:val="continue"/>
            <w:vAlign w:val="center"/>
          </w:tcPr>
          <w:p>
            <w:pPr>
              <w:adjustRightInd/>
              <w:snapToGrid/>
              <w:jc w:val="left"/>
              <w:rPr>
                <w:color w:val="000000" w:themeColor="text1"/>
                <w:highlight w:val="none"/>
                <w14:textFill>
                  <w14:solidFill>
                    <w14:schemeClr w14:val="tx1"/>
                  </w14:solidFill>
                </w14:textFill>
              </w:rPr>
            </w:pPr>
          </w:p>
        </w:tc>
        <w:tc>
          <w:tcPr>
            <w:tcW w:w="1983" w:type="dxa"/>
            <w:vMerge w:val="continue"/>
            <w:vAlign w:val="center"/>
          </w:tcPr>
          <w:p>
            <w:pPr>
              <w:snapToGrid/>
              <w:jc w:val="left"/>
              <w:rPr>
                <w:color w:val="000000" w:themeColor="text1"/>
                <w:highlight w:val="none"/>
                <w14:textFill>
                  <w14:solidFill>
                    <w14:schemeClr w14:val="tx1"/>
                  </w14:solidFill>
                </w14:textFill>
              </w:rPr>
            </w:pPr>
          </w:p>
        </w:tc>
        <w:tc>
          <w:tcPr>
            <w:tcW w:w="3433" w:type="dxa"/>
            <w:vAlign w:val="center"/>
          </w:tcPr>
          <w:p>
            <w:pPr>
              <w:adjustRightInd w:val="0"/>
              <w:snapToGrid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残疾人福利性单位声明函（可选）</w:t>
            </w:r>
          </w:p>
        </w:tc>
        <w:tc>
          <w:tcPr>
            <w:tcW w:w="3120"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52" w:type="dxa"/>
            <w:vMerge w:val="continue"/>
            <w:vAlign w:val="center"/>
          </w:tcPr>
          <w:p>
            <w:pPr>
              <w:pStyle w:val="49"/>
              <w:numPr>
                <w:ilvl w:val="0"/>
                <w:numId w:val="5"/>
              </w:numPr>
              <w:adjustRightInd w:val="0"/>
              <w:snapToGrid w:val="0"/>
              <w:spacing w:line="240" w:lineRule="auto"/>
              <w:ind w:left="420" w:hanging="420" w:firstLineChars="0"/>
              <w:rPr>
                <w:color w:val="000000" w:themeColor="text1"/>
                <w:highlight w:val="none"/>
                <w14:textFill>
                  <w14:solidFill>
                    <w14:schemeClr w14:val="tx1"/>
                  </w14:solidFill>
                </w14:textFill>
              </w:rPr>
            </w:pPr>
          </w:p>
        </w:tc>
        <w:tc>
          <w:tcPr>
            <w:tcW w:w="1983" w:type="dxa"/>
            <w:vMerge w:val="continue"/>
            <w:vAlign w:val="center"/>
          </w:tcPr>
          <w:p>
            <w:pPr>
              <w:snapToGrid/>
              <w:jc w:val="left"/>
              <w:rPr>
                <w:color w:val="000000" w:themeColor="text1"/>
                <w:highlight w:val="none"/>
                <w14:textFill>
                  <w14:solidFill>
                    <w14:schemeClr w14:val="tx1"/>
                  </w14:solidFill>
                </w14:textFill>
              </w:rPr>
            </w:pPr>
          </w:p>
        </w:tc>
        <w:tc>
          <w:tcPr>
            <w:tcW w:w="3433" w:type="dxa"/>
            <w:vAlign w:val="center"/>
          </w:tcPr>
          <w:p>
            <w:pPr>
              <w:adjustRightInd w:val="0"/>
              <w:snapToGrid w:val="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政策适用性说明（可选）</w:t>
            </w:r>
          </w:p>
        </w:tc>
        <w:tc>
          <w:tcPr>
            <w:tcW w:w="3120" w:type="dxa"/>
            <w:vAlign w:val="center"/>
          </w:tcPr>
          <w:p>
            <w:pPr>
              <w:adjustRightInd w:val="0"/>
              <w:snapToGrid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见投标文件第（）页</w:t>
            </w:r>
          </w:p>
        </w:tc>
      </w:tr>
    </w:tbl>
    <w:p>
      <w:pPr>
        <w:pStyle w:val="5"/>
        <w:ind w:firstLine="0" w:firstLineChars="0"/>
        <w:rPr>
          <w:color w:val="000000" w:themeColor="text1"/>
          <w:highlight w:val="none"/>
          <w14:textFill>
            <w14:solidFill>
              <w14:schemeClr w14:val="tx1"/>
            </w14:solidFill>
          </w14:textFill>
        </w:rPr>
      </w:pPr>
    </w:p>
    <w:p>
      <w:pPr>
        <w:pStyle w:val="5"/>
        <w:ind w:firstLine="0" w:firstLineChars="0"/>
        <w:rPr>
          <w:color w:val="000000" w:themeColor="text1"/>
          <w:highlight w:val="none"/>
          <w14:textFill>
            <w14:solidFill>
              <w14:schemeClr w14:val="tx1"/>
            </w14:solidFill>
          </w14:textFill>
        </w:rPr>
      </w:pPr>
    </w:p>
    <w:p>
      <w:pPr>
        <w:pStyle w:val="4"/>
        <w:keepNext w:val="0"/>
        <w:keepLines w:val="0"/>
        <w:numPr>
          <w:ilvl w:val="0"/>
          <w:numId w:val="0"/>
        </w:numPr>
        <w:spacing w:before="0" w:after="0" w:line="240" w:lineRule="auto"/>
        <w:jc w:val="left"/>
        <w:rPr>
          <w:rFonts w:ascii="宋体" w:hAnsi="宋体" w:eastAsia="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93" w:name="_Toc102987774"/>
      <w:r>
        <w:rPr>
          <w:rFonts w:hint="eastAsia" w:ascii="宋体" w:hAnsi="宋体" w:eastAsia="宋体" w:cs="宋体"/>
          <w:color w:val="000000" w:themeColor="text1"/>
          <w:sz w:val="24"/>
          <w:szCs w:val="24"/>
          <w:highlight w:val="none"/>
          <w14:textFill>
            <w14:solidFill>
              <w14:schemeClr w14:val="tx1"/>
            </w14:solidFill>
          </w14:textFill>
        </w:rPr>
        <w:t>（四）附件资料</w:t>
      </w:r>
      <w:bookmarkEnd w:id="93"/>
    </w:p>
    <w:p>
      <w:pPr>
        <w:pStyle w:val="6"/>
        <w:rPr>
          <w:rFonts w:ascii="宋体" w:hAnsi="宋体" w:cs="宋体"/>
          <w:color w:val="000000" w:themeColor="text1"/>
          <w:sz w:val="24"/>
          <w:szCs w:val="24"/>
          <w:highlight w:val="none"/>
          <w14:textFill>
            <w14:solidFill>
              <w14:schemeClr w14:val="tx1"/>
            </w14:solidFill>
          </w14:textFill>
        </w:rPr>
      </w:pPr>
      <w:bookmarkStart w:id="94" w:name="_Toc102987775"/>
      <w:r>
        <w:rPr>
          <w:rFonts w:hint="eastAsia" w:ascii="宋体" w:hAnsi="宋体" w:cs="宋体"/>
          <w:color w:val="000000" w:themeColor="text1"/>
          <w:sz w:val="24"/>
          <w:szCs w:val="24"/>
          <w:highlight w:val="none"/>
          <w14:textFill>
            <w14:solidFill>
              <w14:schemeClr w14:val="tx1"/>
            </w14:solidFill>
          </w14:textFill>
        </w:rPr>
        <w:t>1</w:t>
      </w:r>
      <w:bookmarkEnd w:id="77"/>
      <w:bookmarkEnd w:id="78"/>
      <w:r>
        <w:rPr>
          <w:rFonts w:hint="eastAsia" w:ascii="宋体" w:hAnsi="宋体" w:cs="宋体"/>
          <w:color w:val="000000" w:themeColor="text1"/>
          <w:sz w:val="24"/>
          <w:szCs w:val="24"/>
          <w:highlight w:val="none"/>
          <w14:textFill>
            <w14:solidFill>
              <w14:schemeClr w14:val="tx1"/>
            </w14:solidFill>
          </w14:textFill>
        </w:rPr>
        <w:t>.资格证明材料</w:t>
      </w:r>
      <w:bookmarkEnd w:id="94"/>
    </w:p>
    <w:p>
      <w:pPr>
        <w:pStyle w:val="7"/>
        <w:rPr>
          <w:rFonts w:ascii="宋体" w:hAnsi="宋体" w:eastAsia="宋体" w:cs="宋体"/>
          <w:color w:val="000000" w:themeColor="text1"/>
          <w:sz w:val="24"/>
          <w:szCs w:val="24"/>
          <w:highlight w:val="none"/>
          <w14:textFill>
            <w14:solidFill>
              <w14:schemeClr w14:val="tx1"/>
            </w14:solidFill>
          </w14:textFill>
        </w:rPr>
      </w:pPr>
      <w:bookmarkStart w:id="95" w:name="_Toc342615448"/>
      <w:bookmarkStart w:id="96" w:name="_Toc28530"/>
      <w:bookmarkStart w:id="97" w:name="_Toc2949"/>
      <w:bookmarkStart w:id="98" w:name="_Toc102987776"/>
      <w:r>
        <w:rPr>
          <w:rFonts w:hint="eastAsia" w:ascii="宋体" w:hAnsi="宋体" w:eastAsia="宋体" w:cs="宋体"/>
          <w:color w:val="000000" w:themeColor="text1"/>
          <w:sz w:val="24"/>
          <w:szCs w:val="24"/>
          <w:highlight w:val="none"/>
          <w14:textFill>
            <w14:solidFill>
              <w14:schemeClr w14:val="tx1"/>
            </w14:solidFill>
          </w14:textFill>
        </w:rPr>
        <w:t>1.1投标函</w:t>
      </w:r>
      <w:bookmarkEnd w:id="95"/>
      <w:bookmarkEnd w:id="96"/>
      <w:bookmarkEnd w:id="97"/>
      <w:r>
        <w:rPr>
          <w:rFonts w:hint="eastAsia" w:ascii="宋体" w:hAnsi="宋体" w:eastAsia="宋体" w:cs="宋体"/>
          <w:color w:val="000000" w:themeColor="text1"/>
          <w:sz w:val="24"/>
          <w:szCs w:val="24"/>
          <w:highlight w:val="none"/>
          <w14:textFill>
            <w14:solidFill>
              <w14:schemeClr w14:val="tx1"/>
            </w14:solidFill>
          </w14:textFill>
        </w:rPr>
        <w:t>格式</w:t>
      </w:r>
      <w:bookmarkEnd w:id="98"/>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投 标 函</w:t>
      </w:r>
    </w:p>
    <w:p>
      <w:pPr>
        <w:jc w:val="center"/>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u w:val="single"/>
          <w14:textFill>
            <w14:solidFill>
              <w14:schemeClr w14:val="tx1"/>
            </w14:solidFill>
          </w14:textFill>
        </w:rPr>
        <w:t>致（采购人）：</w:t>
      </w:r>
      <w:r>
        <w:rPr>
          <w:color w:val="000000" w:themeColor="text1"/>
          <w:highlight w:val="none"/>
          <w14:textFill>
            <w14:solidFill>
              <w14:schemeClr w14:val="tx1"/>
            </w14:solidFill>
          </w14:textFill>
        </w:rPr>
        <w:t xml:space="preserve">        </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根据贵方（项目名称）</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项目</w:t>
      </w:r>
      <w:r>
        <w:rPr>
          <w:color w:val="000000" w:themeColor="text1"/>
          <w:highlight w:val="none"/>
          <w:u w:val="single"/>
          <w14:textFill>
            <w14:solidFill>
              <w14:schemeClr w14:val="tx1"/>
            </w14:solidFill>
          </w14:textFill>
        </w:rPr>
        <w:t>（项目编号）</w:t>
      </w:r>
      <w:r>
        <w:rPr>
          <w:color w:val="000000" w:themeColor="text1"/>
          <w:highlight w:val="none"/>
          <w14:textFill>
            <w14:solidFill>
              <w14:schemeClr w14:val="tx1"/>
            </w14:solidFill>
          </w14:textFill>
        </w:rPr>
        <w:t xml:space="preserve">             招标文件，签字代表</w:t>
      </w:r>
      <w:r>
        <w:rPr>
          <w:color w:val="000000" w:themeColor="text1"/>
          <w:highlight w:val="none"/>
          <w:u w:val="single"/>
          <w14:textFill>
            <w14:solidFill>
              <w14:schemeClr w14:val="tx1"/>
            </w14:solidFill>
          </w14:textFill>
        </w:rPr>
        <w:t xml:space="preserve">（姓名）        </w:t>
      </w:r>
      <w:r>
        <w:rPr>
          <w:color w:val="000000" w:themeColor="text1"/>
          <w:highlight w:val="none"/>
          <w14:textFill>
            <w14:solidFill>
              <w14:schemeClr w14:val="tx1"/>
            </w14:solidFill>
          </w14:textFill>
        </w:rPr>
        <w:t>经正式授权并代表投标人（投标人名称、地址）       提交以下投标文件正本</w:t>
      </w:r>
      <w:r>
        <w:rPr>
          <w:b/>
          <w:color w:val="000000" w:themeColor="text1"/>
          <w:highlight w:val="none"/>
          <w:u w:val="single"/>
          <w14:textFill>
            <w14:solidFill>
              <w14:schemeClr w14:val="tx1"/>
            </w14:solidFill>
          </w14:textFill>
        </w:rPr>
        <w:t>一</w:t>
      </w:r>
      <w:r>
        <w:rPr>
          <w:color w:val="000000" w:themeColor="text1"/>
          <w:highlight w:val="none"/>
          <w:u w:val="single"/>
          <w14:textFill>
            <w14:solidFill>
              <w14:schemeClr w14:val="tx1"/>
            </w14:solidFill>
          </w14:textFill>
        </w:rPr>
        <w:t>份</w:t>
      </w:r>
      <w:r>
        <w:rPr>
          <w:color w:val="000000" w:themeColor="text1"/>
          <w:highlight w:val="none"/>
          <w14:textFill>
            <w14:solidFill>
              <w14:schemeClr w14:val="tx1"/>
            </w14:solidFill>
          </w14:textFill>
        </w:rPr>
        <w:t>及副本</w:t>
      </w:r>
      <w:r>
        <w:rPr>
          <w:b/>
          <w:color w:val="000000" w:themeColor="text1"/>
          <w:highlight w:val="none"/>
          <w14:textFill>
            <w14:solidFill>
              <w14:schemeClr w14:val="tx1"/>
            </w14:solidFill>
          </w14:textFill>
        </w:rPr>
        <w:t xml:space="preserve"> </w:t>
      </w:r>
      <w:r>
        <w:rPr>
          <w:rFonts w:hint="eastAsia"/>
          <w:b/>
          <w:color w:val="000000" w:themeColor="text1"/>
          <w:highlight w:val="none"/>
          <w:u w:val="single"/>
          <w14:textFill>
            <w14:solidFill>
              <w14:schemeClr w14:val="tx1"/>
            </w14:solidFill>
          </w14:textFill>
        </w:rPr>
        <w:t>五份</w:t>
      </w:r>
      <w:r>
        <w:rPr>
          <w:color w:val="000000" w:themeColor="text1"/>
          <w:highlight w:val="none"/>
          <w14:textFill>
            <w14:solidFill>
              <w14:schemeClr w14:val="tx1"/>
            </w14:solidFill>
          </w14:textFill>
        </w:rPr>
        <w:t xml:space="preserve">。 </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签字人代表以此函申明并同意如下：</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1.所附投标报价表规定的应提交和交付的货物及服务的投标总价为货交采购人指定地</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点（包括安装）价格，供应商应报含税人民币价。</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（1）投标人将按招标文件的规定履行合同责任和义务。</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（2）投标人已详细审查全部招标文件，包括修改通知、澄清、补充说明等（如果有</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的话）。我们完全理解并同意放弃对这方面有不明及误解的权力。</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 投标人之投标有效期为自开标之日起90 个日历日。</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 投标人保证遵守招标文件的全部规定，所提交的材料中所含的信息均为真实、准确、完整，且不具有任何误导性，并同意提供按照采购人可能的要求的与该项目投标有关的一切数据或资料。</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我方理解贵方不一定接受最低投标报价或收到的任何报价，并承诺仅在有证据证明拟中标人存在提供虚假材料谋取中标资格或中标价格不合理高于其近期可比市场价格、与贵方参与该采购项目的相关人员及其它投标人恶意串通、向贵方参与该采购项目的相关人员提供不正当利益的情形下，保留提出投诉的权利。</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3.根据投标人须知的规定，我方承诺：</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（1）与采购人和采购代理机构无任何的隶属关系或者其他利害关系；</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（2）与采购单位聘请的为此项目提供咨询服务的公司及任何附属机构均无关联；</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4.与本投标有关的一切正式往来信函请寄：</w:t>
      </w: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地址：</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传真：</w:t>
      </w:r>
      <w:r>
        <w:rPr>
          <w:color w:val="000000" w:themeColor="text1"/>
          <w:szCs w:val="21"/>
          <w:highlight w:val="none"/>
          <w14:textFill>
            <w14:solidFill>
              <w14:schemeClr w14:val="tx1"/>
            </w14:solidFill>
          </w14:textFill>
        </w:rPr>
        <w:t>______________________</w:t>
      </w:r>
      <w:r>
        <w:rPr>
          <w:color w:val="000000" w:themeColor="text1"/>
          <w:highlight w:val="none"/>
          <w14:textFill>
            <w14:solidFill>
              <w14:schemeClr w14:val="tx1"/>
            </w14:solidFill>
          </w14:textFill>
        </w:rPr>
        <w:t xml:space="preserve">          </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电话：</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电子邮件：</w:t>
      </w:r>
      <w:r>
        <w:rPr>
          <w:color w:val="000000" w:themeColor="text1"/>
          <w:szCs w:val="21"/>
          <w:highlight w:val="none"/>
          <w14:textFill>
            <w14:solidFill>
              <w14:schemeClr w14:val="tx1"/>
            </w14:solidFill>
          </w14:textFill>
        </w:rPr>
        <w:t>__________________</w:t>
      </w:r>
      <w:r>
        <w:rPr>
          <w:color w:val="000000" w:themeColor="text1"/>
          <w:highlight w:val="none"/>
          <w14:textFill>
            <w14:solidFill>
              <w14:schemeClr w14:val="tx1"/>
            </w14:solidFill>
          </w14:textFill>
        </w:rPr>
        <w:t xml:space="preserve">                                 </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投标人名称（全称，并加盖公章）：__________________________</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法定代表人或投标人授权代表签字（或签字章）：</w:t>
      </w:r>
      <w:r>
        <w:rPr>
          <w:color w:val="000000" w:themeColor="text1"/>
          <w:szCs w:val="21"/>
          <w:highlight w:val="none"/>
          <w14:textFill>
            <w14:solidFill>
              <w14:schemeClr w14:val="tx1"/>
            </w14:solidFill>
          </w14:textFill>
        </w:rPr>
        <w:t>______________</w:t>
      </w:r>
      <w:r>
        <w:rPr>
          <w:color w:val="000000" w:themeColor="text1"/>
          <w:highlight w:val="none"/>
          <w14:textFill>
            <w14:solidFill>
              <w14:schemeClr w14:val="tx1"/>
            </w14:solidFill>
          </w14:textFill>
        </w:rPr>
        <w:t xml:space="preserve"> </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日期：_______年______月_____日</w:t>
      </w:r>
    </w:p>
    <w:p>
      <w:pPr>
        <w:pStyle w:val="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99" w:name="_Toc102987777"/>
      <w:bookmarkStart w:id="100" w:name="_Toc17512"/>
      <w:bookmarkStart w:id="101" w:name="_Toc11364"/>
      <w:bookmarkStart w:id="102" w:name="_Toc342615449"/>
      <w:r>
        <w:rPr>
          <w:rFonts w:hint="eastAsia" w:ascii="宋体" w:hAnsi="宋体" w:eastAsia="宋体" w:cs="宋体"/>
          <w:color w:val="000000" w:themeColor="text1"/>
          <w:sz w:val="24"/>
          <w:szCs w:val="24"/>
          <w:highlight w:val="none"/>
          <w14:textFill>
            <w14:solidFill>
              <w14:schemeClr w14:val="tx1"/>
            </w14:solidFill>
          </w14:textFill>
        </w:rPr>
        <w:t>1.2投标人声明函格式</w:t>
      </w:r>
      <w:bookmarkEnd w:id="99"/>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投标人声明函</w:t>
      </w:r>
    </w:p>
    <w:p>
      <w:pPr>
        <w:jc w:val="center"/>
        <w:rPr>
          <w:color w:val="000000" w:themeColor="text1"/>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致（采购人）：        </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本单位就参加</w:t>
      </w:r>
      <w:r>
        <w:rPr>
          <w:rFonts w:hint="eastAsia"/>
          <w:color w:val="000000" w:themeColor="text1"/>
          <w:highlight w:val="none"/>
          <w14:textFill>
            <w14:solidFill>
              <w14:schemeClr w14:val="tx1"/>
            </w14:solidFill>
          </w14:textFill>
        </w:rPr>
        <w:t>中山大学附属第三医院超高分辨共聚焦扫描显微镜维保服务采购项目</w:t>
      </w:r>
      <w:r>
        <w:rPr>
          <w:color w:val="000000" w:themeColor="text1"/>
          <w:highlight w:val="none"/>
          <w14:textFill>
            <w14:solidFill>
              <w14:schemeClr w14:val="tx1"/>
            </w14:solidFill>
          </w14:textFill>
        </w:rPr>
        <w:t>项目投标工作，作出郑重承诺：</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一、本单位保证投标材料及其后提供的一切材料都是真实的。</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二、本单位保证不与其他单位围标、串标，不出让投标资格，不向采购用户单位和个人、</w:t>
      </w:r>
      <w:r>
        <w:rPr>
          <w:rFonts w:hint="eastAsia"/>
          <w:color w:val="000000" w:themeColor="text1"/>
          <w:highlight w:val="none"/>
          <w14:textFill>
            <w14:solidFill>
              <w14:schemeClr w14:val="tx1"/>
            </w14:solidFill>
          </w14:textFill>
        </w:rPr>
        <w:t>中山大学附属第三医院招标采购</w:t>
      </w:r>
      <w:r>
        <w:rPr>
          <w:color w:val="000000" w:themeColor="text1"/>
          <w:highlight w:val="none"/>
          <w14:textFill>
            <w14:solidFill>
              <w14:schemeClr w14:val="tx1"/>
            </w14:solidFill>
          </w14:textFill>
        </w:rPr>
        <w:t>中心工作人员、监督机构、评审专家及其他参与采购活动的人员提供不正当利益。</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本单位没有被依法暂停或者取消投标资格，没有被责令停产停业、暂扣或者吊销许可证、暂扣或者吊销执照，没有进入清算程序，或被宣告破产，或其他丧失履约能力的情形，没有在最近三年内发生重大质量问题（以相关行业主管部门的行政处罚决定或司法机关出具的有关法律文书为准）；投标人或其法定代表人、拟委任的项目负责人没有在近三年内有行贿犯罪行为的，没有在近三年内弄虚作假骗取中标/围标串标行为（以行政主管部门或法院或检察院书面认定为准）。</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本单位承诺在本项目响应截止日前，没有被工商行政管理机关在全国企业信用信息公示系统（http://gsxt.gdgs.gov.cn/）中列入严重违法失信企业名单；没有被“信用中国”网站（http://www.creditchina.gov.cn）或各级信用信息共享平台中列入失信被执行人名单和</w:t>
      </w:r>
      <w:r>
        <w:rPr>
          <w:rFonts w:hint="eastAsia"/>
          <w:color w:val="000000" w:themeColor="text1"/>
          <w:highlight w:val="none"/>
          <w14:textFill>
            <w14:solidFill>
              <w14:schemeClr w14:val="tx1"/>
            </w14:solidFill>
          </w14:textFill>
        </w:rPr>
        <w:t>重大税收违法失信主体</w:t>
      </w:r>
      <w:r>
        <w:rPr>
          <w:color w:val="000000" w:themeColor="text1"/>
          <w:highlight w:val="none"/>
          <w14:textFill>
            <w14:solidFill>
              <w14:schemeClr w14:val="tx1"/>
            </w14:solidFill>
          </w14:textFill>
        </w:rPr>
        <w:t>名单；没有被“中国政府采购网”网站(http://www.ccgp.gov.cn)列入政府采购严重违法失信行为记录名单（处罚期限尚未届满的）。</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本单位及其有管理或隶属关系的机构，没有参加本项目招标文件的编写工作；我单位与本次招标的招标代理没有隶属关系或其他利害关系。本单位及其有管理、隶属关系或利害关系的机构跟采购人、项目参与人员没有利害关系。</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六、以下与</w:t>
      </w:r>
      <w:r>
        <w:rPr>
          <w:color w:val="000000" w:themeColor="text1"/>
          <w:highlight w:val="none"/>
          <w14:textFill>
            <w14:solidFill>
              <w14:schemeClr w14:val="tx1"/>
            </w14:solidFill>
          </w14:textFill>
        </w:rPr>
        <w:t>本单位有管理、隶属关系或利害关系的机构，没有同时参加此次投标活动</w:t>
      </w:r>
      <w:r>
        <w:rPr>
          <w:rFonts w:hint="eastAsia"/>
          <w:color w:val="000000" w:themeColor="text1"/>
          <w:highlight w:val="none"/>
          <w14:textFill>
            <w14:solidFill>
              <w14:schemeClr w14:val="tx1"/>
            </w14:solidFill>
          </w14:textFill>
        </w:rPr>
        <w:t>：</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（1）法定代表人或单位负责人为同一人或者存在直接控股、管理关系的投标人。</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（2）为采购项目提供整体设计、规范编制或者项目管理、监理、检测等服务的投标人。</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w:t>
      </w:r>
      <w:r>
        <w:rPr>
          <w:color w:val="000000" w:themeColor="text1"/>
          <w:highlight w:val="none"/>
          <w14:textFill>
            <w14:solidFill>
              <w14:schemeClr w14:val="tx1"/>
            </w14:solidFill>
          </w14:textFill>
        </w:rPr>
        <w:t>、如果我单位成交，我们将保证按照你单位认可的条件，以本招标文件内写明的金额、方式和时间要求提交履约保证金（如有）。</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w:t>
      </w:r>
      <w:r>
        <w:rPr>
          <w:color w:val="000000" w:themeColor="text1"/>
          <w:highlight w:val="none"/>
          <w14:textFill>
            <w14:solidFill>
              <w14:schemeClr w14:val="tx1"/>
            </w14:solidFill>
          </w14:textFill>
        </w:rPr>
        <w:t>、我单位同意投标有效期为90 天，并在投标有效期内严格遵守本投标书的各项承诺。在此期限届满之前，本投标文件始终对我单位具有约束力，并随时接受成交。</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九</w:t>
      </w:r>
      <w:r>
        <w:rPr>
          <w:color w:val="000000" w:themeColor="text1"/>
          <w:highlight w:val="none"/>
          <w14:textFill>
            <w14:solidFill>
              <w14:schemeClr w14:val="tx1"/>
            </w14:solidFill>
          </w14:textFill>
        </w:rPr>
        <w:t>、在合同正式签署生效之前，本投标文件连同你单位的项目中标通知书将构成我们双方之间共同遵守的文件，对双方具有约束力。</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十</w:t>
      </w:r>
      <w:r>
        <w:rPr>
          <w:color w:val="000000" w:themeColor="text1"/>
          <w:highlight w:val="none"/>
          <w14:textFill>
            <w14:solidFill>
              <w14:schemeClr w14:val="tx1"/>
            </w14:solidFill>
          </w14:textFill>
        </w:rPr>
        <w:t>、我单位承诺不将该项目相关信息透露给第三方，如有发生，愿意承担相关法律责任。</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十一</w:t>
      </w:r>
      <w:r>
        <w:rPr>
          <w:color w:val="000000" w:themeColor="text1"/>
          <w:highlight w:val="none"/>
          <w14:textFill>
            <w14:solidFill>
              <w14:schemeClr w14:val="tx1"/>
            </w14:solidFill>
          </w14:textFill>
        </w:rPr>
        <w:t>、我们理解，你单位不一定接受我单位或其他任何一家单位的任何投标。同时也理解，你单位不负担我单位任何投标费用。</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十</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、本单位自愿将本声明书作为投标文件的必备要件。在投标时，由我方法定代表人或其委托代理人签署，并随投标文件一并提交，否则可视为未实质响应采购文件。</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十三</w:t>
      </w:r>
      <w:r>
        <w:rPr>
          <w:color w:val="000000" w:themeColor="text1"/>
          <w:highlight w:val="none"/>
          <w14:textFill>
            <w14:solidFill>
              <w14:schemeClr w14:val="tx1"/>
            </w14:solidFill>
          </w14:textFill>
        </w:rPr>
        <w:t>、如违反以上一至十</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条的承诺，由我单位负责对一切后果承担责任，同时自愿接受通报批评、视为失信行为列入供应商评价记录，情节严重者将可能导致在网上进行实名通报。</w:t>
      </w: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供应商：（全称）                              （盖章或签章）</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法定代表人或投标人授权代表：（姓名）            （签字）</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供应商地址：</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邮政编码：</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电话：</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传真：</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联系人：</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   年  月  日</w:t>
      </w:r>
    </w:p>
    <w:p>
      <w:pPr>
        <w:spacing w:line="240" w:lineRule="auto"/>
        <w:ind w:firstLine="420" w:firstLineChars="200"/>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03" w:name="_Toc102987778"/>
      <w:r>
        <w:rPr>
          <w:rFonts w:hint="eastAsia" w:ascii="宋体" w:hAnsi="宋体" w:eastAsia="宋体" w:cs="宋体"/>
          <w:color w:val="000000" w:themeColor="text1"/>
          <w:sz w:val="24"/>
          <w:szCs w:val="24"/>
          <w:highlight w:val="none"/>
          <w14:textFill>
            <w14:solidFill>
              <w14:schemeClr w14:val="tx1"/>
            </w14:solidFill>
          </w14:textFill>
        </w:rPr>
        <w:t>1.3法定代表人身份证明格式</w:t>
      </w:r>
      <w:bookmarkEnd w:id="103"/>
    </w:p>
    <w:p>
      <w:pPr>
        <w:spacing w:before="156" w:beforeLines="50" w:after="156" w:afterLines="50"/>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法定代表人身份证明</w:t>
      </w:r>
    </w:p>
    <w:p>
      <w:pPr>
        <w:spacing w:line="360" w:lineRule="auto"/>
        <w:ind w:firstLine="420" w:firstLineChars="200"/>
        <w:rPr>
          <w:bCs/>
          <w:color w:val="000000" w:themeColor="text1"/>
          <w:highlight w:val="none"/>
          <w:u w:val="single"/>
          <w14:textFill>
            <w14:solidFill>
              <w14:schemeClr w14:val="tx1"/>
            </w14:solidFill>
          </w14:textFill>
        </w:rPr>
      </w:pPr>
      <w:r>
        <w:rPr>
          <w:bCs/>
          <w:color w:val="000000" w:themeColor="text1"/>
          <w:highlight w:val="none"/>
          <w14:textFill>
            <w14:solidFill>
              <w14:schemeClr w14:val="tx1"/>
            </w14:solidFill>
          </w14:textFill>
        </w:rPr>
        <w:t>投标人名称：</w:t>
      </w:r>
      <w:r>
        <w:rPr>
          <w:color w:val="000000" w:themeColor="text1"/>
          <w:highlight w:val="none"/>
          <w14:textFill>
            <w14:solidFill>
              <w14:schemeClr w14:val="tx1"/>
            </w14:solidFill>
          </w14:textFill>
        </w:rPr>
        <w:t>________________________________________</w:t>
      </w:r>
      <w:r>
        <w:rPr>
          <w:bCs/>
          <w:color w:val="000000" w:themeColor="text1"/>
          <w:highlight w:val="none"/>
          <w:u w:val="single"/>
          <w14:textFill>
            <w14:solidFill>
              <w14:schemeClr w14:val="tx1"/>
            </w14:solidFill>
          </w14:textFill>
        </w:rPr>
        <w:t xml:space="preserve">                      </w:t>
      </w:r>
    </w:p>
    <w:p>
      <w:pPr>
        <w:spacing w:line="360" w:lineRule="auto"/>
        <w:ind w:firstLine="420" w:firstLineChars="200"/>
        <w:rPr>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单位性质：</w:t>
      </w:r>
      <w:r>
        <w:rPr>
          <w:color w:val="000000" w:themeColor="text1"/>
          <w:highlight w:val="none"/>
          <w14:textFill>
            <w14:solidFill>
              <w14:schemeClr w14:val="tx1"/>
            </w14:solidFill>
          </w14:textFill>
        </w:rPr>
        <w:t>__________________________________________</w:t>
      </w:r>
    </w:p>
    <w:p>
      <w:pPr>
        <w:spacing w:line="360" w:lineRule="auto"/>
        <w:ind w:firstLine="420" w:firstLineChars="200"/>
        <w:rPr>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地址：</w:t>
      </w:r>
      <w:r>
        <w:rPr>
          <w:color w:val="000000" w:themeColor="text1"/>
          <w:highlight w:val="none"/>
          <w14:textFill>
            <w14:solidFill>
              <w14:schemeClr w14:val="tx1"/>
            </w14:solidFill>
          </w14:textFill>
        </w:rPr>
        <w:t>______________________________________________</w:t>
      </w:r>
    </w:p>
    <w:p>
      <w:pPr>
        <w:spacing w:line="360" w:lineRule="auto"/>
        <w:ind w:firstLine="420" w:firstLineChars="200"/>
        <w:rPr>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成立时间：</w:t>
      </w:r>
      <w:r>
        <w:rPr>
          <w:color w:val="000000" w:themeColor="text1"/>
          <w:highlight w:val="none"/>
          <w14:textFill>
            <w14:solidFill>
              <w14:schemeClr w14:val="tx1"/>
            </w14:solidFill>
          </w14:textFill>
        </w:rPr>
        <w:t>_____年____月____日</w:t>
      </w:r>
    </w:p>
    <w:p>
      <w:pPr>
        <w:spacing w:line="360" w:lineRule="auto"/>
        <w:ind w:firstLine="420" w:firstLineChars="200"/>
        <w:rPr>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经营期限：</w:t>
      </w:r>
      <w:r>
        <w:rPr>
          <w:color w:val="000000" w:themeColor="text1"/>
          <w:highlight w:val="none"/>
          <w14:textFill>
            <w14:solidFill>
              <w14:schemeClr w14:val="tx1"/>
            </w14:solidFill>
          </w14:textFill>
        </w:rPr>
        <w:t>__________________________________________</w:t>
      </w:r>
    </w:p>
    <w:p>
      <w:pPr>
        <w:spacing w:line="360" w:lineRule="auto"/>
        <w:ind w:firstLine="420" w:firstLineChars="200"/>
        <w:rPr>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姓名：</w:t>
      </w:r>
      <w:r>
        <w:rPr>
          <w:color w:val="000000" w:themeColor="text1"/>
          <w:highlight w:val="none"/>
          <w14:textFill>
            <w14:solidFill>
              <w14:schemeClr w14:val="tx1"/>
            </w14:solidFill>
          </w14:textFill>
        </w:rPr>
        <w:t>_______性别：______年龄：______职务：_________</w:t>
      </w:r>
    </w:p>
    <w:p>
      <w:pPr>
        <w:spacing w:line="360" w:lineRule="auto"/>
        <w:ind w:firstLine="420" w:firstLineChars="200"/>
        <w:rPr>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系</w:t>
      </w:r>
      <w:r>
        <w:rPr>
          <w:color w:val="000000" w:themeColor="text1"/>
          <w:highlight w:val="none"/>
          <w14:textFill>
            <w14:solidFill>
              <w14:schemeClr w14:val="tx1"/>
            </w14:solidFill>
          </w14:textFill>
        </w:rPr>
        <w:t>_____________________________（投标人名称）的法定代表人。</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特此证明。</w:t>
      </w:r>
    </w:p>
    <w:p>
      <w:pPr>
        <w:spacing w:line="36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投标人：________________（全称，并</w:t>
      </w:r>
      <w:r>
        <w:rPr>
          <w:color w:val="000000" w:themeColor="text1"/>
          <w:szCs w:val="21"/>
          <w:highlight w:val="none"/>
          <w14:textFill>
            <w14:solidFill>
              <w14:schemeClr w14:val="tx1"/>
            </w14:solidFill>
          </w14:textFill>
        </w:rPr>
        <w:t>加盖公章</w:t>
      </w:r>
      <w:r>
        <w:rPr>
          <w:color w:val="000000" w:themeColor="text1"/>
          <w:highlight w:val="none"/>
          <w14:textFill>
            <w14:solidFill>
              <w14:schemeClr w14:val="tx1"/>
            </w14:solidFill>
          </w14:textFill>
        </w:rPr>
        <w:t>）</w:t>
      </w:r>
    </w:p>
    <w:p>
      <w:pPr>
        <w:spacing w:line="360" w:lineRule="auto"/>
        <w:ind w:left="525" w:leftChars="200" w:hanging="105" w:hangingChars="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_____年____月____日</w:t>
      </w:r>
    </w:p>
    <w:p>
      <w:pPr>
        <w:spacing w:line="360" w:lineRule="auto"/>
        <w:ind w:left="525" w:leftChars="200" w:hanging="105" w:hangingChars="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注：此处所述“法定代表人”须与投标人“营业执照”等法人证书上的内容一致。</w:t>
      </w:r>
    </w:p>
    <w:p>
      <w:pPr>
        <w:pStyle w:val="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04" w:name="_Toc102987779"/>
      <w:r>
        <w:rPr>
          <w:rFonts w:hint="eastAsia" w:ascii="宋体" w:hAnsi="宋体" w:eastAsia="宋体" w:cs="宋体"/>
          <w:color w:val="000000" w:themeColor="text1"/>
          <w:sz w:val="24"/>
          <w:szCs w:val="24"/>
          <w:highlight w:val="none"/>
          <w14:textFill>
            <w14:solidFill>
              <w14:schemeClr w14:val="tx1"/>
            </w14:solidFill>
          </w14:textFill>
        </w:rPr>
        <w:t>1.4法定代表人授权书格式</w:t>
      </w:r>
      <w:bookmarkEnd w:id="104"/>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法定代表人授权书</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致：（采购人或采购代理机构）</w:t>
      </w:r>
    </w:p>
    <w:p>
      <w:pPr>
        <w:spacing w:line="360" w:lineRule="auto"/>
        <w:ind w:firstLine="420" w:firstLineChars="200"/>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本授权委托书声明：注册于</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（公司地址）的____________________</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（公司名称）法定代表人</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（姓名、职务）代表本公司（单位）授权</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_________________（授权代理人的姓名）为公司的合法代理人，授权其在中山大学附属第三医院</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采购项目（项目编号______________）项目的招标采购活动，全权代表本公司（单位）处理投标过程中的一切事宜，包括但不限于签署、澄清、说明、补正、递交、撤回、修改投标文件及谈判、签约等。授权代理人无转委权。</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授权委托书承诺：对授权代理人在投标过程中所签署的一切文件和处理与之有关的一切事务，我公司（单位）司均予以认可并对此承担责任。并愿承担因投标文件或资质证明文件的缺陷、授权代理人失误等所导致的全部经济损失及相应的法律责任。</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本授权委托书于</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日生效，有效期至</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日，授权代理人在此授权期内签署的所有文件不因授权的撤消而失效。</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特此授权！</w:t>
      </w:r>
    </w:p>
    <w:p>
      <w:pPr>
        <w:spacing w:line="360" w:lineRule="auto"/>
        <w:ind w:firstLine="420" w:firstLineChars="200"/>
        <w:rPr>
          <w:color w:val="000000" w:themeColor="text1"/>
          <w:highlight w:val="none"/>
          <w14:textFill>
            <w14:solidFill>
              <w14:schemeClr w14:val="tx1"/>
            </w14:solidFill>
          </w14:textFill>
        </w:rPr>
      </w:pPr>
      <w:r>
        <w:rPr>
          <w:bCs/>
          <w:color w:val="000000" w:themeColor="text1"/>
          <w:szCs w:val="21"/>
          <w:highlight w:val="none"/>
          <w14:textFill>
            <w14:solidFill>
              <w14:schemeClr w14:val="tx1"/>
            </w14:solidFill>
          </w14:textFill>
        </w:rPr>
        <w:t xml:space="preserve">    </w:t>
      </w:r>
      <w:r>
        <w:rPr>
          <w:color w:val="000000" w:themeColor="text1"/>
          <w:highlight w:val="none"/>
          <w14:textFill>
            <w14:solidFill>
              <w14:schemeClr w14:val="tx1"/>
            </w14:solidFill>
          </w14:textFill>
        </w:rPr>
        <w:t>投标人：________________（全称，并</w:t>
      </w:r>
      <w:r>
        <w:rPr>
          <w:color w:val="000000" w:themeColor="text1"/>
          <w:szCs w:val="21"/>
          <w:highlight w:val="none"/>
          <w14:textFill>
            <w14:solidFill>
              <w14:schemeClr w14:val="tx1"/>
            </w14:solidFill>
          </w14:textFill>
        </w:rPr>
        <w:t>加盖公章</w:t>
      </w:r>
      <w:r>
        <w:rPr>
          <w:color w:val="000000" w:themeColor="text1"/>
          <w:highlight w:val="none"/>
          <w14:textFill>
            <w14:solidFill>
              <w14:schemeClr w14:val="tx1"/>
            </w14:solidFill>
          </w14:textFill>
        </w:rPr>
        <w:t>）</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法定代表人：________________（</w:t>
      </w:r>
      <w:r>
        <w:rPr>
          <w:b/>
          <w:color w:val="000000" w:themeColor="text1"/>
          <w:highlight w:val="none"/>
          <w14:textFill>
            <w14:solidFill>
              <w14:schemeClr w14:val="tx1"/>
            </w14:solidFill>
          </w14:textFill>
        </w:rPr>
        <w:t>签字</w:t>
      </w:r>
      <w:r>
        <w:rPr>
          <w:color w:val="000000" w:themeColor="text1"/>
          <w:highlight w:val="none"/>
          <w14:textFill>
            <w14:solidFill>
              <w14:schemeClr w14:val="tx1"/>
            </w14:solidFill>
          </w14:textFill>
        </w:rPr>
        <w:t xml:space="preserve">）             </w:t>
      </w:r>
      <w:r>
        <w:rPr>
          <w:color w:val="000000" w:themeColor="text1"/>
          <w:szCs w:val="21"/>
          <w:highlight w:val="none"/>
          <w14:textFill>
            <w14:solidFill>
              <w14:schemeClr w14:val="tx1"/>
            </w14:solidFill>
          </w14:textFill>
        </w:rPr>
        <w:t>_____年____月____日</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身份证号码：________________________</w:t>
      </w:r>
    </w:p>
    <w:p>
      <w:pPr>
        <w:spacing w:line="360" w:lineRule="auto"/>
        <w:ind w:right="630" w:firstLine="420" w:firstLineChars="200"/>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授权</w:t>
      </w:r>
      <w:r>
        <w:rPr>
          <w:bCs/>
          <w:color w:val="000000" w:themeColor="text1"/>
          <w:szCs w:val="21"/>
          <w:highlight w:val="none"/>
          <w14:textFill>
            <w14:solidFill>
              <w14:schemeClr w14:val="tx1"/>
            </w14:solidFill>
          </w14:textFill>
        </w:rPr>
        <w:t>代理</w:t>
      </w:r>
      <w:r>
        <w:rPr>
          <w:color w:val="000000" w:themeColor="text1"/>
          <w:highlight w:val="none"/>
          <w14:textFill>
            <w14:solidFill>
              <w14:schemeClr w14:val="tx1"/>
            </w14:solidFill>
          </w14:textFill>
        </w:rPr>
        <w:t>人：________________（</w:t>
      </w:r>
      <w:r>
        <w:rPr>
          <w:b/>
          <w:color w:val="000000" w:themeColor="text1"/>
          <w:highlight w:val="none"/>
          <w14:textFill>
            <w14:solidFill>
              <w14:schemeClr w14:val="tx1"/>
            </w14:solidFill>
          </w14:textFill>
        </w:rPr>
        <w:t>签字</w:t>
      </w:r>
      <w:r>
        <w:rPr>
          <w:color w:val="000000" w:themeColor="text1"/>
          <w:highlight w:val="none"/>
          <w14:textFill>
            <w14:solidFill>
              <w14:schemeClr w14:val="tx1"/>
            </w14:solidFill>
          </w14:textFill>
        </w:rPr>
        <w:t xml:space="preserve">）             </w:t>
      </w:r>
      <w:r>
        <w:rPr>
          <w:color w:val="000000" w:themeColor="text1"/>
          <w:szCs w:val="21"/>
          <w:highlight w:val="none"/>
          <w14:textFill>
            <w14:solidFill>
              <w14:schemeClr w14:val="tx1"/>
            </w14:solidFill>
          </w14:textFill>
        </w:rPr>
        <w:t>_____年____月____日</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身份证号码：________________________</w:t>
      </w: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附：法定代表人和授权代理人身份证件（法定代表人和被授权人为同一人的只粘贴一次）</w:t>
      </w:r>
    </w:p>
    <w:tbl>
      <w:tblPr>
        <w:tblStyle w:val="39"/>
        <w:tblpPr w:leftFromText="180" w:rightFromText="180" w:vertAnchor="text" w:horzAnchor="page" w:tblpX="2041" w:tblpY="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4264" w:type="dxa"/>
            <w:vAlign w:val="center"/>
          </w:tcPr>
          <w:p>
            <w:pPr>
              <w:adjustRightInd w:val="0"/>
              <w:snapToGrid w:val="0"/>
              <w:spacing w:before="156" w:beforeLines="50"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法定代表人身份证件正面黏贴处</w:t>
            </w:r>
          </w:p>
          <w:p>
            <w:pPr>
              <w:adjustRightInd w:val="0"/>
              <w:snapToGrid w:val="0"/>
              <w:spacing w:before="156" w:beforeLines="50" w:line="36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（国徽面）</w:t>
            </w:r>
          </w:p>
        </w:tc>
        <w:tc>
          <w:tcPr>
            <w:tcW w:w="4264" w:type="dxa"/>
            <w:vAlign w:val="center"/>
          </w:tcPr>
          <w:p>
            <w:pPr>
              <w:adjustRightInd w:val="0"/>
              <w:snapToGrid w:val="0"/>
              <w:spacing w:before="156" w:beforeLines="50"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法定代表人身份证件反面黏贴处</w:t>
            </w:r>
          </w:p>
          <w:p>
            <w:pPr>
              <w:adjustRightInd w:val="0"/>
              <w:snapToGrid w:val="0"/>
              <w:spacing w:before="156" w:beforeLines="50" w:line="36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（人员信息面）</w:t>
            </w:r>
          </w:p>
        </w:tc>
      </w:tr>
    </w:tbl>
    <w:p>
      <w:pPr>
        <w:spacing w:line="240" w:lineRule="auto"/>
        <w:ind w:firstLine="420" w:firstLineChars="200"/>
        <w:rPr>
          <w:color w:val="000000" w:themeColor="text1"/>
          <w:highlight w:val="none"/>
          <w14:textFill>
            <w14:solidFill>
              <w14:schemeClr w14:val="tx1"/>
            </w14:solidFill>
          </w14:textFill>
        </w:rPr>
      </w:pPr>
    </w:p>
    <w:p>
      <w:pPr>
        <w:spacing w:line="240" w:lineRule="auto"/>
        <w:ind w:firstLine="420" w:firstLineChars="200"/>
        <w:rPr>
          <w:color w:val="000000" w:themeColor="text1"/>
          <w:highlight w:val="none"/>
          <w14:textFill>
            <w14:solidFill>
              <w14:schemeClr w14:val="tx1"/>
            </w14:solidFill>
          </w14:textFill>
        </w:rPr>
      </w:pPr>
    </w:p>
    <w:tbl>
      <w:tblPr>
        <w:tblStyle w:val="39"/>
        <w:tblpPr w:leftFromText="180" w:rightFromText="180" w:vertAnchor="text" w:horzAnchor="page" w:tblpX="2041" w:tblpY="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trPr>
        <w:tc>
          <w:tcPr>
            <w:tcW w:w="4264" w:type="dxa"/>
            <w:vAlign w:val="center"/>
          </w:tcPr>
          <w:p>
            <w:pPr>
              <w:adjustRightInd w:val="0"/>
              <w:snapToGrid w:val="0"/>
              <w:spacing w:before="156" w:beforeLines="50"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授权代理人身份证件正面黏贴处</w:t>
            </w:r>
          </w:p>
          <w:p>
            <w:pPr>
              <w:adjustRightInd w:val="0"/>
              <w:snapToGrid w:val="0"/>
              <w:spacing w:before="156" w:beforeLines="50" w:line="36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（国徽面）</w:t>
            </w:r>
          </w:p>
        </w:tc>
        <w:tc>
          <w:tcPr>
            <w:tcW w:w="4264" w:type="dxa"/>
            <w:vAlign w:val="center"/>
          </w:tcPr>
          <w:p>
            <w:pPr>
              <w:adjustRightInd w:val="0"/>
              <w:snapToGrid w:val="0"/>
              <w:spacing w:before="156" w:beforeLines="50" w:line="36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授权代理人身份证件反面黏贴处</w:t>
            </w:r>
          </w:p>
          <w:p>
            <w:pPr>
              <w:adjustRightInd w:val="0"/>
              <w:snapToGrid w:val="0"/>
              <w:spacing w:before="156" w:beforeLines="50" w:line="36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（人员信息面）</w:t>
            </w:r>
          </w:p>
        </w:tc>
      </w:tr>
    </w:tbl>
    <w:p>
      <w:pPr>
        <w:pStyle w:val="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05" w:name="_Toc102987780"/>
      <w:r>
        <w:rPr>
          <w:rFonts w:hint="eastAsia" w:ascii="宋体" w:hAnsi="宋体" w:eastAsia="宋体" w:cs="宋体"/>
          <w:color w:val="000000" w:themeColor="text1"/>
          <w:sz w:val="24"/>
          <w:szCs w:val="24"/>
          <w:highlight w:val="none"/>
          <w14:textFill>
            <w14:solidFill>
              <w14:schemeClr w14:val="tx1"/>
            </w14:solidFill>
          </w14:textFill>
        </w:rPr>
        <w:t>1.5投标人的资格声明格式</w:t>
      </w:r>
      <w:bookmarkEnd w:id="105"/>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投标人的资格声明</w:t>
      </w:r>
    </w:p>
    <w:p>
      <w:pPr>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1．投标人概况</w:t>
      </w:r>
      <w:r>
        <w:rPr>
          <w:color w:val="000000" w:themeColor="text1"/>
          <w:highlight w:val="none"/>
          <w14:textFill>
            <w14:solidFill>
              <w14:schemeClr w14:val="tx1"/>
            </w14:solidFill>
          </w14:textFill>
        </w:rPr>
        <w:t>：_________________</w:t>
      </w:r>
    </w:p>
    <w:p>
      <w:pPr>
        <w:spacing w:line="240" w:lineRule="auto"/>
        <w:ind w:firstLine="420" w:firstLineChars="200"/>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Ａ．投标人名称</w:t>
      </w:r>
      <w:r>
        <w:rPr>
          <w:color w:val="000000" w:themeColor="text1"/>
          <w:highlight w:val="none"/>
          <w14:textFill>
            <w14:solidFill>
              <w14:schemeClr w14:val="tx1"/>
            </w14:solidFill>
          </w14:textFill>
        </w:rPr>
        <w:t>：_________________</w:t>
      </w:r>
    </w:p>
    <w:p>
      <w:pPr>
        <w:spacing w:line="240" w:lineRule="auto"/>
        <w:ind w:firstLine="420" w:firstLineChars="200"/>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Ｂ．注册地址</w:t>
      </w:r>
      <w:r>
        <w:rPr>
          <w:color w:val="000000" w:themeColor="text1"/>
          <w:highlight w:val="none"/>
          <w14:textFill>
            <w14:solidFill>
              <w14:schemeClr w14:val="tx1"/>
            </w14:solidFill>
          </w14:textFill>
        </w:rPr>
        <w:t>：_________________</w:t>
      </w:r>
    </w:p>
    <w:p>
      <w:pPr>
        <w:spacing w:line="240" w:lineRule="auto"/>
        <w:ind w:firstLine="420" w:firstLineChars="200"/>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Ｃ．成立或注册日期：</w:t>
      </w:r>
      <w:r>
        <w:rPr>
          <w:color w:val="000000" w:themeColor="text1"/>
          <w:highlight w:val="none"/>
          <w14:textFill>
            <w14:solidFill>
              <w14:schemeClr w14:val="tx1"/>
            </w14:solidFill>
          </w14:textFill>
        </w:rPr>
        <w:t>_________________</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Ｄ．法定代表人：_________________ （姓名、职务）</w:t>
      </w:r>
    </w:p>
    <w:p>
      <w:pPr>
        <w:spacing w:line="240" w:lineRule="auto"/>
        <w:ind w:firstLine="420" w:firstLineChars="200"/>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实收资本：</w:t>
      </w:r>
      <w:r>
        <w:rPr>
          <w:color w:val="000000" w:themeColor="text1"/>
          <w:highlight w:val="none"/>
          <w14:textFill>
            <w14:solidFill>
              <w14:schemeClr w14:val="tx1"/>
            </w14:solidFill>
          </w14:textFill>
        </w:rPr>
        <w:t>_______________________</w:t>
      </w:r>
    </w:p>
    <w:p>
      <w:pPr>
        <w:spacing w:line="240" w:lineRule="auto"/>
        <w:ind w:firstLine="420" w:firstLineChars="200"/>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其中 国家资本：</w:t>
      </w:r>
      <w:r>
        <w:rPr>
          <w:color w:val="000000" w:themeColor="text1"/>
          <w:highlight w:val="none"/>
          <w14:textFill>
            <w14:solidFill>
              <w14:schemeClr w14:val="tx1"/>
            </w14:solidFill>
          </w14:textFill>
        </w:rPr>
        <w:t>_________________</w:t>
      </w:r>
      <w:r>
        <w:rPr>
          <w:bCs/>
          <w:color w:val="000000" w:themeColor="text1"/>
          <w:highlight w:val="none"/>
          <w14:textFill>
            <w14:solidFill>
              <w14:schemeClr w14:val="tx1"/>
            </w14:solidFill>
          </w14:textFill>
        </w:rPr>
        <w:t xml:space="preserve"> 法人资本：</w:t>
      </w:r>
      <w:r>
        <w:rPr>
          <w:color w:val="000000" w:themeColor="text1"/>
          <w:highlight w:val="none"/>
          <w14:textFill>
            <w14:solidFill>
              <w14:schemeClr w14:val="tx1"/>
            </w14:solidFill>
          </w14:textFill>
        </w:rPr>
        <w:t>_________________</w:t>
      </w:r>
    </w:p>
    <w:p>
      <w:pPr>
        <w:spacing w:line="240" w:lineRule="auto"/>
        <w:ind w:firstLine="945" w:firstLineChars="450"/>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个人资本：</w:t>
      </w:r>
      <w:r>
        <w:rPr>
          <w:color w:val="000000" w:themeColor="text1"/>
          <w:highlight w:val="none"/>
          <w14:textFill>
            <w14:solidFill>
              <w14:schemeClr w14:val="tx1"/>
            </w14:solidFill>
          </w14:textFill>
        </w:rPr>
        <w:t>_________________</w:t>
      </w:r>
      <w:r>
        <w:rPr>
          <w:bCs/>
          <w:color w:val="000000" w:themeColor="text1"/>
          <w:highlight w:val="none"/>
          <w14:textFill>
            <w14:solidFill>
              <w14:schemeClr w14:val="tx1"/>
            </w14:solidFill>
          </w14:textFill>
        </w:rPr>
        <w:t xml:space="preserve"> 外商资本：</w:t>
      </w:r>
      <w:r>
        <w:rPr>
          <w:color w:val="000000" w:themeColor="text1"/>
          <w:highlight w:val="none"/>
          <w14:textFill>
            <w14:solidFill>
              <w14:schemeClr w14:val="tx1"/>
            </w14:solidFill>
          </w14:textFill>
        </w:rPr>
        <w:t>_________________</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2．我方在此声明，关于贵方项目名称项目编号投标邀请，我方愿意参加投标，并证明提交的投标文件和说明是准确的和真实的，我方的资格声明随投标文件一同递交。</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3.我方在此声明，我方具备《中华人民共和国政府采购法》第二十二条所规定的条件。本声明如有虚假或不实之处，我方将失去合格投标人资格并愿意接受相应处理。</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（1）具有独立承担民事责任的能力，提供以下相关证照的扫描件（见附件）之一：1.企业法人营业执照；2.事业法人登记证；3.其他组织的营业执照或执业许可证；4.居民身份证等；</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（2）具有良好的商业信誉和健全的财务会计制度；</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（3）具有履行合同所必需的货物和专业技术能力；</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（4）有依法缴纳税收和社会保障资金的良好记录；</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（5）近三年内，在经营活动中没有重大违法记录；</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（6）法律、行政法规规定的其他条件。</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4．招标文件中投标人须知要求提供的其他资格证明文件。</w:t>
      </w:r>
    </w:p>
    <w:p>
      <w:pPr>
        <w:spacing w:line="24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就我方全部所知，兹证明上述声明是真实、正确的，并已提供了全部现有资料和数据，我方同意根据贵方要求出示文件予以证实。</w:t>
      </w:r>
    </w:p>
    <w:p>
      <w:pPr>
        <w:pStyle w:val="17"/>
        <w:spacing w:line="360" w:lineRule="auto"/>
        <w:ind w:firstLine="420" w:firstLineChars="200"/>
        <w:rPr>
          <w:color w:val="000000" w:themeColor="text1"/>
          <w:highlight w:val="none"/>
          <w14:textFill>
            <w14:solidFill>
              <w14:schemeClr w14:val="tx1"/>
            </w14:solidFill>
          </w14:textFill>
        </w:rPr>
      </w:pPr>
    </w:p>
    <w:p>
      <w:pPr>
        <w:pStyle w:val="17"/>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w:t>
      </w:r>
    </w:p>
    <w:p>
      <w:pPr>
        <w:pStyle w:val="17"/>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法人代表或投标人授权代表（签字）：____________</w:t>
      </w:r>
    </w:p>
    <w:p>
      <w:pPr>
        <w:pStyle w:val="17"/>
        <w:spacing w:line="360" w:lineRule="auto"/>
        <w:ind w:firstLine="420" w:firstLineChars="200"/>
        <w:rPr>
          <w:color w:val="000000" w:themeColor="text1"/>
          <w:highlight w:val="none"/>
          <w:u w:val="single"/>
          <w14:textFill>
            <w14:solidFill>
              <w14:schemeClr w14:val="tx1"/>
            </w14:solidFill>
          </w14:textFill>
        </w:rPr>
      </w:pPr>
      <w:r>
        <w:rPr>
          <w:bCs/>
          <w:color w:val="000000" w:themeColor="text1"/>
          <w:highlight w:val="none"/>
          <w14:textFill>
            <w14:solidFill>
              <w14:schemeClr w14:val="tx1"/>
            </w14:solidFill>
          </w14:textFill>
        </w:rPr>
        <w:t>日</w:t>
      </w:r>
      <w:r>
        <w:rPr>
          <w:color w:val="000000" w:themeColor="text1"/>
          <w:highlight w:val="none"/>
          <w14:textFill>
            <w14:solidFill>
              <w14:schemeClr w14:val="tx1"/>
            </w14:solidFill>
          </w14:textFill>
        </w:rPr>
        <w:t>期：_____年_____月_____</w:t>
      </w:r>
      <w:r>
        <w:rPr>
          <w:bCs/>
          <w:color w:val="000000" w:themeColor="text1"/>
          <w:highlight w:val="none"/>
          <w14:textFill>
            <w14:solidFill>
              <w14:schemeClr w14:val="tx1"/>
            </w14:solidFill>
          </w14:textFill>
        </w:rPr>
        <w:t xml:space="preserve">日       </w:t>
      </w:r>
    </w:p>
    <w:p>
      <w:pPr>
        <w:spacing w:before="156" w:beforeLines="50" w:line="240" w:lineRule="auto"/>
        <w:outlineLvl w:val="3"/>
        <w:rPr>
          <w:color w:val="000000" w:themeColor="text1"/>
          <w:highlight w:val="none"/>
          <w14:textFill>
            <w14:solidFill>
              <w14:schemeClr w14:val="tx1"/>
            </w14:solidFill>
          </w14:textFill>
        </w:rPr>
      </w:pPr>
      <w:r>
        <w:rPr>
          <w:color w:val="000000" w:themeColor="text1"/>
          <w:sz w:val="22"/>
          <w:szCs w:val="22"/>
          <w:highlight w:val="none"/>
          <w14:textFill>
            <w14:solidFill>
              <w14:schemeClr w14:val="tx1"/>
            </w14:solidFill>
          </w14:textFill>
        </w:rPr>
        <w:br w:type="page"/>
      </w:r>
      <w:bookmarkStart w:id="106" w:name="_Toc102987781"/>
      <w:r>
        <w:rPr>
          <w:b/>
          <w:bCs/>
          <w:color w:val="000000" w:themeColor="text1"/>
          <w:highlight w:val="none"/>
          <w14:textFill>
            <w14:solidFill>
              <w14:schemeClr w14:val="tx1"/>
            </w14:solidFill>
          </w14:textFill>
        </w:rPr>
        <w:t>1.6与投标人存在关联关系的单位名称说明格式</w:t>
      </w:r>
      <w:bookmarkEnd w:id="106"/>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与投标人存在关联关系的单位名称说明</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一、与我方的法定代表人（单位负责人）为同一人的单位名称如下：</w:t>
      </w:r>
    </w:p>
    <w:p>
      <w:pPr>
        <w:spacing w:line="360" w:lineRule="auto"/>
        <w:ind w:firstLine="420" w:firstLineChars="200"/>
        <w:rPr>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____________________________________________________________________</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二、我方的控股股东名称如下（我方的母公司、对我方直接或间接持股50％及以上的投资单位）：</w:t>
      </w:r>
    </w:p>
    <w:p>
      <w:pPr>
        <w:spacing w:line="360" w:lineRule="auto"/>
        <w:ind w:firstLine="420" w:firstLineChars="200"/>
        <w:rPr>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____________________________________________________________________</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三、我方直接控股的单位名称如下（直接或间接持股50％及以上的被投资单位）：</w:t>
      </w:r>
    </w:p>
    <w:p>
      <w:pPr>
        <w:spacing w:line="360" w:lineRule="auto"/>
        <w:ind w:firstLine="420" w:firstLineChars="200"/>
        <w:rPr>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____________________________________________________________________</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四、与我方存在管理、被管理关系的单位名称如下：</w:t>
      </w:r>
    </w:p>
    <w:p>
      <w:pPr>
        <w:spacing w:line="360" w:lineRule="auto"/>
        <w:ind w:firstLine="420" w:firstLineChars="200"/>
        <w:rPr>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____________________________________________________________________</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我方承诺上述有关联关系的单位不参与本项目的投标，如有参与投标，我方投标文件为无效投标文件。</w:t>
      </w:r>
    </w:p>
    <w:p>
      <w:pPr>
        <w:spacing w:line="240" w:lineRule="auto"/>
        <w:ind w:firstLine="420" w:firstLineChars="200"/>
        <w:rPr>
          <w:color w:val="000000" w:themeColor="text1"/>
          <w:highlight w:val="none"/>
          <w14:textFill>
            <w14:solidFill>
              <w14:schemeClr w14:val="tx1"/>
            </w14:solidFill>
          </w14:textFill>
        </w:rPr>
      </w:pPr>
    </w:p>
    <w:p>
      <w:pPr>
        <w:pStyle w:val="17"/>
        <w:spacing w:line="360" w:lineRule="auto"/>
        <w:ind w:firstLine="420" w:firstLineChars="200"/>
        <w:rPr>
          <w:color w:val="000000" w:themeColor="text1"/>
          <w:highlight w:val="none"/>
          <w14:textFill>
            <w14:solidFill>
              <w14:schemeClr w14:val="tx1"/>
            </w14:solidFill>
          </w14:textFill>
        </w:rPr>
      </w:pPr>
    </w:p>
    <w:p>
      <w:pPr>
        <w:pStyle w:val="17"/>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w:t>
      </w:r>
    </w:p>
    <w:p>
      <w:pPr>
        <w:pStyle w:val="17"/>
        <w:spacing w:line="360" w:lineRule="auto"/>
        <w:ind w:firstLine="420" w:firstLineChars="200"/>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法人代表或投标人授权代表（签字）：_____________</w:t>
      </w:r>
    </w:p>
    <w:p>
      <w:pPr>
        <w:spacing w:line="240" w:lineRule="auto"/>
        <w:ind w:firstLine="420" w:firstLineChars="200"/>
        <w:rPr>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日期：_____年_____月_____日</w:t>
      </w:r>
      <w:r>
        <w:rPr>
          <w:b/>
          <w:bCs/>
          <w:color w:val="000000" w:themeColor="text1"/>
          <w:sz w:val="22"/>
          <w:szCs w:val="22"/>
          <w:highlight w:val="none"/>
          <w14:textFill>
            <w14:solidFill>
              <w14:schemeClr w14:val="tx1"/>
            </w14:solidFill>
          </w14:textFill>
        </w:rPr>
        <w:t xml:space="preserve">       </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注：有以上情况的单位名称请应列尽列，若无相关情况请填写“无”。</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pStyle w:val="7"/>
        <w:rPr>
          <w:color w:val="000000" w:themeColor="text1"/>
          <w:highlight w:val="none"/>
          <w14:textFill>
            <w14:solidFill>
              <w14:schemeClr w14:val="tx1"/>
            </w14:solidFill>
          </w14:textFill>
        </w:rPr>
      </w:pPr>
      <w:r>
        <w:rPr>
          <w:color w:val="000000" w:themeColor="text1"/>
          <w:sz w:val="24"/>
          <w:szCs w:val="24"/>
          <w:highlight w:val="none"/>
          <w14:textFill>
            <w14:solidFill>
              <w14:schemeClr w14:val="tx1"/>
            </w14:solidFill>
          </w14:textFill>
        </w:rPr>
        <w:br w:type="page"/>
      </w:r>
      <w:bookmarkStart w:id="107" w:name="_Toc16782"/>
      <w:bookmarkStart w:id="108" w:name="_Toc102987782"/>
      <w:r>
        <w:rPr>
          <w:rFonts w:hint="eastAsia" w:ascii="宋体" w:hAnsi="宋体" w:eastAsia="宋体" w:cs="宋体"/>
          <w:color w:val="000000" w:themeColor="text1"/>
          <w:sz w:val="22"/>
          <w:szCs w:val="22"/>
          <w:highlight w:val="none"/>
          <w14:textFill>
            <w14:solidFill>
              <w14:schemeClr w14:val="tx1"/>
            </w14:solidFill>
          </w14:textFill>
        </w:rPr>
        <w:t>1.7非联合体投标声明</w:t>
      </w:r>
      <w:bookmarkEnd w:id="107"/>
    </w:p>
    <w:p>
      <w:pPr>
        <w:jc w:val="center"/>
        <w:rPr>
          <w:b/>
          <w:bCs/>
          <w:color w:val="000000" w:themeColor="text1"/>
          <w:sz w:val="36"/>
          <w:szCs w:val="36"/>
          <w:highlight w:val="none"/>
          <w14:textFill>
            <w14:solidFill>
              <w14:schemeClr w14:val="tx1"/>
            </w14:solidFill>
          </w14:textFill>
        </w:rPr>
      </w:pPr>
      <w:r>
        <w:rPr>
          <w:rFonts w:hint="eastAsia"/>
          <w:b/>
          <w:bCs/>
          <w:color w:val="000000" w:themeColor="text1"/>
          <w:sz w:val="36"/>
          <w:szCs w:val="36"/>
          <w:highlight w:val="none"/>
          <w14:textFill>
            <w14:solidFill>
              <w14:schemeClr w14:val="tx1"/>
            </w14:solidFill>
          </w14:textFill>
        </w:rPr>
        <w:t>非联合体投标声明</w:t>
      </w:r>
    </w:p>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XXXXXXXXXXXX公司：</w:t>
      </w:r>
    </w:p>
    <w:p>
      <w:pPr>
        <w:ind w:firstLine="42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本公司就参加中山大学附属第三医院超高分辨共聚焦扫描显微镜维保服务采购项目项目（项目编号：ZC2023X-XX-0000ZC2024010008）采购活动做出以下郑重声明：</w:t>
      </w:r>
    </w:p>
    <w:p>
      <w:pPr>
        <w:ind w:firstLine="42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本公司保证本项目并非联合体投标，本项目由本公司独立承接。</w:t>
      </w:r>
    </w:p>
    <w:p>
      <w:pPr>
        <w:ind w:firstLine="42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如本公司违反上述保证，或本声明陈述与事实不符，经查实，本公司愿意接受公开通报，同时放弃投标，并承担由此带来的法律后果以及赔偿医院受到的损失。</w:t>
      </w:r>
    </w:p>
    <w:p>
      <w:pPr>
        <w:ind w:firstLine="42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特此声明。</w:t>
      </w:r>
    </w:p>
    <w:p>
      <w:pPr>
        <w:ind w:firstLine="420"/>
        <w:rPr>
          <w:color w:val="000000" w:themeColor="text1"/>
          <w:highlight w:val="none"/>
          <w14:textFill>
            <w14:solidFill>
              <w14:schemeClr w14:val="tx1"/>
            </w14:solidFill>
          </w14:textFill>
        </w:rPr>
      </w:pPr>
    </w:p>
    <w:p>
      <w:pPr>
        <w:ind w:firstLine="420"/>
        <w:rPr>
          <w:color w:val="000000" w:themeColor="text1"/>
          <w:sz w:val="24"/>
          <w:szCs w:val="24"/>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供应商名称（公章）：</w:t>
      </w:r>
      <w:r>
        <w:rPr>
          <w:rFonts w:hint="eastAsia"/>
          <w:color w:val="000000" w:themeColor="text1"/>
          <w:sz w:val="24"/>
          <w:szCs w:val="24"/>
          <w:highlight w:val="none"/>
          <w:u w:val="single"/>
          <w14:textFill>
            <w14:solidFill>
              <w14:schemeClr w14:val="tx1"/>
            </w14:solidFill>
          </w14:textFill>
        </w:rPr>
        <w:t xml:space="preserve">                     </w:t>
      </w:r>
    </w:p>
    <w:p>
      <w:pPr>
        <w:ind w:firstLine="42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供应商（授权）代表（签字）：</w:t>
      </w:r>
      <w:r>
        <w:rPr>
          <w:rFonts w:hint="eastAsia"/>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 xml:space="preserve">            </w:t>
      </w:r>
    </w:p>
    <w:p>
      <w:pPr>
        <w:ind w:firstLine="420"/>
        <w:rPr>
          <w:rFonts w:eastAsia="仿宋_GB2312"/>
          <w:color w:val="000000" w:themeColor="text1"/>
          <w:highlight w:val="none"/>
          <w:u w:val="singl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                                              证明日期 ：</w:t>
      </w:r>
      <w:r>
        <w:rPr>
          <w:rFonts w:hint="eastAsia"/>
          <w:color w:val="000000" w:themeColor="text1"/>
          <w:highlight w:val="none"/>
          <w:u w:val="single"/>
          <w14:textFill>
            <w14:solidFill>
              <w14:schemeClr w14:val="tx1"/>
            </w14:solidFill>
          </w14:textFill>
        </w:rPr>
        <w:t xml:space="preserve">  </w:t>
      </w:r>
      <w:r>
        <w:rPr>
          <w:rFonts w:eastAsia="仿宋_GB2312"/>
          <w:color w:val="000000" w:themeColor="text1"/>
          <w:highlight w:val="none"/>
          <w:u w:val="single"/>
          <w14:textFill>
            <w14:solidFill>
              <w14:schemeClr w14:val="tx1"/>
            </w14:solidFill>
          </w14:textFill>
        </w:rPr>
        <w:t xml:space="preserve">                 </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highlight w:val="none"/>
          <w14:textFill>
            <w14:solidFill>
              <w14:schemeClr w14:val="tx1"/>
            </w14:solidFill>
          </w14:textFill>
        </w:rPr>
        <w:sectPr>
          <w:headerReference r:id="rId8" w:type="default"/>
          <w:footerReference r:id="rId9" w:type="default"/>
          <w:pgSz w:w="11906" w:h="16838"/>
          <w:pgMar w:top="1440" w:right="1690" w:bottom="1440" w:left="1690" w:header="851" w:footer="992" w:gutter="0"/>
          <w:pgNumType w:fmt="decimal"/>
          <w:cols w:space="720" w:num="1"/>
          <w:docGrid w:type="linesAndChars" w:linePitch="312" w:charSpace="0"/>
        </w:sectPr>
      </w:pPr>
      <w:bookmarkStart w:id="109" w:name="_Toc21466"/>
    </w:p>
    <w:p>
      <w:pPr>
        <w:pStyle w:val="7"/>
        <w:rPr>
          <w:rFonts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1.8实质性响应条款一览表格式</w:t>
      </w:r>
      <w:bookmarkEnd w:id="109"/>
    </w:p>
    <w:bookmarkEnd w:id="108"/>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实质性响应条款一览表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3646"/>
        <w:gridCol w:w="2110"/>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3646" w:type="dxa"/>
          </w:tcPr>
          <w:p>
            <w:pPr>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实质性响应条款</w:t>
            </w:r>
          </w:p>
        </w:tc>
        <w:tc>
          <w:tcPr>
            <w:tcW w:w="2110" w:type="dxa"/>
          </w:tcPr>
          <w:p>
            <w:pPr>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投标人响应情况</w:t>
            </w:r>
          </w:p>
        </w:tc>
        <w:tc>
          <w:tcPr>
            <w:tcW w:w="2097" w:type="dxa"/>
          </w:tcPr>
          <w:p>
            <w:pPr>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rFonts w:ascii="Times New Roman" w:hAnsi="Times New Roman" w:eastAsia="宋体" w:cs="Times New Roman"/>
                <w:color w:val="000000" w:themeColor="text1"/>
                <w:sz w:val="21"/>
                <w:highlight w:val="none"/>
                <w:u w:color="000000"/>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3646" w:type="dxa"/>
          </w:tcPr>
          <w:p>
            <w:pPr>
              <w:spacing w:line="240" w:lineRule="auto"/>
              <w:rPr>
                <w:color w:val="000000" w:themeColor="text1"/>
                <w:highlight w:val="none"/>
                <w14:textFill>
                  <w14:solidFill>
                    <w14:schemeClr w14:val="tx1"/>
                  </w14:solidFill>
                </w14:textFill>
              </w:rPr>
            </w:pPr>
            <w:r>
              <w:rPr>
                <w:color w:val="000000" w:themeColor="text1"/>
                <w:sz w:val="21"/>
                <w:szCs w:val="20"/>
                <w:highlight w:val="none"/>
                <w14:textFill>
                  <w14:solidFill>
                    <w14:schemeClr w14:val="tx1"/>
                  </w14:solidFill>
                </w14:textFill>
              </w:rPr>
              <w:t xml:space="preserve">本项目最高限价：人民币 </w:t>
            </w:r>
            <w:r>
              <w:rPr>
                <w:rFonts w:hint="default"/>
                <w:color w:val="000000" w:themeColor="text1"/>
                <w:sz w:val="21"/>
                <w:szCs w:val="20"/>
                <w:highlight w:val="none"/>
                <w14:textFill>
                  <w14:solidFill>
                    <w14:schemeClr w14:val="tx1"/>
                  </w14:solidFill>
                </w14:textFill>
              </w:rPr>
              <w:t>152.2</w:t>
            </w:r>
            <w:r>
              <w:rPr>
                <w:color w:val="000000" w:themeColor="text1"/>
                <w:sz w:val="21"/>
                <w:szCs w:val="20"/>
                <w:highlight w:val="none"/>
                <w14:textFill>
                  <w14:solidFill>
                    <w14:schemeClr w14:val="tx1"/>
                  </w14:solidFill>
                </w14:textFill>
              </w:rPr>
              <w:t xml:space="preserve"> 万元，投标</w:t>
            </w:r>
            <w:r>
              <w:rPr>
                <w:rFonts w:hint="default"/>
                <w:color w:val="000000" w:themeColor="text1"/>
                <w:sz w:val="21"/>
                <w:szCs w:val="20"/>
                <w:highlight w:val="none"/>
                <w14:textFill>
                  <w14:solidFill>
                    <w14:schemeClr w14:val="tx1"/>
                  </w14:solidFill>
                </w14:textFill>
              </w:rPr>
              <w:t>总</w:t>
            </w:r>
            <w:r>
              <w:rPr>
                <w:color w:val="000000" w:themeColor="text1"/>
                <w:sz w:val="21"/>
                <w:szCs w:val="20"/>
                <w:highlight w:val="none"/>
                <w14:textFill>
                  <w14:solidFill>
                    <w14:schemeClr w14:val="tx1"/>
                  </w14:solidFill>
                </w14:textFill>
              </w:rPr>
              <w:t>报价不得超过最高限价。</w:t>
            </w:r>
          </w:p>
        </w:tc>
        <w:tc>
          <w:tcPr>
            <w:tcW w:w="2110" w:type="dxa"/>
          </w:tcPr>
          <w:p>
            <w:pPr>
              <w:spacing w:line="240" w:lineRule="auto"/>
              <w:rPr>
                <w:color w:val="000000" w:themeColor="text1"/>
                <w:highlight w:val="none"/>
                <w14:textFill>
                  <w14:solidFill>
                    <w14:schemeClr w14:val="tx1"/>
                  </w14:solidFill>
                </w14:textFill>
              </w:rPr>
            </w:pPr>
          </w:p>
        </w:tc>
        <w:tc>
          <w:tcPr>
            <w:tcW w:w="2097" w:type="dxa"/>
          </w:tcPr>
          <w:p>
            <w:pPr>
              <w:spacing w:line="240" w:lineRule="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rFonts w:ascii="Times New Roman" w:hAnsi="Times New Roman" w:eastAsia="宋体" w:cs="Times New Roman"/>
                <w:color w:val="000000" w:themeColor="text1"/>
                <w:sz w:val="21"/>
                <w:highlight w:val="none"/>
                <w:u w:color="000000"/>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3646" w:type="dxa"/>
          </w:tcPr>
          <w:p>
            <w:pPr>
              <w:spacing w:line="240" w:lineRule="auto"/>
              <w:rPr>
                <w:color w:val="000000" w:themeColor="text1"/>
                <w:highlight w:val="none"/>
                <w14:textFill>
                  <w14:solidFill>
                    <w14:schemeClr w14:val="tx1"/>
                  </w14:solidFill>
                </w14:textFill>
              </w:rPr>
            </w:pP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3.本项目不允许转包，中标人不得对用户需求书中的内容进行分包。</w:t>
            </w:r>
          </w:p>
        </w:tc>
        <w:tc>
          <w:tcPr>
            <w:tcW w:w="2110" w:type="dxa"/>
          </w:tcPr>
          <w:p>
            <w:pPr>
              <w:spacing w:line="240" w:lineRule="auto"/>
              <w:rPr>
                <w:color w:val="000000" w:themeColor="text1"/>
                <w:highlight w:val="none"/>
                <w14:textFill>
                  <w14:solidFill>
                    <w14:schemeClr w14:val="tx1"/>
                  </w14:solidFill>
                </w14:textFill>
              </w:rPr>
            </w:pPr>
          </w:p>
        </w:tc>
        <w:tc>
          <w:tcPr>
            <w:tcW w:w="2097" w:type="dxa"/>
          </w:tcPr>
          <w:p>
            <w:pPr>
              <w:spacing w:line="240" w:lineRule="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rFonts w:ascii="Times New Roman" w:hAnsi="Times New Roman" w:eastAsia="宋体" w:cs="Times New Roman"/>
                <w:color w:val="000000" w:themeColor="text1"/>
                <w:sz w:val="21"/>
                <w:highlight w:val="none"/>
                <w:u w:color="000000"/>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3646" w:type="dxa"/>
          </w:tcPr>
          <w:p>
            <w:pPr>
              <w:spacing w:line="240" w:lineRule="auto"/>
              <w:rPr>
                <w:color w:val="000000" w:themeColor="text1"/>
                <w:highlight w:val="none"/>
                <w14:textFill>
                  <w14:solidFill>
                    <w14:schemeClr w14:val="tx1"/>
                  </w14:solidFill>
                </w14:textFill>
              </w:rPr>
            </w:pP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4.招标文件第四部分中的合同条款均为不可偏离条款，任何负偏离响应将导致投标无效，请投标人谨慎响应。</w:t>
            </w:r>
          </w:p>
        </w:tc>
        <w:tc>
          <w:tcPr>
            <w:tcW w:w="2110" w:type="dxa"/>
          </w:tcPr>
          <w:p>
            <w:pPr>
              <w:spacing w:line="240" w:lineRule="auto"/>
              <w:rPr>
                <w:color w:val="000000" w:themeColor="text1"/>
                <w:highlight w:val="none"/>
                <w14:textFill>
                  <w14:solidFill>
                    <w14:schemeClr w14:val="tx1"/>
                  </w14:solidFill>
                </w14:textFill>
              </w:rPr>
            </w:pPr>
          </w:p>
        </w:tc>
        <w:tc>
          <w:tcPr>
            <w:tcW w:w="2097" w:type="dxa"/>
          </w:tcPr>
          <w:p>
            <w:pPr>
              <w:spacing w:line="240" w:lineRule="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rFonts w:ascii="Times New Roman" w:hAnsi="Times New Roman" w:eastAsia="宋体" w:cs="Times New Roman"/>
                <w:color w:val="000000" w:themeColor="text1"/>
                <w:sz w:val="21"/>
                <w:highlight w:val="none"/>
                <w:u w:color="000000"/>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4</w:t>
            </w:r>
          </w:p>
        </w:tc>
        <w:tc>
          <w:tcPr>
            <w:tcW w:w="3646" w:type="dxa"/>
          </w:tcPr>
          <w:p>
            <w:pPr>
              <w:spacing w:line="24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★5.本项目含税人民币报价的付款方式按第二部分《用户需求书》的“付款方式”。</w:t>
            </w:r>
          </w:p>
        </w:tc>
        <w:tc>
          <w:tcPr>
            <w:tcW w:w="2110" w:type="dxa"/>
          </w:tcPr>
          <w:p>
            <w:pPr>
              <w:spacing w:line="240" w:lineRule="auto"/>
              <w:rPr>
                <w:color w:val="000000" w:themeColor="text1"/>
                <w:highlight w:val="none"/>
                <w14:textFill>
                  <w14:solidFill>
                    <w14:schemeClr w14:val="tx1"/>
                  </w14:solidFill>
                </w14:textFill>
              </w:rPr>
            </w:pPr>
          </w:p>
        </w:tc>
        <w:tc>
          <w:tcPr>
            <w:tcW w:w="2097" w:type="dxa"/>
          </w:tcPr>
          <w:p>
            <w:pPr>
              <w:spacing w:line="240" w:lineRule="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rFonts w:ascii="Times New Roman" w:hAnsi="Times New Roman" w:eastAsia="宋体" w:cs="Times New Roman"/>
                <w:color w:val="000000" w:themeColor="text1"/>
                <w:sz w:val="21"/>
                <w:highlight w:val="none"/>
                <w:u w:color="000000"/>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5</w:t>
            </w:r>
          </w:p>
        </w:tc>
        <w:tc>
          <w:tcPr>
            <w:tcW w:w="3646" w:type="dxa"/>
          </w:tcPr>
          <w:p>
            <w:pPr>
              <w:spacing w:line="240" w:lineRule="auto"/>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★1.维保服务内容：本维保指针对蔡司品牌的超高分辨共聚焦扫描显微镜LSM880 with Airyscan（SN2811000534）提供三年维保服务。此维保服务包含但不限于对设备进行维修、保养和更换配件，承担配件（包括此显微镜配备的四个激光器及其配套电源、光路元件、冷却系统、成像系统、活细胞体系、载物台、检测器、Airyscan模块等）、劳务和差旅等费用，服务期以合同约定为准。但不包含移机服务和耗材（包括物镜、冷却液、荧光灯泡、卤素灯泡、PC电脑、设备升级及第三方产品）。</w:t>
            </w:r>
          </w:p>
        </w:tc>
        <w:tc>
          <w:tcPr>
            <w:tcW w:w="2110" w:type="dxa"/>
          </w:tcPr>
          <w:p>
            <w:pPr>
              <w:spacing w:line="240" w:lineRule="auto"/>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tc>
        <w:tc>
          <w:tcPr>
            <w:tcW w:w="2097" w:type="dxa"/>
          </w:tcPr>
          <w:p>
            <w:pPr>
              <w:spacing w:line="240" w:lineRule="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rFonts w:ascii="Times New Roman" w:hAnsi="Times New Roman" w:eastAsia="宋体" w:cs="Times New Roman"/>
                <w:color w:val="000000" w:themeColor="text1"/>
                <w:sz w:val="21"/>
                <w:highlight w:val="none"/>
                <w:u w:color="000000"/>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6</w:t>
            </w:r>
          </w:p>
        </w:tc>
        <w:tc>
          <w:tcPr>
            <w:tcW w:w="3646" w:type="dxa"/>
          </w:tcPr>
          <w:p>
            <w:pPr>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★2.投标人承诺合同签订后，在采购人要求下即及时更换氩离子激光器及其配套电源和一个RGB Interface板。以及在需要时，提供两个汞灯灯泡，两瓶镜油，五个卤素灯泡。</w:t>
            </w:r>
          </w:p>
        </w:tc>
        <w:tc>
          <w:tcPr>
            <w:tcW w:w="2110" w:type="dxa"/>
          </w:tcPr>
          <w:p>
            <w:pPr>
              <w:spacing w:line="240" w:lineRule="auto"/>
              <w:rPr>
                <w:color w:val="000000" w:themeColor="text1"/>
                <w:highlight w:val="none"/>
                <w14:textFill>
                  <w14:solidFill>
                    <w14:schemeClr w14:val="tx1"/>
                  </w14:solidFill>
                </w14:textFill>
              </w:rPr>
            </w:pPr>
          </w:p>
        </w:tc>
        <w:tc>
          <w:tcPr>
            <w:tcW w:w="2097" w:type="dxa"/>
          </w:tcPr>
          <w:p>
            <w:pPr>
              <w:spacing w:line="240" w:lineRule="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rFonts w:ascii="Times New Roman" w:hAnsi="Times New Roman" w:eastAsia="宋体" w:cs="Times New Roman"/>
                <w:color w:val="000000" w:themeColor="text1"/>
                <w:sz w:val="21"/>
                <w:highlight w:val="none"/>
                <w:u w:color="000000"/>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7</w:t>
            </w:r>
          </w:p>
        </w:tc>
        <w:tc>
          <w:tcPr>
            <w:tcW w:w="3646" w:type="dxa"/>
          </w:tcPr>
          <w:p>
            <w:pPr>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★3.相关配套服务：投标人本次投标报价中应包含提供蔡司显微镜Axio Imager.Z2(SN3523001201), 蔡司显微镜Axio Observer.Z1(SN3851002884)三年维修保养服务，包含但不限于对设备进行维修、保养和更换配件，承担配件、劳务和差旅等费用（不包含移机，耗材，物镜，PC电脑，设备升级及第三方产品， 相关服务要求和标准与共聚焦显微镜的保持一致）。服务期具体起止时间以合同约定为准。</w:t>
            </w:r>
          </w:p>
        </w:tc>
        <w:tc>
          <w:tcPr>
            <w:tcW w:w="2110" w:type="dxa"/>
          </w:tcPr>
          <w:p>
            <w:pPr>
              <w:spacing w:line="240" w:lineRule="auto"/>
              <w:rPr>
                <w:color w:val="000000" w:themeColor="text1"/>
                <w:highlight w:val="none"/>
                <w14:textFill>
                  <w14:solidFill>
                    <w14:schemeClr w14:val="tx1"/>
                  </w14:solidFill>
                </w14:textFill>
              </w:rPr>
            </w:pPr>
          </w:p>
        </w:tc>
        <w:tc>
          <w:tcPr>
            <w:tcW w:w="2097" w:type="dxa"/>
          </w:tcPr>
          <w:p>
            <w:pPr>
              <w:spacing w:line="240" w:lineRule="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spacing w:line="240" w:lineRule="auto"/>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p>
        </w:tc>
        <w:tc>
          <w:tcPr>
            <w:tcW w:w="3646" w:type="dxa"/>
          </w:tcPr>
          <w:p>
            <w:pPr>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激光器更换的判断标准：（1）激光器损坏导致无法出光；（2）激光器光源散点，无法通过校准；（3）激光器能量低于指定数值，指定数值如下：光纤端能量Laser405（11.8mw）氩离子激光器（9.1mw）Laser543（0.5mw）Laser561（10.2mw）Laser594（1mw）Laser633（2.3mw）。</w:t>
            </w:r>
          </w:p>
        </w:tc>
        <w:tc>
          <w:tcPr>
            <w:tcW w:w="2110" w:type="dxa"/>
          </w:tcPr>
          <w:p>
            <w:pPr>
              <w:spacing w:line="240" w:lineRule="auto"/>
              <w:rPr>
                <w:color w:val="000000" w:themeColor="text1"/>
                <w:highlight w:val="none"/>
                <w14:textFill>
                  <w14:solidFill>
                    <w14:schemeClr w14:val="tx1"/>
                  </w14:solidFill>
                </w14:textFill>
              </w:rPr>
            </w:pPr>
          </w:p>
        </w:tc>
        <w:tc>
          <w:tcPr>
            <w:tcW w:w="2097" w:type="dxa"/>
          </w:tcPr>
          <w:p>
            <w:pPr>
              <w:spacing w:line="240" w:lineRule="auto"/>
              <w:rPr>
                <w:color w:val="000000" w:themeColor="text1"/>
                <w:highlight w:val="none"/>
                <w14:textFill>
                  <w14:solidFill>
                    <w14:schemeClr w14:val="tx1"/>
                  </w14:solidFill>
                </w14:textFill>
              </w:rPr>
            </w:pPr>
          </w:p>
        </w:tc>
      </w:tr>
    </w:tbl>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说明：</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 投标人须对本表所列实质性条款一一予以响应，“投标人响应情况”一栏应填写具体的响应内容，有偏离的要在备注栏中具体说明。</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 请投标人认真填写本表内容，如填写错误将可能导致投标无效。</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投标人名称（全称，并加盖公章）：__________________________</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法定代表人或投标人授权代表（签字）：__________________________</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日期：______年______月_____日</w:t>
      </w:r>
    </w:p>
    <w:p>
      <w:pPr>
        <w:pStyle w:val="6"/>
        <w:rPr>
          <w:color w:val="000000" w:themeColor="text1"/>
          <w:highlight w:val="none"/>
          <w14:textFill>
            <w14:solidFill>
              <w14:schemeClr w14:val="tx1"/>
            </w14:solidFill>
          </w14:textFill>
        </w:rPr>
      </w:pPr>
      <w:r>
        <w:rPr>
          <w:color w:val="000000" w:themeColor="text1"/>
          <w:sz w:val="28"/>
          <w:highlight w:val="none"/>
          <w14:textFill>
            <w14:solidFill>
              <w14:schemeClr w14:val="tx1"/>
            </w14:solidFill>
          </w14:textFill>
        </w:rPr>
        <w:br w:type="page"/>
      </w:r>
      <w:bookmarkStart w:id="110" w:name="_Toc102987783"/>
      <w:r>
        <w:rPr>
          <w:color w:val="000000" w:themeColor="text1"/>
          <w:sz w:val="24"/>
          <w:szCs w:val="24"/>
          <w:highlight w:val="none"/>
          <w14:textFill>
            <w14:solidFill>
              <w14:schemeClr w14:val="tx1"/>
            </w14:solidFill>
          </w14:textFill>
        </w:rPr>
        <w:t>2.报价材料</w:t>
      </w:r>
      <w:bookmarkEnd w:id="110"/>
    </w:p>
    <w:p>
      <w:pPr>
        <w:pStyle w:val="7"/>
        <w:rPr>
          <w:rFonts w:ascii="宋体" w:hAnsi="宋体" w:eastAsia="宋体" w:cs="宋体"/>
          <w:color w:val="000000" w:themeColor="text1"/>
          <w:sz w:val="24"/>
          <w:szCs w:val="24"/>
          <w:highlight w:val="none"/>
          <w14:textFill>
            <w14:solidFill>
              <w14:schemeClr w14:val="tx1"/>
            </w14:solidFill>
          </w14:textFill>
        </w:rPr>
      </w:pPr>
      <w:bookmarkStart w:id="111" w:name="_Toc102987784"/>
      <w:r>
        <w:rPr>
          <w:rFonts w:hint="eastAsia" w:ascii="宋体" w:hAnsi="宋体" w:eastAsia="宋体" w:cs="宋体"/>
          <w:color w:val="000000" w:themeColor="text1"/>
          <w:sz w:val="24"/>
          <w:szCs w:val="24"/>
          <w:highlight w:val="none"/>
          <w14:textFill>
            <w14:solidFill>
              <w14:schemeClr w14:val="tx1"/>
            </w14:solidFill>
          </w14:textFill>
        </w:rPr>
        <w:t>2.1开标一览表（服务类）格式</w:t>
      </w:r>
      <w:bookmarkEnd w:id="111"/>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开标一览表（</w:t>
      </w:r>
      <w:r>
        <w:rPr>
          <w:rFonts w:hint="eastAsia"/>
          <w:b/>
          <w:bCs/>
          <w:color w:val="000000" w:themeColor="text1"/>
          <w:sz w:val="32"/>
          <w:szCs w:val="32"/>
          <w:highlight w:val="none"/>
          <w14:textFill>
            <w14:solidFill>
              <w14:schemeClr w14:val="tx1"/>
            </w14:solidFill>
          </w14:textFill>
        </w:rPr>
        <w:t>服务</w:t>
      </w:r>
      <w:r>
        <w:rPr>
          <w:b/>
          <w:bCs/>
          <w:color w:val="000000" w:themeColor="text1"/>
          <w:sz w:val="32"/>
          <w:szCs w:val="32"/>
          <w:highlight w:val="none"/>
          <w14:textFill>
            <w14:solidFill>
              <w14:schemeClr w14:val="tx1"/>
            </w14:solidFill>
          </w14:textFill>
        </w:rPr>
        <w:t>类）</w:t>
      </w:r>
    </w:p>
    <w:p>
      <w:pPr>
        <w:spacing w:line="240" w:lineRule="auto"/>
        <w:textAlignment w:val="baseline"/>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投标人名称：                                             </w:t>
      </w:r>
    </w:p>
    <w:p>
      <w:pPr>
        <w:spacing w:line="240" w:lineRule="auto"/>
        <w:textAlignment w:val="baseline"/>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金额单位：元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5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530" w:type="dxa"/>
            <w:vAlign w:val="center"/>
          </w:tcPr>
          <w:p>
            <w:pPr>
              <w:spacing w:line="240" w:lineRule="auto"/>
              <w:jc w:val="center"/>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项目编号及</w:t>
            </w:r>
            <w:r>
              <w:rPr>
                <w:color w:val="000000" w:themeColor="text1"/>
                <w:szCs w:val="21"/>
                <w:highlight w:val="none"/>
                <w14:textFill>
                  <w14:solidFill>
                    <w14:schemeClr w14:val="tx1"/>
                  </w14:solidFill>
                </w14:textFill>
              </w:rPr>
              <w:t>项目名称</w:t>
            </w:r>
          </w:p>
        </w:tc>
        <w:tc>
          <w:tcPr>
            <w:tcW w:w="5184" w:type="dxa"/>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530" w:type="dxa"/>
            <w:vAlign w:val="center"/>
          </w:tcPr>
          <w:p>
            <w:pPr>
              <w:spacing w:line="24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包组</w:t>
            </w:r>
            <w:r>
              <w:rPr>
                <w:color w:val="000000" w:themeColor="text1"/>
                <w:highlight w:val="none"/>
                <w14:textFill>
                  <w14:solidFill>
                    <w14:schemeClr w14:val="tx1"/>
                  </w14:solidFill>
                </w14:textFill>
              </w:rPr>
              <w:t>及采购内容</w:t>
            </w:r>
          </w:p>
        </w:tc>
        <w:tc>
          <w:tcPr>
            <w:tcW w:w="5184"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第    </w:t>
            </w:r>
            <w:r>
              <w:rPr>
                <w:rFonts w:hint="eastAsia"/>
                <w:color w:val="000000" w:themeColor="text1"/>
                <w:highlight w:val="none"/>
                <w14:textFill>
                  <w14:solidFill>
                    <w14:schemeClr w14:val="tx1"/>
                  </w14:solidFill>
                </w14:textFill>
              </w:rPr>
              <w:t>包组</w:t>
            </w:r>
            <w:r>
              <w:rPr>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530" w:type="dxa"/>
            <w:vMerge w:val="restart"/>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投标总报价</w:t>
            </w:r>
          </w:p>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（货币：</w:t>
            </w:r>
            <w:r>
              <w:rPr>
                <w:rFonts w:hint="eastAsia"/>
                <w:b/>
                <w:color w:val="000000" w:themeColor="text1"/>
                <w:highlight w:val="none"/>
                <w14:textFill>
                  <w14:solidFill>
                    <w14:schemeClr w14:val="tx1"/>
                  </w14:solidFill>
                </w14:textFill>
              </w:rPr>
              <w:t>人民币</w:t>
            </w:r>
            <w:r>
              <w:rPr>
                <w:color w:val="000000" w:themeColor="text1"/>
                <w:highlight w:val="none"/>
                <w14:textFill>
                  <w14:solidFill>
                    <w14:schemeClr w14:val="tx1"/>
                  </w14:solidFill>
                </w14:textFill>
              </w:rPr>
              <w:t>）</w:t>
            </w:r>
          </w:p>
        </w:tc>
        <w:tc>
          <w:tcPr>
            <w:tcW w:w="5184"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530" w:type="dxa"/>
            <w:vMerge w:val="continue"/>
            <w:vAlign w:val="center"/>
          </w:tcPr>
          <w:p>
            <w:pPr>
              <w:spacing w:line="288" w:lineRule="auto"/>
              <w:jc w:val="left"/>
              <w:rPr>
                <w:color w:val="000000" w:themeColor="text1"/>
                <w:highlight w:val="none"/>
                <w14:textFill>
                  <w14:solidFill>
                    <w14:schemeClr w14:val="tx1"/>
                  </w14:solidFill>
                </w14:textFill>
              </w:rPr>
            </w:pPr>
          </w:p>
        </w:tc>
        <w:tc>
          <w:tcPr>
            <w:tcW w:w="5184" w:type="dxa"/>
            <w:vAlign w:val="center"/>
          </w:tcPr>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530" w:type="dxa"/>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c>
          <w:tcPr>
            <w:tcW w:w="5184" w:type="dxa"/>
            <w:vAlign w:val="center"/>
          </w:tcPr>
          <w:p>
            <w:pPr>
              <w:rPr>
                <w:color w:val="000000" w:themeColor="text1"/>
                <w:szCs w:val="21"/>
                <w:highlight w:val="none"/>
                <w14:textFill>
                  <w14:solidFill>
                    <w14:schemeClr w14:val="tx1"/>
                  </w14:solidFill>
                </w14:textFill>
              </w:rPr>
            </w:pPr>
          </w:p>
        </w:tc>
      </w:tr>
    </w:tbl>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说明：</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1、本表投标总价应与投标文件中报价表的总报价一致，否则投标人承担无效响应的风险。</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2、与本表同时公开唱标的内容包括对其投标文件的修改或撤回通知、投标价折扣声明、其他采购人认为应该宣读的内容等。</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投标人名称（全称，并加盖公章）：__________________________</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法定代表人或投标人授权代表（签字）：__________________________</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日期：______年______月_____日</w:t>
      </w:r>
    </w:p>
    <w:p>
      <w:pPr>
        <w:pStyle w:val="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End w:id="100"/>
      <w:bookmarkEnd w:id="101"/>
      <w:bookmarkEnd w:id="102"/>
      <w:bookmarkStart w:id="112" w:name="_Toc102987785"/>
      <w:r>
        <w:rPr>
          <w:rFonts w:hint="eastAsia" w:ascii="宋体" w:hAnsi="宋体" w:eastAsia="宋体" w:cs="宋体"/>
          <w:color w:val="000000" w:themeColor="text1"/>
          <w:sz w:val="24"/>
          <w:szCs w:val="24"/>
          <w:highlight w:val="none"/>
          <w14:textFill>
            <w14:solidFill>
              <w14:schemeClr w14:val="tx1"/>
            </w14:solidFill>
          </w14:textFill>
        </w:rPr>
        <w:t>2.2投标报价表格式</w:t>
      </w:r>
      <w:bookmarkEnd w:id="112"/>
    </w:p>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投标明细项目清单报价表（货物类采购提供）</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项目名称：                    项目编号:                         金额计量单位：元                                                                  </w:t>
      </w:r>
    </w:p>
    <w:tbl>
      <w:tblPr>
        <w:tblStyle w:val="39"/>
        <w:tblW w:w="9614" w:type="dxa"/>
        <w:jc w:val="center"/>
        <w:tblLayout w:type="fixed"/>
        <w:tblCellMar>
          <w:top w:w="0" w:type="dxa"/>
          <w:left w:w="108" w:type="dxa"/>
          <w:bottom w:w="0" w:type="dxa"/>
          <w:right w:w="108" w:type="dxa"/>
        </w:tblCellMar>
      </w:tblPr>
      <w:tblGrid>
        <w:gridCol w:w="424"/>
        <w:gridCol w:w="709"/>
        <w:gridCol w:w="519"/>
        <w:gridCol w:w="851"/>
        <w:gridCol w:w="850"/>
        <w:gridCol w:w="850"/>
        <w:gridCol w:w="624"/>
        <w:gridCol w:w="425"/>
        <w:gridCol w:w="603"/>
        <w:gridCol w:w="624"/>
        <w:gridCol w:w="624"/>
        <w:gridCol w:w="794"/>
        <w:gridCol w:w="578"/>
        <w:gridCol w:w="1139"/>
      </w:tblGrid>
      <w:tr>
        <w:tblPrEx>
          <w:tblCellMar>
            <w:top w:w="0" w:type="dxa"/>
            <w:left w:w="108" w:type="dxa"/>
            <w:bottom w:w="0" w:type="dxa"/>
            <w:right w:w="108" w:type="dxa"/>
          </w:tblCellMar>
        </w:tblPrEx>
        <w:trPr>
          <w:trHeight w:val="310" w:hRule="atLeast"/>
          <w:jc w:val="center"/>
        </w:trPr>
        <w:tc>
          <w:tcPr>
            <w:tcW w:w="424" w:type="dxa"/>
            <w:tcBorders>
              <w:top w:val="single" w:color="000000" w:sz="4" w:space="0"/>
              <w:left w:val="single" w:color="auto" w:sz="8"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序号</w:t>
            </w:r>
          </w:p>
        </w:tc>
        <w:tc>
          <w:tcPr>
            <w:tcW w:w="709" w:type="dxa"/>
            <w:tcBorders>
              <w:top w:val="single" w:color="000000" w:sz="4" w:space="0"/>
              <w:left w:val="single" w:color="auto"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货物名称</w:t>
            </w:r>
          </w:p>
        </w:tc>
        <w:tc>
          <w:tcPr>
            <w:tcW w:w="519" w:type="dxa"/>
            <w:tcBorders>
              <w:top w:val="single" w:color="000000" w:sz="4" w:space="0"/>
              <w:left w:val="single" w:color="auto" w:sz="4" w:space="0"/>
              <w:bottom w:val="single" w:color="000000"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品牌</w:t>
            </w:r>
          </w:p>
        </w:tc>
        <w:tc>
          <w:tcPr>
            <w:tcW w:w="851" w:type="dxa"/>
            <w:tcBorders>
              <w:top w:val="single" w:color="000000" w:sz="4" w:space="0"/>
              <w:left w:val="single" w:color="auto"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规格</w:t>
            </w:r>
          </w:p>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型号</w:t>
            </w:r>
            <w:r>
              <w:rPr>
                <w:color w:val="000000" w:themeColor="text1"/>
                <w:sz w:val="18"/>
                <w:szCs w:val="18"/>
                <w:highlight w:val="none"/>
                <w14:textFill>
                  <w14:solidFill>
                    <w14:schemeClr w14:val="tx1"/>
                  </w14:solidFill>
                </w14:textFill>
              </w:rPr>
              <w:br w:type="textWrapping"/>
            </w:r>
            <w:r>
              <w:rPr>
                <w:color w:val="000000" w:themeColor="text1"/>
                <w:sz w:val="18"/>
                <w:szCs w:val="18"/>
                <w:highlight w:val="none"/>
                <w14:textFill>
                  <w14:solidFill>
                    <w14:schemeClr w14:val="tx1"/>
                  </w14:solidFill>
                </w14:textFill>
              </w:rPr>
              <w:t>（必填）</w:t>
            </w:r>
          </w:p>
        </w:tc>
        <w:tc>
          <w:tcPr>
            <w:tcW w:w="850" w:type="dxa"/>
            <w:tcBorders>
              <w:top w:val="single" w:color="000000" w:sz="4" w:space="0"/>
              <w:left w:val="single" w:color="auto"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原产地</w:t>
            </w:r>
            <w:r>
              <w:rPr>
                <w:color w:val="000000" w:themeColor="text1"/>
                <w:sz w:val="18"/>
                <w:szCs w:val="18"/>
                <w:highlight w:val="none"/>
                <w14:textFill>
                  <w14:solidFill>
                    <w14:schemeClr w14:val="tx1"/>
                  </w14:solidFill>
                </w14:textFill>
              </w:rPr>
              <w:br w:type="textWrapping"/>
            </w:r>
            <w:r>
              <w:rPr>
                <w:color w:val="000000" w:themeColor="text1"/>
                <w:sz w:val="18"/>
                <w:szCs w:val="18"/>
                <w:highlight w:val="none"/>
                <w14:textFill>
                  <w14:solidFill>
                    <w14:schemeClr w14:val="tx1"/>
                  </w14:solidFill>
                </w14:textFill>
              </w:rPr>
              <w:t>(必填)</w:t>
            </w:r>
          </w:p>
        </w:tc>
        <w:tc>
          <w:tcPr>
            <w:tcW w:w="850" w:type="dxa"/>
            <w:tcBorders>
              <w:top w:val="single" w:color="000000" w:sz="4" w:space="0"/>
              <w:left w:val="single" w:color="auto"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制造商</w:t>
            </w:r>
            <w:r>
              <w:rPr>
                <w:color w:val="000000" w:themeColor="text1"/>
                <w:sz w:val="18"/>
                <w:szCs w:val="18"/>
                <w:highlight w:val="none"/>
                <w14:textFill>
                  <w14:solidFill>
                    <w14:schemeClr w14:val="tx1"/>
                  </w14:solidFill>
                </w14:textFill>
              </w:rPr>
              <w:br w:type="textWrapping"/>
            </w:r>
            <w:r>
              <w:rPr>
                <w:color w:val="000000" w:themeColor="text1"/>
                <w:sz w:val="18"/>
                <w:szCs w:val="18"/>
                <w:highlight w:val="none"/>
                <w14:textFill>
                  <w14:solidFill>
                    <w14:schemeClr w14:val="tx1"/>
                  </w14:solidFill>
                </w14:textFill>
              </w:rPr>
              <w:t>（必填）</w:t>
            </w:r>
          </w:p>
        </w:tc>
        <w:tc>
          <w:tcPr>
            <w:tcW w:w="624" w:type="dxa"/>
            <w:tcBorders>
              <w:top w:val="single" w:color="000000" w:sz="4" w:space="0"/>
              <w:left w:val="single" w:color="auto" w:sz="4" w:space="0"/>
              <w:bottom w:val="single" w:color="000000"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执行标准</w:t>
            </w:r>
          </w:p>
        </w:tc>
        <w:tc>
          <w:tcPr>
            <w:tcW w:w="425" w:type="dxa"/>
            <w:tcBorders>
              <w:top w:val="single" w:color="000000" w:sz="4" w:space="0"/>
              <w:left w:val="single" w:color="auto"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数量</w:t>
            </w:r>
          </w:p>
        </w:tc>
        <w:tc>
          <w:tcPr>
            <w:tcW w:w="603" w:type="dxa"/>
            <w:tcBorders>
              <w:top w:val="single" w:color="000000" w:sz="4" w:space="0"/>
              <w:left w:val="single" w:color="auto"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计量单位</w:t>
            </w:r>
          </w:p>
        </w:tc>
        <w:tc>
          <w:tcPr>
            <w:tcW w:w="624" w:type="dxa"/>
            <w:tcBorders>
              <w:top w:val="single" w:color="000000" w:sz="4" w:space="0"/>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货物单价</w:t>
            </w:r>
          </w:p>
        </w:tc>
        <w:tc>
          <w:tcPr>
            <w:tcW w:w="624" w:type="dxa"/>
            <w:tcBorders>
              <w:top w:val="single" w:color="000000" w:sz="4" w:space="0"/>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合计价格</w:t>
            </w:r>
          </w:p>
        </w:tc>
        <w:tc>
          <w:tcPr>
            <w:tcW w:w="794" w:type="dxa"/>
            <w:tcBorders>
              <w:top w:val="single" w:color="000000" w:sz="4" w:space="0"/>
              <w:left w:val="single" w:color="auto" w:sz="4" w:space="0"/>
              <w:bottom w:val="single" w:color="000000"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交货</w:t>
            </w:r>
          </w:p>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时间</w:t>
            </w:r>
            <w:r>
              <w:rPr>
                <w:color w:val="000000" w:themeColor="text1"/>
                <w:sz w:val="18"/>
                <w:szCs w:val="18"/>
                <w:highlight w:val="none"/>
                <w14:textFill>
                  <w14:solidFill>
                    <w14:schemeClr w14:val="tx1"/>
                  </w14:solidFill>
                </w14:textFill>
              </w:rPr>
              <w:br w:type="textWrapping"/>
            </w:r>
            <w:r>
              <w:rPr>
                <w:color w:val="000000" w:themeColor="text1"/>
                <w:sz w:val="18"/>
                <w:szCs w:val="18"/>
                <w:highlight w:val="none"/>
                <w14:textFill>
                  <w14:solidFill>
                    <w14:schemeClr w14:val="tx1"/>
                  </w14:solidFill>
                </w14:textFill>
              </w:rPr>
              <w:t>(必填)</w:t>
            </w:r>
          </w:p>
        </w:tc>
        <w:tc>
          <w:tcPr>
            <w:tcW w:w="578" w:type="dxa"/>
            <w:tcBorders>
              <w:top w:val="single" w:color="000000" w:sz="4" w:space="0"/>
              <w:left w:val="single" w:color="auto"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质保期</w:t>
            </w:r>
          </w:p>
        </w:tc>
        <w:tc>
          <w:tcPr>
            <w:tcW w:w="1134" w:type="dxa"/>
            <w:tcBorders>
              <w:top w:val="single" w:color="000000" w:sz="4" w:space="0"/>
              <w:left w:val="single" w:color="auto"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备注</w:t>
            </w:r>
          </w:p>
        </w:tc>
      </w:tr>
      <w:tr>
        <w:tblPrEx>
          <w:tblCellMar>
            <w:top w:w="0" w:type="dxa"/>
            <w:left w:w="108" w:type="dxa"/>
            <w:bottom w:w="0" w:type="dxa"/>
            <w:right w:w="108" w:type="dxa"/>
          </w:tblCellMar>
        </w:tblPrEx>
        <w:trPr>
          <w:trHeight w:val="259" w:hRule="atLeast"/>
          <w:jc w:val="center"/>
        </w:trPr>
        <w:tc>
          <w:tcPr>
            <w:tcW w:w="424" w:type="dxa"/>
            <w:tcBorders>
              <w:top w:val="nil"/>
              <w:left w:val="single" w:color="auto" w:sz="8"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w:t>
            </w:r>
          </w:p>
        </w:tc>
        <w:tc>
          <w:tcPr>
            <w:tcW w:w="709"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p>
        </w:tc>
        <w:tc>
          <w:tcPr>
            <w:tcW w:w="519" w:type="dxa"/>
            <w:tcBorders>
              <w:top w:val="single" w:color="000000" w:sz="4" w:space="0"/>
              <w:left w:val="nil"/>
              <w:bottom w:val="single" w:color="auto" w:sz="4" w:space="0"/>
              <w:right w:val="single" w:color="000000" w:sz="4" w:space="0"/>
            </w:tcBorders>
          </w:tcPr>
          <w:p>
            <w:pPr>
              <w:spacing w:line="240" w:lineRule="auto"/>
              <w:jc w:val="center"/>
              <w:rPr>
                <w:color w:val="000000" w:themeColor="text1"/>
                <w:sz w:val="18"/>
                <w:szCs w:val="18"/>
                <w:highlight w:val="none"/>
                <w14:textFill>
                  <w14:solidFill>
                    <w14:schemeClr w14:val="tx1"/>
                  </w14:solidFill>
                </w14:textFill>
              </w:rPr>
            </w:pPr>
          </w:p>
        </w:tc>
        <w:tc>
          <w:tcPr>
            <w:tcW w:w="851" w:type="dxa"/>
            <w:tcBorders>
              <w:top w:val="nil"/>
              <w:left w:val="single" w:color="000000"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single" w:color="000000" w:sz="4" w:space="0"/>
              <w:left w:val="nil"/>
              <w:bottom w:val="single" w:color="auto" w:sz="4" w:space="0"/>
              <w:right w:val="single" w:color="000000" w:sz="4" w:space="0"/>
            </w:tcBorders>
          </w:tcPr>
          <w:p>
            <w:pPr>
              <w:rPr>
                <w:color w:val="000000" w:themeColor="text1"/>
                <w:sz w:val="18"/>
                <w:szCs w:val="18"/>
                <w:highlight w:val="none"/>
                <w14:textFill>
                  <w14:solidFill>
                    <w14:schemeClr w14:val="tx1"/>
                  </w14:solidFill>
                </w14:textFill>
              </w:rPr>
            </w:pPr>
          </w:p>
        </w:tc>
        <w:tc>
          <w:tcPr>
            <w:tcW w:w="425" w:type="dxa"/>
            <w:tcBorders>
              <w:top w:val="nil"/>
              <w:left w:val="single" w:color="000000" w:sz="4" w:space="0"/>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xml:space="preserve">       </w:t>
            </w:r>
          </w:p>
        </w:tc>
        <w:tc>
          <w:tcPr>
            <w:tcW w:w="603"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p>
        </w:tc>
        <w:tc>
          <w:tcPr>
            <w:tcW w:w="62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79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78"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spacing w:line="200" w:lineRule="atLeast"/>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须附上该项的配置清单，格式详见配置清</w:t>
            </w:r>
          </w:p>
          <w:p>
            <w:pPr>
              <w:spacing w:line="200" w:lineRule="atLeast"/>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单。　</w:t>
            </w:r>
          </w:p>
        </w:tc>
      </w:tr>
      <w:tr>
        <w:tblPrEx>
          <w:tblCellMar>
            <w:top w:w="0" w:type="dxa"/>
            <w:left w:w="108" w:type="dxa"/>
            <w:bottom w:w="0" w:type="dxa"/>
            <w:right w:w="108" w:type="dxa"/>
          </w:tblCellMar>
        </w:tblPrEx>
        <w:trPr>
          <w:trHeight w:val="392" w:hRule="atLeast"/>
          <w:jc w:val="center"/>
        </w:trPr>
        <w:tc>
          <w:tcPr>
            <w:tcW w:w="424" w:type="dxa"/>
            <w:tcBorders>
              <w:top w:val="nil"/>
              <w:left w:val="single" w:color="auto" w:sz="8"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2</w:t>
            </w:r>
          </w:p>
        </w:tc>
        <w:tc>
          <w:tcPr>
            <w:tcW w:w="709"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19" w:type="dxa"/>
            <w:tcBorders>
              <w:top w:val="nil"/>
              <w:left w:val="nil"/>
              <w:bottom w:val="single" w:color="auto" w:sz="4" w:space="0"/>
              <w:right w:val="single" w:color="000000" w:sz="4" w:space="0"/>
            </w:tcBorders>
          </w:tcPr>
          <w:p>
            <w:pPr>
              <w:spacing w:line="240" w:lineRule="auto"/>
              <w:jc w:val="center"/>
              <w:rPr>
                <w:color w:val="000000" w:themeColor="text1"/>
                <w:sz w:val="18"/>
                <w:szCs w:val="18"/>
                <w:highlight w:val="none"/>
                <w14:textFill>
                  <w14:solidFill>
                    <w14:schemeClr w14:val="tx1"/>
                  </w14:solidFill>
                </w14:textFill>
              </w:rPr>
            </w:pPr>
          </w:p>
        </w:tc>
        <w:tc>
          <w:tcPr>
            <w:tcW w:w="851" w:type="dxa"/>
            <w:tcBorders>
              <w:top w:val="nil"/>
              <w:left w:val="single" w:color="000000"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000000" w:sz="4" w:space="0"/>
            </w:tcBorders>
          </w:tcPr>
          <w:p>
            <w:pPr>
              <w:rPr>
                <w:color w:val="000000" w:themeColor="text1"/>
                <w:sz w:val="18"/>
                <w:szCs w:val="18"/>
                <w:highlight w:val="none"/>
                <w14:textFill>
                  <w14:solidFill>
                    <w14:schemeClr w14:val="tx1"/>
                  </w14:solidFill>
                </w14:textFill>
              </w:rPr>
            </w:pPr>
          </w:p>
        </w:tc>
        <w:tc>
          <w:tcPr>
            <w:tcW w:w="425" w:type="dxa"/>
            <w:tcBorders>
              <w:top w:val="nil"/>
              <w:left w:val="single" w:color="000000" w:sz="4" w:space="0"/>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03"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79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78"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1134"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12" w:hRule="atLeast"/>
          <w:jc w:val="center"/>
        </w:trPr>
        <w:tc>
          <w:tcPr>
            <w:tcW w:w="424" w:type="dxa"/>
            <w:tcBorders>
              <w:top w:val="nil"/>
              <w:left w:val="single" w:color="auto" w:sz="8"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3</w:t>
            </w:r>
          </w:p>
        </w:tc>
        <w:tc>
          <w:tcPr>
            <w:tcW w:w="709"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19" w:type="dxa"/>
            <w:tcBorders>
              <w:top w:val="nil"/>
              <w:left w:val="nil"/>
              <w:bottom w:val="single" w:color="auto" w:sz="4" w:space="0"/>
              <w:right w:val="single" w:color="000000" w:sz="4" w:space="0"/>
            </w:tcBorders>
          </w:tcPr>
          <w:p>
            <w:pPr>
              <w:spacing w:line="240" w:lineRule="auto"/>
              <w:jc w:val="center"/>
              <w:rPr>
                <w:color w:val="000000" w:themeColor="text1"/>
                <w:sz w:val="18"/>
                <w:szCs w:val="18"/>
                <w:highlight w:val="none"/>
                <w14:textFill>
                  <w14:solidFill>
                    <w14:schemeClr w14:val="tx1"/>
                  </w14:solidFill>
                </w14:textFill>
              </w:rPr>
            </w:pPr>
          </w:p>
        </w:tc>
        <w:tc>
          <w:tcPr>
            <w:tcW w:w="851" w:type="dxa"/>
            <w:tcBorders>
              <w:top w:val="nil"/>
              <w:left w:val="single" w:color="000000"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000000" w:sz="4" w:space="0"/>
            </w:tcBorders>
          </w:tcPr>
          <w:p>
            <w:pPr>
              <w:rPr>
                <w:color w:val="000000" w:themeColor="text1"/>
                <w:sz w:val="18"/>
                <w:szCs w:val="18"/>
                <w:highlight w:val="none"/>
                <w14:textFill>
                  <w14:solidFill>
                    <w14:schemeClr w14:val="tx1"/>
                  </w14:solidFill>
                </w14:textFill>
              </w:rPr>
            </w:pPr>
          </w:p>
        </w:tc>
        <w:tc>
          <w:tcPr>
            <w:tcW w:w="425" w:type="dxa"/>
            <w:tcBorders>
              <w:top w:val="nil"/>
              <w:left w:val="single" w:color="000000" w:sz="4" w:space="0"/>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03"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79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78"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1134"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19" w:hRule="atLeast"/>
          <w:jc w:val="center"/>
        </w:trPr>
        <w:tc>
          <w:tcPr>
            <w:tcW w:w="424" w:type="dxa"/>
            <w:tcBorders>
              <w:top w:val="nil"/>
              <w:left w:val="single" w:color="auto" w:sz="8"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4</w:t>
            </w:r>
          </w:p>
        </w:tc>
        <w:tc>
          <w:tcPr>
            <w:tcW w:w="709"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19" w:type="dxa"/>
            <w:tcBorders>
              <w:top w:val="nil"/>
              <w:left w:val="nil"/>
              <w:bottom w:val="single" w:color="auto" w:sz="4" w:space="0"/>
              <w:right w:val="single" w:color="000000" w:sz="4" w:space="0"/>
            </w:tcBorders>
          </w:tcPr>
          <w:p>
            <w:pPr>
              <w:spacing w:line="240" w:lineRule="auto"/>
              <w:jc w:val="center"/>
              <w:rPr>
                <w:color w:val="000000" w:themeColor="text1"/>
                <w:sz w:val="18"/>
                <w:szCs w:val="18"/>
                <w:highlight w:val="none"/>
                <w14:textFill>
                  <w14:solidFill>
                    <w14:schemeClr w14:val="tx1"/>
                  </w14:solidFill>
                </w14:textFill>
              </w:rPr>
            </w:pPr>
          </w:p>
        </w:tc>
        <w:tc>
          <w:tcPr>
            <w:tcW w:w="851" w:type="dxa"/>
            <w:tcBorders>
              <w:top w:val="nil"/>
              <w:left w:val="single" w:color="000000" w:sz="4" w:space="0"/>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000000" w:sz="4" w:space="0"/>
            </w:tcBorders>
          </w:tcPr>
          <w:p>
            <w:pPr>
              <w:rPr>
                <w:color w:val="000000" w:themeColor="text1"/>
                <w:sz w:val="18"/>
                <w:szCs w:val="18"/>
                <w:highlight w:val="none"/>
                <w14:textFill>
                  <w14:solidFill>
                    <w14:schemeClr w14:val="tx1"/>
                  </w14:solidFill>
                </w14:textFill>
              </w:rPr>
            </w:pPr>
          </w:p>
        </w:tc>
        <w:tc>
          <w:tcPr>
            <w:tcW w:w="425" w:type="dxa"/>
            <w:tcBorders>
              <w:top w:val="nil"/>
              <w:left w:val="single" w:color="000000" w:sz="4" w:space="0"/>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03"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794" w:type="dxa"/>
            <w:tcBorders>
              <w:top w:val="nil"/>
              <w:left w:val="nil"/>
              <w:bottom w:val="single" w:color="auto" w:sz="4" w:space="0"/>
              <w:right w:val="single" w:color="auto" w:sz="4"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78"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1134" w:type="dxa"/>
            <w:tcBorders>
              <w:top w:val="nil"/>
              <w:left w:val="nil"/>
              <w:bottom w:val="single" w:color="auto" w:sz="4" w:space="0"/>
              <w:right w:val="single" w:color="auto" w:sz="4" w:space="0"/>
            </w:tcBorders>
            <w:vAlign w:val="center"/>
          </w:tcPr>
          <w:p>
            <w:pPr>
              <w:rPr>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11" w:hRule="atLeast"/>
          <w:jc w:val="center"/>
        </w:trPr>
        <w:tc>
          <w:tcPr>
            <w:tcW w:w="424" w:type="dxa"/>
            <w:tcBorders>
              <w:top w:val="single" w:color="auto" w:sz="4" w:space="0"/>
              <w:left w:val="single" w:color="auto" w:sz="4" w:space="0"/>
              <w:bottom w:val="single" w:color="auto" w:sz="6" w:space="0"/>
              <w:right w:val="single" w:color="auto" w:sz="6" w:space="0"/>
            </w:tcBorders>
            <w:shd w:val="clear" w:color="auto" w:fill="auto"/>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5</w:t>
            </w:r>
          </w:p>
        </w:tc>
        <w:tc>
          <w:tcPr>
            <w:tcW w:w="709" w:type="dxa"/>
            <w:tcBorders>
              <w:top w:val="single" w:color="auto" w:sz="4" w:space="0"/>
              <w:left w:val="single" w:color="auto" w:sz="6" w:space="0"/>
              <w:bottom w:val="single" w:color="auto" w:sz="6" w:space="0"/>
              <w:right w:val="single" w:color="auto" w:sz="6" w:space="0"/>
            </w:tcBorders>
            <w:shd w:val="clear" w:color="000000" w:fill="FFFFFF"/>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19" w:type="dxa"/>
            <w:tcBorders>
              <w:top w:val="single" w:color="auto" w:sz="4" w:space="0"/>
              <w:left w:val="single" w:color="auto" w:sz="6" w:space="0"/>
              <w:bottom w:val="single" w:color="auto" w:sz="6" w:space="0"/>
              <w:right w:val="single" w:color="000000" w:sz="4" w:space="0"/>
            </w:tcBorders>
          </w:tcPr>
          <w:p>
            <w:pPr>
              <w:spacing w:line="240" w:lineRule="auto"/>
              <w:jc w:val="center"/>
              <w:rPr>
                <w:color w:val="000000" w:themeColor="text1"/>
                <w:sz w:val="18"/>
                <w:szCs w:val="18"/>
                <w:highlight w:val="none"/>
                <w14:textFill>
                  <w14:solidFill>
                    <w14:schemeClr w14:val="tx1"/>
                  </w14:solidFill>
                </w14:textFill>
              </w:rPr>
            </w:pPr>
          </w:p>
        </w:tc>
        <w:tc>
          <w:tcPr>
            <w:tcW w:w="851" w:type="dxa"/>
            <w:tcBorders>
              <w:top w:val="single" w:color="auto" w:sz="4" w:space="0"/>
              <w:left w:val="single" w:color="000000" w:sz="4" w:space="0"/>
              <w:bottom w:val="single" w:color="auto" w:sz="6" w:space="0"/>
              <w:right w:val="single" w:color="auto" w:sz="6"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single" w:color="auto" w:sz="4" w:space="0"/>
              <w:left w:val="single" w:color="auto" w:sz="6" w:space="0"/>
              <w:bottom w:val="single" w:color="auto" w:sz="6" w:space="0"/>
              <w:right w:val="single" w:color="auto" w:sz="6"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850" w:type="dxa"/>
            <w:tcBorders>
              <w:top w:val="single" w:color="auto" w:sz="4" w:space="0"/>
              <w:left w:val="single" w:color="auto" w:sz="6" w:space="0"/>
              <w:bottom w:val="single" w:color="auto" w:sz="6" w:space="0"/>
              <w:right w:val="single" w:color="auto" w:sz="6"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single" w:color="auto" w:sz="4" w:space="0"/>
              <w:left w:val="single" w:color="auto" w:sz="6" w:space="0"/>
              <w:bottom w:val="single" w:color="auto" w:sz="6" w:space="0"/>
              <w:right w:val="single" w:color="auto" w:sz="6" w:space="0"/>
            </w:tcBorders>
          </w:tcPr>
          <w:p>
            <w:pPr>
              <w:rPr>
                <w:color w:val="000000" w:themeColor="text1"/>
                <w:sz w:val="18"/>
                <w:szCs w:val="18"/>
                <w:highlight w:val="none"/>
                <w14:textFill>
                  <w14:solidFill>
                    <w14:schemeClr w14:val="tx1"/>
                  </w14:solidFill>
                </w14:textFill>
              </w:rPr>
            </w:pPr>
          </w:p>
        </w:tc>
        <w:tc>
          <w:tcPr>
            <w:tcW w:w="425" w:type="dxa"/>
            <w:tcBorders>
              <w:top w:val="single" w:color="auto" w:sz="4" w:space="0"/>
              <w:left w:val="single" w:color="auto" w:sz="6" w:space="0"/>
              <w:bottom w:val="single" w:color="auto" w:sz="6" w:space="0"/>
              <w:right w:val="single" w:color="auto" w:sz="6"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03" w:type="dxa"/>
            <w:tcBorders>
              <w:top w:val="single" w:color="auto" w:sz="4" w:space="0"/>
              <w:left w:val="single" w:color="auto" w:sz="6" w:space="0"/>
              <w:bottom w:val="single" w:color="auto" w:sz="6" w:space="0"/>
              <w:right w:val="single" w:color="auto" w:sz="6"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single" w:color="auto" w:sz="4" w:space="0"/>
              <w:left w:val="single" w:color="auto" w:sz="6" w:space="0"/>
              <w:bottom w:val="single" w:color="auto" w:sz="6" w:space="0"/>
              <w:right w:val="single" w:color="auto" w:sz="6"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624" w:type="dxa"/>
            <w:tcBorders>
              <w:top w:val="single" w:color="auto" w:sz="4" w:space="0"/>
              <w:left w:val="single" w:color="auto" w:sz="6" w:space="0"/>
              <w:bottom w:val="single" w:color="auto" w:sz="6" w:space="0"/>
              <w:right w:val="single" w:color="auto" w:sz="6"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794" w:type="dxa"/>
            <w:tcBorders>
              <w:top w:val="single" w:color="auto" w:sz="4" w:space="0"/>
              <w:left w:val="single" w:color="auto" w:sz="6" w:space="0"/>
              <w:bottom w:val="single" w:color="auto" w:sz="6" w:space="0"/>
              <w:right w:val="single" w:color="auto" w:sz="6"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578" w:type="dxa"/>
            <w:tcBorders>
              <w:top w:val="single" w:color="auto" w:sz="4" w:space="0"/>
              <w:left w:val="single" w:color="auto" w:sz="6" w:space="0"/>
              <w:bottom w:val="single" w:color="auto" w:sz="6" w:space="0"/>
              <w:right w:val="single" w:color="auto" w:sz="6" w:space="0"/>
            </w:tcBorders>
            <w:vAlign w:val="center"/>
          </w:tcPr>
          <w:p>
            <w:pP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w:t>
            </w:r>
          </w:p>
        </w:tc>
        <w:tc>
          <w:tcPr>
            <w:tcW w:w="1134" w:type="dxa"/>
            <w:tcBorders>
              <w:top w:val="single" w:color="auto" w:sz="4" w:space="0"/>
              <w:left w:val="single" w:color="auto" w:sz="6" w:space="0"/>
              <w:bottom w:val="single" w:color="auto" w:sz="6" w:space="0"/>
              <w:right w:val="single" w:color="auto" w:sz="4" w:space="0"/>
            </w:tcBorders>
            <w:vAlign w:val="center"/>
          </w:tcPr>
          <w:p>
            <w:pPr>
              <w:rPr>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11" w:hRule="atLeast"/>
          <w:jc w:val="center"/>
        </w:trPr>
        <w:tc>
          <w:tcPr>
            <w:tcW w:w="1133" w:type="dxa"/>
            <w:gridSpan w:val="2"/>
            <w:tcBorders>
              <w:top w:val="single" w:color="auto" w:sz="4" w:space="0"/>
              <w:left w:val="single" w:color="auto" w:sz="4" w:space="0"/>
              <w:bottom w:val="single" w:color="auto" w:sz="6" w:space="0"/>
              <w:right w:val="single" w:color="auto" w:sz="6" w:space="0"/>
            </w:tcBorders>
            <w:vAlign w:val="center"/>
          </w:tcPr>
          <w:p>
            <w:pPr>
              <w:spacing w:line="240" w:lineRule="auto"/>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投标总价（大小写）</w:t>
            </w:r>
          </w:p>
        </w:tc>
        <w:tc>
          <w:tcPr>
            <w:tcW w:w="8481" w:type="dxa"/>
            <w:gridSpan w:val="12"/>
            <w:tcBorders>
              <w:top w:val="single" w:color="auto" w:sz="4" w:space="0"/>
              <w:left w:val="single" w:color="auto" w:sz="6" w:space="0"/>
              <w:bottom w:val="single" w:color="auto" w:sz="6" w:space="0"/>
              <w:right w:val="single" w:color="auto" w:sz="4" w:space="0"/>
            </w:tcBorders>
          </w:tcPr>
          <w:p>
            <w:pPr>
              <w:rPr>
                <w:b/>
                <w:bCs/>
                <w:color w:val="000000" w:themeColor="text1"/>
                <w:sz w:val="18"/>
                <w:szCs w:val="18"/>
                <w:highlight w:val="none"/>
                <w14:textFill>
                  <w14:solidFill>
                    <w14:schemeClr w14:val="tx1"/>
                  </w14:solidFill>
                </w14:textFill>
              </w:rPr>
            </w:pPr>
            <w:r>
              <w:rPr>
                <w:b/>
                <w:bCs/>
                <w:color w:val="000000" w:themeColor="text1"/>
                <w:sz w:val="18"/>
                <w:szCs w:val="18"/>
                <w:highlight w:val="none"/>
                <w14:textFill>
                  <w14:solidFill>
                    <w14:schemeClr w14:val="tx1"/>
                  </w14:solidFill>
                </w14:textFill>
              </w:rPr>
              <w:t xml:space="preserve">人民币报价合计：大写：                  元 , 小写：         元; </w:t>
            </w:r>
          </w:p>
          <w:p>
            <w:pPr>
              <w:rPr>
                <w:b/>
                <w:bCs/>
                <w:color w:val="000000" w:themeColor="text1"/>
                <w:sz w:val="18"/>
                <w:szCs w:val="18"/>
                <w:highlight w:val="none"/>
                <w14:textFill>
                  <w14:solidFill>
                    <w14:schemeClr w14:val="tx1"/>
                  </w14:solidFill>
                </w14:textFill>
              </w:rPr>
            </w:pPr>
            <w:r>
              <w:rPr>
                <w:b/>
                <w:bCs/>
                <w:color w:val="000000" w:themeColor="text1"/>
                <w:sz w:val="18"/>
                <w:szCs w:val="18"/>
                <w:highlight w:val="none"/>
                <w14:textFill>
                  <w14:solidFill>
                    <w14:schemeClr w14:val="tx1"/>
                  </w14:solidFill>
                </w14:textFill>
              </w:rPr>
              <w:t>其中非进口部分人民币报价：大写：                  元 , 小写：         元;</w:t>
            </w:r>
          </w:p>
          <w:p>
            <w:pPr>
              <w:rPr>
                <w:color w:val="000000" w:themeColor="text1"/>
                <w:sz w:val="18"/>
                <w:szCs w:val="18"/>
                <w:highlight w:val="none"/>
                <w14:textFill>
                  <w14:solidFill>
                    <w14:schemeClr w14:val="tx1"/>
                  </w14:solidFill>
                </w14:textFill>
              </w:rPr>
            </w:pPr>
            <w:r>
              <w:rPr>
                <w:b/>
                <w:bCs/>
                <w:color w:val="000000" w:themeColor="text1"/>
                <w:sz w:val="18"/>
                <w:szCs w:val="18"/>
                <w:highlight w:val="none"/>
                <w14:textFill>
                  <w14:solidFill>
                    <w14:schemeClr w14:val="tx1"/>
                  </w14:solidFill>
                </w14:textFill>
              </w:rPr>
              <w:t>其中进口部分报价：大写：                  元,小写：          元。</w:t>
            </w:r>
          </w:p>
        </w:tc>
      </w:tr>
    </w:tbl>
    <w:p>
      <w:pPr>
        <w:rPr>
          <w:color w:val="000000" w:themeColor="text1"/>
          <w:highlight w:val="none"/>
          <w14:textFill>
            <w14:solidFill>
              <w14:schemeClr w14:val="tx1"/>
            </w14:solidFill>
          </w14:textFill>
        </w:rPr>
      </w:pPr>
    </w:p>
    <w:p>
      <w:pPr>
        <w:pStyle w:val="17"/>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投标人名称（全称，并加盖公章）：__________________________</w:t>
      </w:r>
    </w:p>
    <w:p>
      <w:pPr>
        <w:pStyle w:val="17"/>
        <w:spacing w:line="36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 xml:space="preserve">法定代表人或投标人授权代表（签字）：__________________________ </w:t>
      </w:r>
    </w:p>
    <w:p>
      <w:pPr>
        <w:spacing w:line="360" w:lineRule="auto"/>
        <w:rPr>
          <w:b/>
          <w:bCs/>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t>日期：_______年_____月_____日</w:t>
      </w:r>
      <w:r>
        <w:rPr>
          <w:b/>
          <w:bCs/>
          <w:color w:val="000000" w:themeColor="text1"/>
          <w:sz w:val="22"/>
          <w:szCs w:val="22"/>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特别说明：</w:t>
      </w:r>
    </w:p>
    <w:p>
      <w:pP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1、报价表中不能出现“赠送”“赠品”等字眼，如为满足用户需求确需另外配套的仪器、耗材等，应以“加配”“另配”等字眼注明。</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、投标人未提供详细分项报价可被视为没有实质性响应招标文件。</w:t>
      </w:r>
    </w:p>
    <w:p>
      <w:pPr>
        <w:spacing w:before="1" w:line="185" w:lineRule="auto"/>
        <w:rPr>
          <w:color w:val="000000" w:themeColor="text1"/>
          <w:highlight w:val="none"/>
          <w14:textFill>
            <w14:solidFill>
              <w14:schemeClr w14:val="tx1"/>
            </w14:solidFill>
          </w14:textFill>
        </w:rPr>
      </w:pPr>
      <w:r>
        <w:rPr>
          <w:rFonts w:eastAsia="Times New Roman"/>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、投标报价已包含完成本项目服务的全部费用。</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7"/>
        <w:rPr>
          <w:color w:val="000000" w:themeColor="text1"/>
          <w:sz w:val="30"/>
          <w:szCs w:val="30"/>
          <w:highlight w:val="none"/>
          <w14:textFill>
            <w14:solidFill>
              <w14:schemeClr w14:val="tx1"/>
            </w14:solidFill>
          </w14:textFill>
        </w:rPr>
      </w:pPr>
      <w:bookmarkStart w:id="113" w:name="_Toc342615451"/>
      <w:bookmarkStart w:id="114" w:name="_Toc30528"/>
      <w:bookmarkStart w:id="115" w:name="_Toc2116"/>
      <w:r>
        <w:rPr>
          <w:color w:val="000000" w:themeColor="text1"/>
          <w:highlight w:val="none"/>
          <w14:textFill>
            <w14:solidFill>
              <w14:schemeClr w14:val="tx1"/>
            </w14:solidFill>
          </w14:textFill>
        </w:rPr>
        <w:br w:type="page"/>
      </w:r>
      <w:bookmarkEnd w:id="113"/>
      <w:bookmarkEnd w:id="114"/>
      <w:bookmarkEnd w:id="115"/>
      <w:bookmarkStart w:id="116" w:name="_Toc102987786"/>
      <w:bookmarkStart w:id="117" w:name="_Toc21669"/>
      <w:bookmarkStart w:id="118" w:name="_Toc342615452"/>
      <w:bookmarkStart w:id="119" w:name="_Toc18422"/>
      <w:r>
        <w:rPr>
          <w:rFonts w:hint="eastAsia" w:ascii="宋体" w:hAnsi="宋体" w:eastAsia="宋体" w:cs="宋体"/>
          <w:color w:val="000000" w:themeColor="text1"/>
          <w:sz w:val="24"/>
          <w:szCs w:val="24"/>
          <w:highlight w:val="none"/>
          <w14:textFill>
            <w14:solidFill>
              <w14:schemeClr w14:val="tx1"/>
            </w14:solidFill>
          </w14:textFill>
        </w:rPr>
        <w:t>2.3配置清单格式</w:t>
      </w:r>
      <w:bookmarkEnd w:id="116"/>
    </w:p>
    <w:bookmarkEnd w:id="117"/>
    <w:bookmarkEnd w:id="118"/>
    <w:bookmarkEnd w:id="119"/>
    <w:p>
      <w:pPr>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配置清单格式（</w:t>
      </w:r>
      <w:r>
        <w:rPr>
          <w:rFonts w:hint="eastAsia"/>
          <w:b/>
          <w:bCs/>
          <w:color w:val="000000" w:themeColor="text1"/>
          <w:sz w:val="32"/>
          <w:szCs w:val="32"/>
          <w:highlight w:val="none"/>
          <w14:textFill>
            <w14:solidFill>
              <w14:schemeClr w14:val="tx1"/>
            </w14:solidFill>
          </w14:textFill>
        </w:rPr>
        <w:t>如有</w:t>
      </w:r>
      <w:r>
        <w:rPr>
          <w:b/>
          <w:bCs/>
          <w:color w:val="000000" w:themeColor="text1"/>
          <w:sz w:val="32"/>
          <w:szCs w:val="32"/>
          <w:highlight w:val="none"/>
          <w14:textFill>
            <w14:solidFill>
              <w14:schemeClr w14:val="tx1"/>
            </w14:solidFill>
          </w14:textFill>
        </w:rPr>
        <w:t>）</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分项设备名称：</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配置清单（1）</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 xml:space="preserve">                  </w:t>
      </w:r>
    </w:p>
    <w:tbl>
      <w:tblPr>
        <w:tblStyle w:val="39"/>
        <w:tblW w:w="99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737"/>
        <w:gridCol w:w="794"/>
        <w:gridCol w:w="1304"/>
        <w:gridCol w:w="1056"/>
        <w:gridCol w:w="1304"/>
        <w:gridCol w:w="787"/>
        <w:gridCol w:w="787"/>
        <w:gridCol w:w="787"/>
        <w:gridCol w:w="16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序号</w:t>
            </w:r>
          </w:p>
        </w:tc>
        <w:tc>
          <w:tcPr>
            <w:tcW w:w="737"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货号</w:t>
            </w:r>
          </w:p>
        </w:tc>
        <w:tc>
          <w:tcPr>
            <w:tcW w:w="794"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配件名称</w:t>
            </w: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品牌、型号和规格</w:t>
            </w:r>
          </w:p>
        </w:tc>
        <w:tc>
          <w:tcPr>
            <w:tcW w:w="1056" w:type="dxa"/>
            <w:tcBorders>
              <w:left w:val="single" w:color="auto" w:sz="4" w:space="0"/>
            </w:tcBorders>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原产地</w:t>
            </w:r>
          </w:p>
        </w:tc>
        <w:tc>
          <w:tcPr>
            <w:tcW w:w="1304" w:type="dxa"/>
            <w:tcBorders>
              <w:right w:val="single" w:color="auto" w:sz="4" w:space="0"/>
            </w:tcBorders>
            <w:vAlign w:val="center"/>
          </w:tcPr>
          <w:p>
            <w:pPr>
              <w:spacing w:line="240" w:lineRule="auto"/>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制造商</w:t>
            </w: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数量</w:t>
            </w: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单价</w:t>
            </w:r>
          </w:p>
        </w:tc>
        <w:tc>
          <w:tcPr>
            <w:tcW w:w="787" w:type="dxa"/>
            <w:tcBorders>
              <w:left w:val="single" w:color="auto" w:sz="4" w:space="0"/>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总价</w:t>
            </w:r>
          </w:p>
        </w:tc>
        <w:tc>
          <w:tcPr>
            <w:tcW w:w="1690"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1</w:t>
            </w:r>
          </w:p>
        </w:tc>
        <w:tc>
          <w:tcPr>
            <w:tcW w:w="737"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94"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056" w:type="dxa"/>
            <w:tcBorders>
              <w:left w:val="single" w:color="auto" w:sz="4" w:space="0"/>
            </w:tcBorders>
            <w:vAlign w:val="center"/>
          </w:tcPr>
          <w:p>
            <w:pPr>
              <w:spacing w:line="240" w:lineRule="auto"/>
              <w:jc w:val="center"/>
              <w:rPr>
                <w:color w:val="000000" w:themeColor="text1"/>
                <w:highlight w:val="none"/>
                <w14:textFill>
                  <w14:solidFill>
                    <w14:schemeClr w14:val="tx1"/>
                  </w14:solidFill>
                </w14:textFill>
              </w:rPr>
            </w:pPr>
          </w:p>
        </w:tc>
        <w:tc>
          <w:tcPr>
            <w:tcW w:w="1304" w:type="dxa"/>
            <w:tcBorders>
              <w:right w:val="single" w:color="auto" w:sz="4" w:space="0"/>
            </w:tcBorders>
            <w:vAlign w:val="center"/>
          </w:tcPr>
          <w:p>
            <w:pPr>
              <w:spacing w:line="240" w:lineRule="auto"/>
              <w:jc w:val="center"/>
              <w:rPr>
                <w:color w:val="000000" w:themeColor="text1"/>
                <w:highlight w:val="none"/>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left w:val="single" w:color="auto" w:sz="4" w:space="0"/>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690"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2</w:t>
            </w:r>
          </w:p>
        </w:tc>
        <w:tc>
          <w:tcPr>
            <w:tcW w:w="737"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94"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056" w:type="dxa"/>
            <w:tcBorders>
              <w:left w:val="single" w:color="auto" w:sz="4" w:space="0"/>
            </w:tcBorders>
            <w:vAlign w:val="center"/>
          </w:tcPr>
          <w:p>
            <w:pPr>
              <w:spacing w:line="240" w:lineRule="auto"/>
              <w:jc w:val="center"/>
              <w:rPr>
                <w:color w:val="000000" w:themeColor="text1"/>
                <w:highlight w:val="none"/>
                <w14:textFill>
                  <w14:solidFill>
                    <w14:schemeClr w14:val="tx1"/>
                  </w14:solidFill>
                </w14:textFill>
              </w:rPr>
            </w:pPr>
          </w:p>
        </w:tc>
        <w:tc>
          <w:tcPr>
            <w:tcW w:w="1304" w:type="dxa"/>
            <w:tcBorders>
              <w:right w:val="single" w:color="auto" w:sz="4" w:space="0"/>
            </w:tcBorders>
            <w:vAlign w:val="center"/>
          </w:tcPr>
          <w:p>
            <w:pPr>
              <w:spacing w:line="240" w:lineRule="auto"/>
              <w:jc w:val="center"/>
              <w:rPr>
                <w:color w:val="000000" w:themeColor="text1"/>
                <w:highlight w:val="none"/>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left w:val="single" w:color="auto" w:sz="4" w:space="0"/>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690"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3</w:t>
            </w:r>
          </w:p>
        </w:tc>
        <w:tc>
          <w:tcPr>
            <w:tcW w:w="737"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94"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056"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left w:val="single" w:color="auto" w:sz="4" w:space="0"/>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690"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4</w:t>
            </w:r>
          </w:p>
        </w:tc>
        <w:tc>
          <w:tcPr>
            <w:tcW w:w="737"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94"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056"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left w:val="single" w:color="auto" w:sz="4" w:space="0"/>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690"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5</w:t>
            </w:r>
          </w:p>
        </w:tc>
        <w:tc>
          <w:tcPr>
            <w:tcW w:w="737"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94"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056"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left w:val="single" w:color="auto" w:sz="4" w:space="0"/>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690"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80"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w:t>
            </w:r>
          </w:p>
        </w:tc>
        <w:tc>
          <w:tcPr>
            <w:tcW w:w="737"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94" w:type="dxa"/>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056"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304"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787" w:type="dxa"/>
            <w:tcBorders>
              <w:left w:val="single" w:color="auto" w:sz="4" w:space="0"/>
              <w:righ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c>
          <w:tcPr>
            <w:tcW w:w="1690" w:type="dxa"/>
            <w:tcBorders>
              <w:left w:val="single" w:color="auto" w:sz="4" w:space="0"/>
            </w:tcBorders>
            <w:vAlign w:val="center"/>
          </w:tcPr>
          <w:p>
            <w:pPr>
              <w:autoSpaceDE w:val="0"/>
              <w:autoSpaceDN w:val="0"/>
              <w:adjustRightInd w:val="0"/>
              <w:spacing w:line="240" w:lineRule="auto"/>
              <w:jc w:val="center"/>
              <w:rPr>
                <w:color w:val="000000" w:themeColor="text1"/>
                <w:highlight w:val="none"/>
                <w:lang w:val="zh-CN"/>
                <w14:textFill>
                  <w14:solidFill>
                    <w14:schemeClr w14:val="tx1"/>
                  </w14:solidFill>
                </w14:textFill>
              </w:rPr>
            </w:pPr>
          </w:p>
        </w:tc>
      </w:tr>
    </w:tbl>
    <w:p>
      <w:pPr>
        <w:pStyle w:val="17"/>
        <w:rPr>
          <w:color w:val="000000" w:themeColor="text1"/>
          <w:highlight w:val="none"/>
          <w14:textFill>
            <w14:solidFill>
              <w14:schemeClr w14:val="tx1"/>
            </w14:solidFill>
          </w14:textFill>
        </w:rPr>
      </w:pPr>
    </w:p>
    <w:p>
      <w:pPr>
        <w:pStyle w:val="17"/>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w:t>
      </w:r>
    </w:p>
    <w:p>
      <w:pPr>
        <w:pStyle w:val="17"/>
        <w:spacing w:line="36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法定代表人或投标人授权代表（签字）：_____________</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          年   月   日</w:t>
      </w:r>
      <w:r>
        <w:rPr>
          <w:b/>
          <w:bCs/>
          <w:color w:val="000000" w:themeColor="text1"/>
          <w:sz w:val="22"/>
          <w:szCs w:val="22"/>
          <w:highlight w:val="none"/>
          <w14:textFill>
            <w14:solidFill>
              <w14:schemeClr w14:val="tx1"/>
            </w14:solidFill>
          </w14:textFill>
        </w:rPr>
        <w:t xml:space="preserve">                </w:t>
      </w:r>
    </w:p>
    <w:p>
      <w:pPr>
        <w:rPr>
          <w:color w:val="000000" w:themeColor="text1"/>
          <w:highlight w:val="none"/>
          <w:lang w:val="zh-CN"/>
          <w14:textFill>
            <w14:solidFill>
              <w14:schemeClr w14:val="tx1"/>
            </w14:solidFill>
          </w14:textFill>
        </w:rPr>
      </w:pP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说明：</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1.分项设备名称按填写投标明细报价表填，每个“分项设备名称”都必须对应1 个配置清单。</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2.配置清单中不能出现“赠送”“赠品”等字眼，如为满足用户需求确需另外配套的仪器耗材等，应以“加配”“另配”等字眼注明。</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配置清单可自拟格式，但上述内容不可少。原则上应以中文书写，外文的配置清单需附中文翻译，国产货物可不填货号。</w:t>
      </w:r>
    </w:p>
    <w:p>
      <w:pPr>
        <w:rPr>
          <w:color w:val="000000" w:themeColor="text1"/>
          <w:highlight w:val="none"/>
          <w:lang w:val="zh-CN"/>
          <w14:textFill>
            <w14:solidFill>
              <w14:schemeClr w14:val="tx1"/>
            </w14:solidFill>
          </w14:textFill>
        </w:rPr>
      </w:pPr>
    </w:p>
    <w:p>
      <w:pPr>
        <w:rPr>
          <w:color w:val="000000" w:themeColor="text1"/>
          <w:highlight w:val="none"/>
          <w:lang w:val="zh-CN"/>
          <w14:textFill>
            <w14:solidFill>
              <w14:schemeClr w14:val="tx1"/>
            </w14:solidFill>
          </w14:textFill>
        </w:rPr>
      </w:pPr>
    </w:p>
    <w:p>
      <w:pPr>
        <w:rPr>
          <w:color w:val="000000" w:themeColor="text1"/>
          <w:highlight w:val="none"/>
          <w:lang w:val="zh-CN"/>
          <w14:textFill>
            <w14:solidFill>
              <w14:schemeClr w14:val="tx1"/>
            </w14:solidFill>
          </w14:textFill>
        </w:rPr>
      </w:pPr>
    </w:p>
    <w:p>
      <w:pPr>
        <w:rPr>
          <w:color w:val="000000" w:themeColor="text1"/>
          <w:highlight w:val="none"/>
          <w:lang w:val="zh-CN"/>
          <w14:textFill>
            <w14:solidFill>
              <w14:schemeClr w14:val="tx1"/>
            </w14:solidFill>
          </w14:textFill>
        </w:rPr>
      </w:pPr>
    </w:p>
    <w:p>
      <w:pPr>
        <w:rPr>
          <w:color w:val="000000" w:themeColor="text1"/>
          <w:highlight w:val="none"/>
          <w:lang w:val="zh-CN"/>
          <w14:textFill>
            <w14:solidFill>
              <w14:schemeClr w14:val="tx1"/>
            </w14:solidFill>
          </w14:textFill>
        </w:rPr>
      </w:pPr>
    </w:p>
    <w:p>
      <w:pPr>
        <w:pStyle w:val="7"/>
        <w:rPr>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20" w:name="_Toc102987787"/>
      <w:r>
        <w:rPr>
          <w:rFonts w:hint="eastAsia" w:ascii="宋体" w:hAnsi="宋体" w:eastAsia="宋体" w:cs="宋体"/>
          <w:color w:val="000000" w:themeColor="text1"/>
          <w:sz w:val="24"/>
          <w:szCs w:val="24"/>
          <w:highlight w:val="none"/>
          <w14:textFill>
            <w14:solidFill>
              <w14:schemeClr w14:val="tx1"/>
            </w14:solidFill>
          </w14:textFill>
        </w:rPr>
        <w:t>2.4售后服务承诺书格式</w:t>
      </w:r>
      <w:bookmarkEnd w:id="120"/>
    </w:p>
    <w:p>
      <w:pPr>
        <w:jc w:val="center"/>
        <w:rPr>
          <w:color w:val="000000" w:themeColor="text1"/>
          <w:highlight w:val="none"/>
          <w14:textFill>
            <w14:solidFill>
              <w14:schemeClr w14:val="tx1"/>
            </w14:solidFill>
          </w14:textFill>
        </w:rPr>
      </w:pPr>
      <w:r>
        <w:rPr>
          <w:b/>
          <w:bCs/>
          <w:color w:val="000000" w:themeColor="text1"/>
          <w:sz w:val="32"/>
          <w:szCs w:val="32"/>
          <w:highlight w:val="none"/>
          <w14:textFill>
            <w14:solidFill>
              <w14:schemeClr w14:val="tx1"/>
            </w14:solidFill>
          </w14:textFill>
        </w:rPr>
        <w:t>售后服务承诺书</w:t>
      </w:r>
      <w:r>
        <w:rPr>
          <w:rFonts w:hint="eastAsia"/>
          <w:b/>
          <w:bCs/>
          <w:color w:val="000000" w:themeColor="text1"/>
          <w:sz w:val="32"/>
          <w:szCs w:val="32"/>
          <w:highlight w:val="none"/>
          <w14:textFill>
            <w14:solidFill>
              <w14:schemeClr w14:val="tx1"/>
            </w14:solidFill>
          </w14:textFill>
        </w:rPr>
        <w:t>（货物类项目采购适用）</w:t>
      </w:r>
    </w:p>
    <w:tbl>
      <w:tblPr>
        <w:tblStyle w:val="39"/>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45"/>
        <w:gridCol w:w="79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4" w:hRule="atLeast"/>
          <w:jc w:val="center"/>
        </w:trPr>
        <w:tc>
          <w:tcPr>
            <w:tcW w:w="426" w:type="pct"/>
            <w:textDirection w:val="tbRlV"/>
            <w:vAlign w:val="center"/>
          </w:tcPr>
          <w:p>
            <w:pPr>
              <w:autoSpaceDE w:val="0"/>
              <w:autoSpaceDN w:val="0"/>
              <w:adjustRightInd w:val="0"/>
              <w:spacing w:line="240" w:lineRule="auto"/>
              <w:ind w:left="113" w:right="113"/>
              <w:jc w:val="center"/>
              <w:rPr>
                <w:color w:val="000000" w:themeColor="text1"/>
                <w:highlight w:val="none"/>
                <w:lang w:val="zh-CN"/>
                <w14:textFill>
                  <w14:solidFill>
                    <w14:schemeClr w14:val="tx1"/>
                  </w14:solidFill>
                </w14:textFill>
              </w:rPr>
            </w:pPr>
            <w:r>
              <w:rPr>
                <w:color w:val="000000" w:themeColor="text1"/>
                <w:highlight w:val="none"/>
                <w14:textFill>
                  <w14:solidFill>
                    <w14:schemeClr w14:val="tx1"/>
                  </w14:solidFill>
                </w14:textFill>
              </w:rPr>
              <w:t>售后服务内容</w:t>
            </w:r>
          </w:p>
        </w:tc>
        <w:tc>
          <w:tcPr>
            <w:tcW w:w="4574" w:type="pct"/>
            <w:vAlign w:val="center"/>
          </w:tcPr>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1、免费保修年限（自验收合格之日起）：</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2、售后服务提供方：</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售后服务提供方与投标人名称不一致时，由售后服务提供方出具具备法律效力的售后服务承诺函，投标人同意与售后服务提供方共同承担售后服务的无限连带责任）</w:t>
            </w:r>
          </w:p>
          <w:p>
            <w:pPr>
              <w:autoSpaceDE w:val="0"/>
              <w:autoSpaceDN w:val="0"/>
              <w:adjustRightInd w:val="0"/>
              <w:spacing w:line="24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3、售后服务机构技术人员情况与体系：</w:t>
            </w:r>
            <w:r>
              <w:rPr>
                <w:color w:val="000000" w:themeColor="text1"/>
                <w:highlight w:val="none"/>
                <w:u w:val="single"/>
                <w14:textFill>
                  <w14:solidFill>
                    <w14:schemeClr w14:val="tx1"/>
                  </w14:solidFill>
                </w14:textFill>
              </w:rPr>
              <w:t xml:space="preserve">     （可另页，自拟格式） </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4、报修后的上门时间：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小时内</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5、服务内容： （可另页，自拟格式）</w:t>
            </w:r>
          </w:p>
          <w:p>
            <w:pPr>
              <w:autoSpaceDE w:val="0"/>
              <w:autoSpaceDN w:val="0"/>
              <w:adjustRightInd w:val="0"/>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6、培训方案： （可另页，自拟格式）</w:t>
            </w:r>
          </w:p>
          <w:p>
            <w:pPr>
              <w:autoSpaceDE w:val="0"/>
              <w:autoSpaceDN w:val="0"/>
              <w:adjustRightInd w:val="0"/>
              <w:spacing w:line="24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7、本产品专用试剂的优惠供给计划：</w:t>
            </w:r>
            <w:r>
              <w:rPr>
                <w:color w:val="000000" w:themeColor="text1"/>
                <w:highlight w:val="none"/>
                <w:u w:val="single"/>
                <w14:textFill>
                  <w14:solidFill>
                    <w14:schemeClr w14:val="tx1"/>
                  </w14:solidFill>
                </w14:textFill>
              </w:rPr>
              <w:t xml:space="preserve"> （可另页，自拟格式）</w:t>
            </w:r>
          </w:p>
          <w:p>
            <w:pPr>
              <w:autoSpaceDE w:val="0"/>
              <w:autoSpaceDN w:val="0"/>
              <w:adjustRightInd w:val="0"/>
              <w:spacing w:line="240" w:lineRule="auto"/>
              <w:rPr>
                <w:color w:val="000000" w:themeColor="text1"/>
                <w:highlight w:val="none"/>
                <w:lang w:val="zh-CN"/>
                <w14:textFill>
                  <w14:solidFill>
                    <w14:schemeClr w14:val="tx1"/>
                  </w14:solidFill>
                </w14:textFill>
              </w:rPr>
            </w:pPr>
            <w:r>
              <w:rPr>
                <w:color w:val="000000" w:themeColor="text1"/>
                <w:highlight w:val="none"/>
                <w14:textFill>
                  <w14:solidFill>
                    <w14:schemeClr w14:val="tx1"/>
                  </w14:solidFill>
                </w14:textFill>
              </w:rPr>
              <w:t>8、其它服务承诺： （可另页，自拟格式）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34" w:hRule="atLeast"/>
          <w:jc w:val="center"/>
        </w:trPr>
        <w:tc>
          <w:tcPr>
            <w:tcW w:w="426" w:type="pct"/>
            <w:textDirection w:val="tbRlV"/>
            <w:vAlign w:val="center"/>
          </w:tcPr>
          <w:p>
            <w:pPr>
              <w:autoSpaceDE w:val="0"/>
              <w:autoSpaceDN w:val="0"/>
              <w:adjustRightInd w:val="0"/>
              <w:spacing w:line="240" w:lineRule="auto"/>
              <w:ind w:left="113" w:right="113"/>
              <w:jc w:val="cente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可提供的优惠条件</w:t>
            </w:r>
          </w:p>
        </w:tc>
        <w:tc>
          <w:tcPr>
            <w:tcW w:w="4574" w:type="pct"/>
            <w:vAlign w:val="center"/>
          </w:tcPr>
          <w:p>
            <w:pPr>
              <w:autoSpaceDE w:val="0"/>
              <w:autoSpaceDN w:val="0"/>
              <w:adjustRightInd w:val="0"/>
              <w:spacing w:line="240" w:lineRule="auto"/>
              <w:rPr>
                <w:bCs/>
                <w:color w:val="000000" w:themeColor="text1"/>
                <w:highlight w:val="none"/>
                <w:lang w:val="zh-CN"/>
                <w14:textFill>
                  <w14:solidFill>
                    <w14:schemeClr w14:val="tx1"/>
                  </w14:solidFill>
                </w14:textFill>
              </w:rPr>
            </w:pPr>
            <w:r>
              <w:rPr>
                <w:bCs/>
                <w:color w:val="000000" w:themeColor="text1"/>
                <w:highlight w:val="none"/>
                <w:lang w:val="zh-CN"/>
                <w14:textFill>
                  <w14:solidFill>
                    <w14:schemeClr w14:val="tx1"/>
                  </w14:solidFill>
                </w14:textFill>
              </w:rPr>
              <w:t>1、保修期满后第一年的维保收费标准：</w:t>
            </w:r>
            <w:r>
              <w:rPr>
                <w:color w:val="000000" w:themeColor="text1"/>
                <w:highlight w:val="none"/>
                <w14:textFill>
                  <w14:solidFill>
                    <w14:schemeClr w14:val="tx1"/>
                  </w14:solidFill>
                </w14:textFill>
              </w:rPr>
              <w:t>__________________________</w:t>
            </w:r>
          </w:p>
          <w:p>
            <w:pPr>
              <w:autoSpaceDE w:val="0"/>
              <w:autoSpaceDN w:val="0"/>
              <w:adjustRightInd w:val="0"/>
              <w:spacing w:line="240" w:lineRule="auto"/>
              <w:rPr>
                <w:bCs/>
                <w:color w:val="000000" w:themeColor="text1"/>
                <w:highlight w:val="none"/>
                <w:lang w:val="zh-CN"/>
                <w14:textFill>
                  <w14:solidFill>
                    <w14:schemeClr w14:val="tx1"/>
                  </w14:solidFill>
                </w14:textFill>
              </w:rPr>
            </w:pPr>
            <w:r>
              <w:rPr>
                <w:bCs/>
                <w:color w:val="000000" w:themeColor="text1"/>
                <w:highlight w:val="none"/>
                <w:lang w:val="zh-CN"/>
                <w14:textFill>
                  <w14:solidFill>
                    <w14:schemeClr w14:val="tx1"/>
                  </w14:solidFill>
                </w14:textFill>
              </w:rPr>
              <w:t>2、保修期满后第二年的维保收费标准：</w:t>
            </w:r>
            <w:r>
              <w:rPr>
                <w:color w:val="000000" w:themeColor="text1"/>
                <w:highlight w:val="none"/>
                <w14:textFill>
                  <w14:solidFill>
                    <w14:schemeClr w14:val="tx1"/>
                  </w14:solidFill>
                </w14:textFill>
              </w:rPr>
              <w:t>__________________________</w:t>
            </w:r>
          </w:p>
          <w:p>
            <w:pPr>
              <w:autoSpaceDE w:val="0"/>
              <w:autoSpaceDN w:val="0"/>
              <w:adjustRightInd w:val="0"/>
              <w:spacing w:line="240" w:lineRule="auto"/>
              <w:rPr>
                <w:bCs/>
                <w:color w:val="000000" w:themeColor="text1"/>
                <w:highlight w:val="none"/>
                <w:lang w:val="zh-CN"/>
                <w14:textFill>
                  <w14:solidFill>
                    <w14:schemeClr w14:val="tx1"/>
                  </w14:solidFill>
                </w14:textFill>
              </w:rPr>
            </w:pPr>
            <w:r>
              <w:rPr>
                <w:bCs/>
                <w:color w:val="000000" w:themeColor="text1"/>
                <w:highlight w:val="none"/>
                <w:lang w:val="zh-CN"/>
                <w14:textFill>
                  <w14:solidFill>
                    <w14:schemeClr w14:val="tx1"/>
                  </w14:solidFill>
                </w14:textFill>
              </w:rPr>
              <w:t>3、保修期满后第三年的维保收费标准：</w:t>
            </w:r>
            <w:r>
              <w:rPr>
                <w:color w:val="000000" w:themeColor="text1"/>
                <w:highlight w:val="none"/>
                <w14:textFill>
                  <w14:solidFill>
                    <w14:schemeClr w14:val="tx1"/>
                  </w14:solidFill>
                </w14:textFill>
              </w:rPr>
              <w:t>__________________________</w:t>
            </w:r>
          </w:p>
          <w:p>
            <w:pPr>
              <w:autoSpaceDE w:val="0"/>
              <w:autoSpaceDN w:val="0"/>
              <w:adjustRightInd w:val="0"/>
              <w:spacing w:line="240" w:lineRule="auto"/>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4、保修期满后如不购年保，维修保养人工收费标准与计价方式：</w:t>
            </w:r>
          </w:p>
          <w:p>
            <w:pPr>
              <w:autoSpaceDE w:val="0"/>
              <w:autoSpaceDN w:val="0"/>
              <w:adjustRightInd w:val="0"/>
              <w:spacing w:line="240" w:lineRule="auto"/>
              <w:rPr>
                <w:bCs/>
                <w:color w:val="000000" w:themeColor="text1"/>
                <w:highlight w:val="none"/>
                <w:lang w:val="zh-CN"/>
                <w14:textFill>
                  <w14:solidFill>
                    <w14:schemeClr w14:val="tx1"/>
                  </w14:solidFill>
                </w14:textFill>
              </w:rPr>
            </w:pPr>
            <w:r>
              <w:rPr>
                <w:bCs/>
                <w:color w:val="000000" w:themeColor="text1"/>
                <w:highlight w:val="none"/>
                <w:lang w:val="zh-CN"/>
                <w14:textFill>
                  <w14:solidFill>
                    <w14:schemeClr w14:val="tx1"/>
                  </w14:solidFill>
                </w14:textFill>
              </w:rPr>
              <w:t>5、本产品的易损易耗件包括：</w:t>
            </w:r>
            <w:r>
              <w:rPr>
                <w:color w:val="000000" w:themeColor="text1"/>
                <w:highlight w:val="none"/>
                <w14:textFill>
                  <w14:solidFill>
                    <w14:schemeClr w14:val="tx1"/>
                  </w14:solidFill>
                </w14:textFill>
              </w:rPr>
              <w:t>__________________________</w:t>
            </w:r>
          </w:p>
          <w:p>
            <w:pPr>
              <w:autoSpaceDE w:val="0"/>
              <w:autoSpaceDN w:val="0"/>
              <w:adjustRightInd w:val="0"/>
              <w:spacing w:line="240" w:lineRule="auto"/>
              <w:ind w:firstLine="315" w:firstLineChars="150"/>
              <w:rPr>
                <w:bCs/>
                <w:color w:val="000000" w:themeColor="text1"/>
                <w:highlight w:val="none"/>
                <w:lang w:val="zh-CN"/>
                <w14:textFill>
                  <w14:solidFill>
                    <w14:schemeClr w14:val="tx1"/>
                  </w14:solidFill>
                </w14:textFill>
              </w:rPr>
            </w:pPr>
            <w:r>
              <w:rPr>
                <w:bCs/>
                <w:color w:val="000000" w:themeColor="text1"/>
                <w:highlight w:val="none"/>
                <w:lang w:val="zh-CN"/>
                <w14:textFill>
                  <w14:solidFill>
                    <w14:schemeClr w14:val="tx1"/>
                  </w14:solidFill>
                </w14:textFill>
              </w:rPr>
              <w:t>它们的正常使用寿命分别为：</w:t>
            </w:r>
            <w:r>
              <w:rPr>
                <w:color w:val="000000" w:themeColor="text1"/>
                <w:highlight w:val="none"/>
                <w14:textFill>
                  <w14:solidFill>
                    <w14:schemeClr w14:val="tx1"/>
                  </w14:solidFill>
                </w14:textFill>
              </w:rPr>
              <w:t>__________________________</w:t>
            </w:r>
          </w:p>
          <w:p>
            <w:pPr>
              <w:autoSpaceDE w:val="0"/>
              <w:autoSpaceDN w:val="0"/>
              <w:adjustRightInd w:val="0"/>
              <w:spacing w:line="240" w:lineRule="auto"/>
              <w:ind w:firstLine="315" w:firstLineChars="150"/>
              <w:rPr>
                <w:bCs/>
                <w:color w:val="000000" w:themeColor="text1"/>
                <w:highlight w:val="none"/>
                <w:lang w:val="zh-CN"/>
                <w14:textFill>
                  <w14:solidFill>
                    <w14:schemeClr w14:val="tx1"/>
                  </w14:solidFill>
                </w14:textFill>
              </w:rPr>
            </w:pPr>
            <w:r>
              <w:rPr>
                <w:bCs/>
                <w:color w:val="000000" w:themeColor="text1"/>
                <w:highlight w:val="none"/>
                <w:lang w:val="zh-CN"/>
                <w14:textFill>
                  <w14:solidFill>
                    <w14:schemeClr w14:val="tx1"/>
                  </w14:solidFill>
                </w14:textFill>
              </w:rPr>
              <w:t>更换时的优惠价格：</w:t>
            </w:r>
            <w:r>
              <w:rPr>
                <w:color w:val="000000" w:themeColor="text1"/>
                <w:highlight w:val="none"/>
                <w14:textFill>
                  <w14:solidFill>
                    <w14:schemeClr w14:val="tx1"/>
                  </w14:solidFill>
                </w14:textFill>
              </w:rPr>
              <w:t>__________________________</w:t>
            </w:r>
          </w:p>
          <w:p>
            <w:pPr>
              <w:autoSpaceDE w:val="0"/>
              <w:autoSpaceDN w:val="0"/>
              <w:adjustRightInd w:val="0"/>
              <w:spacing w:line="240" w:lineRule="auto"/>
              <w:rPr>
                <w:b/>
                <w:bCs/>
                <w:color w:val="000000" w:themeColor="text1"/>
                <w:highlight w:val="none"/>
                <w:lang w:val="zh-CN"/>
                <w14:textFill>
                  <w14:solidFill>
                    <w14:schemeClr w14:val="tx1"/>
                  </w14:solidFill>
                </w14:textFill>
              </w:rPr>
            </w:pPr>
            <w:r>
              <w:rPr>
                <w:bCs/>
                <w:color w:val="000000" w:themeColor="text1"/>
                <w:highlight w:val="none"/>
                <w:lang w:val="zh-CN"/>
                <w14:textFill>
                  <w14:solidFill>
                    <w14:schemeClr w14:val="tx1"/>
                  </w14:solidFill>
                </w14:textFill>
              </w:rPr>
              <w:t>6、保修期外的其它优惠：</w:t>
            </w:r>
            <w:r>
              <w:rPr>
                <w:color w:val="000000" w:themeColor="text1"/>
                <w:highlight w:val="none"/>
                <w14:textFill>
                  <w14:solidFill>
                    <w14:schemeClr w14:val="tx1"/>
                  </w14:solidFill>
                </w14:textFill>
              </w:rPr>
              <w:t>__________________________</w:t>
            </w:r>
          </w:p>
        </w:tc>
      </w:tr>
    </w:tbl>
    <w:p>
      <w:pPr>
        <w:pStyle w:val="1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（注：售后服务承诺书必须按照上述格式填写，厂商特定售后服务可紧附其后）</w:t>
      </w:r>
    </w:p>
    <w:p>
      <w:pPr>
        <w:pStyle w:val="17"/>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w:t>
      </w:r>
    </w:p>
    <w:p>
      <w:pPr>
        <w:pStyle w:val="17"/>
        <w:spacing w:line="36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法定代表人或投标人授权代表（签字）：_____________</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日期：_____年_____月_____日</w:t>
      </w:r>
      <w:r>
        <w:rPr>
          <w:b/>
          <w:bCs/>
          <w:color w:val="000000" w:themeColor="text1"/>
          <w:sz w:val="22"/>
          <w:szCs w:val="22"/>
          <w:highlight w:val="none"/>
          <w14:textFill>
            <w14:solidFill>
              <w14:schemeClr w14:val="tx1"/>
            </w14:solidFill>
          </w14:textFill>
        </w:rPr>
        <w:t xml:space="preserve">                </w:t>
      </w:r>
    </w:p>
    <w:p>
      <w:pPr>
        <w:rPr>
          <w:color w:val="000000" w:themeColor="text1"/>
          <w:highlight w:val="none"/>
          <w:lang w:val="zh-CN"/>
          <w14:textFill>
            <w14:solidFill>
              <w14:schemeClr w14:val="tx1"/>
            </w14:solidFill>
          </w14:textFill>
        </w:rPr>
      </w:pP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说明：</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1.投标人须对招标文件的“用户需求书”的售后服务要求作出相应承诺，并详细说明质保期前后的服务，承诺长期供应备品备件。</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2.售后服务提供方与投标人名称不一致时，由售后服务提供方出具具备法律效力的售后服务承诺函，投标人同意与售后服务提供方共同承担售后服务的无限连带责任。</w:t>
      </w:r>
    </w:p>
    <w:p>
      <w:pPr>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3.承诺书的内容应至少包含下列内容：</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①</w:t>
      </w:r>
      <w:r>
        <w:rPr>
          <w:color w:val="000000" w:themeColor="text1"/>
          <w:highlight w:val="none"/>
          <w:lang w:val="zh-CN"/>
          <w14:textFill>
            <w14:solidFill>
              <w14:schemeClr w14:val="tx1"/>
            </w14:solidFill>
          </w14:textFill>
        </w:rPr>
        <w:t>投标人对自己提供的货物“三包”的说明；</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②</w:t>
      </w:r>
      <w:r>
        <w:rPr>
          <w:color w:val="000000" w:themeColor="text1"/>
          <w:highlight w:val="none"/>
          <w:lang w:val="zh-CN"/>
          <w14:textFill>
            <w14:solidFill>
              <w14:schemeClr w14:val="tx1"/>
            </w14:solidFill>
          </w14:textFill>
        </w:rPr>
        <w:t>不少于招标文件要求年限的免费保修期的售后服务提供方。保修期有不同提供方的，须说明提供方的顺序和各自期限。售后服务提供方最多不得超过两个。</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③</w:t>
      </w:r>
      <w:r>
        <w:rPr>
          <w:color w:val="000000" w:themeColor="text1"/>
          <w:highlight w:val="none"/>
          <w:lang w:val="zh-CN"/>
          <w14:textFill>
            <w14:solidFill>
              <w14:schemeClr w14:val="tx1"/>
            </w14:solidFill>
          </w14:textFill>
        </w:rPr>
        <w:t>可向用户提供的优惠条件程度（备品、备件、专用工具等的供应）；</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④</w:t>
      </w:r>
      <w:r>
        <w:rPr>
          <w:color w:val="000000" w:themeColor="text1"/>
          <w:highlight w:val="none"/>
          <w:lang w:val="zh-CN"/>
          <w14:textFill>
            <w14:solidFill>
              <w14:schemeClr w14:val="tx1"/>
            </w14:solidFill>
          </w14:textFill>
        </w:rPr>
        <w:t>货物安装、调试计划；</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⑤</w:t>
      </w:r>
      <w:r>
        <w:rPr>
          <w:color w:val="000000" w:themeColor="text1"/>
          <w:highlight w:val="none"/>
          <w:lang w:val="zh-CN"/>
          <w14:textFill>
            <w14:solidFill>
              <w14:schemeClr w14:val="tx1"/>
            </w14:solidFill>
          </w14:textFill>
        </w:rPr>
        <w:t>对用户的人员培训及费用；</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⑥</w:t>
      </w:r>
      <w:r>
        <w:rPr>
          <w:color w:val="000000" w:themeColor="text1"/>
          <w:highlight w:val="none"/>
          <w:lang w:val="zh-CN"/>
          <w14:textFill>
            <w14:solidFill>
              <w14:schemeClr w14:val="tx1"/>
            </w14:solidFill>
          </w14:textFill>
        </w:rPr>
        <w:t>制造商是否建立专门的售后服务机构；</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⑦</w:t>
      </w:r>
      <w:r>
        <w:rPr>
          <w:color w:val="000000" w:themeColor="text1"/>
          <w:highlight w:val="none"/>
          <w:lang w:val="zh-CN"/>
          <w14:textFill>
            <w14:solidFill>
              <w14:schemeClr w14:val="tx1"/>
            </w14:solidFill>
          </w14:textFill>
        </w:rPr>
        <w:t>“三包”期间及之后，用户在使用时，出现故障的处理（响应时间、费用负担等）；</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⑧</w:t>
      </w:r>
      <w:r>
        <w:rPr>
          <w:color w:val="000000" w:themeColor="text1"/>
          <w:highlight w:val="none"/>
          <w:lang w:val="zh-CN"/>
          <w14:textFill>
            <w14:solidFill>
              <w14:schemeClr w14:val="tx1"/>
            </w14:solidFill>
          </w14:textFill>
        </w:rPr>
        <w:t>“三包”期间及之后，对货物进行跟踪保养、维护维修的工作方式及费用收取等；</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⑨</w:t>
      </w:r>
      <w:r>
        <w:rPr>
          <w:color w:val="000000" w:themeColor="text1"/>
          <w:highlight w:val="none"/>
          <w:lang w:val="zh-CN"/>
          <w14:textFill>
            <w14:solidFill>
              <w14:schemeClr w14:val="tx1"/>
            </w14:solidFill>
          </w14:textFill>
        </w:rPr>
        <w:t>售后服务公司技术人员情况、服务体系和其它服务承诺。</w:t>
      </w:r>
    </w:p>
    <w:p>
      <w:pPr>
        <w:rPr>
          <w:color w:val="000000" w:themeColor="text1"/>
          <w:highlight w:val="none"/>
          <w:lang w:val="zh-CN"/>
          <w14:textFill>
            <w14:solidFill>
              <w14:schemeClr w14:val="tx1"/>
            </w14:solidFill>
          </w14:textFill>
        </w:rPr>
      </w:pPr>
      <w:r>
        <w:rPr>
          <w:rFonts w:hint="eastAsia" w:ascii="宋体" w:hAnsi="宋体" w:cs="宋体"/>
          <w:color w:val="000000" w:themeColor="text1"/>
          <w:highlight w:val="none"/>
          <w:lang w:val="zh-CN"/>
          <w14:textFill>
            <w14:solidFill>
              <w14:schemeClr w14:val="tx1"/>
            </w14:solidFill>
          </w14:textFill>
        </w:rPr>
        <w:t>⑩</w:t>
      </w:r>
      <w:r>
        <w:rPr>
          <w:color w:val="000000" w:themeColor="text1"/>
          <w:highlight w:val="none"/>
          <w:lang w:val="zh-CN"/>
          <w14:textFill>
            <w14:solidFill>
              <w14:schemeClr w14:val="tx1"/>
            </w14:solidFill>
          </w14:textFill>
        </w:rPr>
        <w:t>供应商的售后服务承诺书必须对表格内容和上述说明作出相应回复，包括但不限于以上内容。</w:t>
      </w:r>
    </w:p>
    <w:p>
      <w:pPr>
        <w:rPr>
          <w:b/>
          <w:bCs/>
          <w:color w:val="000000" w:themeColor="text1"/>
          <w:highlight w:val="none"/>
          <w:lang w:val="zh-CN"/>
          <w14:textFill>
            <w14:solidFill>
              <w14:schemeClr w14:val="tx1"/>
            </w14:solidFill>
          </w14:textFill>
        </w:rPr>
      </w:pPr>
      <w:r>
        <w:rPr>
          <w:b/>
          <w:bCs/>
          <w:color w:val="000000" w:themeColor="text1"/>
          <w:highlight w:val="none"/>
          <w:lang w:val="zh-CN"/>
          <w14:textFill>
            <w14:solidFill>
              <w14:schemeClr w14:val="tx1"/>
            </w14:solidFill>
          </w14:textFill>
        </w:rPr>
        <w:t>售后服务方案</w:t>
      </w:r>
    </w:p>
    <w:p>
      <w:pPr>
        <w:spacing w:line="240" w:lineRule="auto"/>
        <w:ind w:firstLine="420" w:firstLineChars="200"/>
        <w:rPr>
          <w:color w:val="000000" w:themeColor="text1"/>
          <w:highlight w:val="none"/>
          <w:lang w:val="zh-CN"/>
          <w14:textFill>
            <w14:solidFill>
              <w14:schemeClr w14:val="tx1"/>
            </w14:solidFill>
          </w14:textFill>
        </w:rPr>
      </w:pPr>
      <w:r>
        <w:rPr>
          <w:color w:val="000000" w:themeColor="text1"/>
          <w:highlight w:val="none"/>
          <w:lang w:val="zh-CN"/>
          <w14:textFill>
            <w14:solidFill>
              <w14:schemeClr w14:val="tx1"/>
            </w14:solidFill>
          </w14:textFill>
        </w:rPr>
        <w:t>格式自拟，应根据医院的货物验收要求提供有针对性的以下方案：售后服务计划、维护保养方式、保修期外运行与维修成本、应急保障措施等。方案内容应尽可能详细，流程清晰合理、可行。</w:t>
      </w:r>
    </w:p>
    <w:p>
      <w:pPr>
        <w:pStyle w:val="7"/>
        <w:rPr>
          <w:color w:val="000000" w:themeColor="text1"/>
          <w:highlight w:val="none"/>
          <w14:textFill>
            <w14:solidFill>
              <w14:schemeClr w14:val="tx1"/>
            </w14:solidFill>
          </w14:textFill>
        </w:rPr>
      </w:pPr>
      <w:bookmarkStart w:id="121" w:name="_Toc17474"/>
      <w:r>
        <w:rPr>
          <w:color w:val="000000" w:themeColor="text1"/>
          <w:sz w:val="22"/>
          <w:szCs w:val="22"/>
          <w:highlight w:val="none"/>
          <w14:textFill>
            <w14:solidFill>
              <w14:schemeClr w14:val="tx1"/>
            </w14:solidFill>
          </w14:textFill>
        </w:rPr>
        <w:br w:type="page"/>
      </w:r>
      <w:bookmarkStart w:id="122" w:name="_Toc102987788"/>
      <w:bookmarkStart w:id="123" w:name="_Toc61274077"/>
      <w:r>
        <w:rPr>
          <w:rFonts w:hint="eastAsia" w:ascii="宋体" w:hAnsi="宋体" w:eastAsia="宋体" w:cs="宋体"/>
          <w:color w:val="000000" w:themeColor="text1"/>
          <w:sz w:val="24"/>
          <w:szCs w:val="24"/>
          <w:highlight w:val="none"/>
          <w14:textFill>
            <w14:solidFill>
              <w14:schemeClr w14:val="tx1"/>
            </w14:solidFill>
          </w14:textFill>
        </w:rPr>
        <w:t>2.5中小微企业声明函等</w:t>
      </w:r>
      <w:bookmarkEnd w:id="122"/>
    </w:p>
    <w:bookmarkEnd w:id="123"/>
    <w:p>
      <w:pPr>
        <w:spacing w:line="360" w:lineRule="auto"/>
        <w:ind w:firstLine="480" w:firstLineChars="200"/>
        <w:jc w:val="center"/>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1、中小企业声明函（</w:t>
      </w:r>
      <w:r>
        <w:rPr>
          <w:rFonts w:hint="eastAsia"/>
          <w:b/>
          <w:bCs/>
          <w:color w:val="000000" w:themeColor="text1"/>
          <w:sz w:val="24"/>
          <w:szCs w:val="24"/>
          <w:highlight w:val="none"/>
          <w14:textFill>
            <w14:solidFill>
              <w14:schemeClr w14:val="tx1"/>
            </w14:solidFill>
          </w14:textFill>
        </w:rPr>
        <w:t>服务类</w:t>
      </w:r>
      <w:r>
        <w:rPr>
          <w:b/>
          <w:bCs/>
          <w:color w:val="000000" w:themeColor="text1"/>
          <w:sz w:val="24"/>
          <w:szCs w:val="24"/>
          <w:highlight w:val="none"/>
          <w14:textFill>
            <w14:solidFill>
              <w14:schemeClr w14:val="tx1"/>
            </w14:solidFill>
          </w14:textFill>
        </w:rPr>
        <w:t>）</w:t>
      </w:r>
    </w:p>
    <w:p>
      <w:pPr>
        <w:ind w:firstLine="420" w:firstLineChars="200"/>
        <w:rPr>
          <w:color w:val="000000" w:themeColor="text1"/>
          <w:spacing w:val="6"/>
          <w:szCs w:val="21"/>
          <w:highlight w:val="none"/>
          <w14:textFill>
            <w14:solidFill>
              <w14:schemeClr w14:val="tx1"/>
            </w14:solidFill>
          </w14:textFill>
        </w:rPr>
      </w:pPr>
      <w:r>
        <w:rPr>
          <w:color w:val="000000" w:themeColor="text1"/>
          <w:highlight w:val="none"/>
          <w14:textFill>
            <w14:solidFill>
              <w14:schemeClr w14:val="tx1"/>
            </w14:solidFill>
          </w14:textFill>
        </w:rPr>
        <w:t>本公司（联合体）郑重声明，根据《政府采购促进中小 企业发展管理办法》（财库﹝2020﹞46号）的规定，本公司（联合体）参加</w:t>
      </w:r>
      <w:r>
        <w:rPr>
          <w:color w:val="000000" w:themeColor="text1"/>
          <w:highlight w:val="none"/>
          <w:u w:val="single"/>
          <w14:textFill>
            <w14:solidFill>
              <w14:schemeClr w14:val="tx1"/>
            </w14:solidFill>
          </w14:textFill>
        </w:rPr>
        <w:t>（单位名称）</w:t>
      </w:r>
      <w:r>
        <w:rPr>
          <w:color w:val="000000" w:themeColor="text1"/>
          <w:highlight w:val="none"/>
          <w14:textFill>
            <w14:solidFill>
              <w14:schemeClr w14:val="tx1"/>
            </w14:solidFill>
          </w14:textFill>
        </w:rPr>
        <w:t>的</w:t>
      </w:r>
      <w:r>
        <w:rPr>
          <w:color w:val="000000" w:themeColor="text1"/>
          <w:highlight w:val="none"/>
          <w:u w:val="single"/>
          <w14:textFill>
            <w14:solidFill>
              <w14:schemeClr w14:val="tx1"/>
            </w14:solidFill>
          </w14:textFill>
        </w:rPr>
        <w:t>（项目名称）</w:t>
      </w:r>
      <w:r>
        <w:rPr>
          <w:color w:val="000000" w:themeColor="text1"/>
          <w:highlight w:val="none"/>
          <w14:textFill>
            <w14:solidFill>
              <w14:schemeClr w14:val="tx1"/>
            </w14:solidFill>
          </w14:textFill>
        </w:rPr>
        <w:t>采购活动，提供的货物全部由符合政策要求的中小企业制造。相关企业（含联合体中的中小企业、签订分包意向协议的中小企业） 的具体情况如下：</w:t>
      </w:r>
    </w:p>
    <w:p>
      <w:pPr>
        <w:ind w:firstLine="420" w:firstLineChars="200"/>
        <w:rPr>
          <w:color w:val="000000" w:themeColor="text1"/>
          <w:spacing w:val="6"/>
          <w:szCs w:val="21"/>
          <w:highlight w:val="none"/>
          <w14:textFill>
            <w14:solidFill>
              <w14:schemeClr w14:val="tx1"/>
            </w14:solidFill>
          </w14:textFill>
        </w:rPr>
      </w:pPr>
      <w:r>
        <w:rPr>
          <w:color w:val="000000" w:themeColor="text1"/>
          <w:highlight w:val="none"/>
          <w14:textFill>
            <w14:solidFill>
              <w14:schemeClr w14:val="tx1"/>
            </w14:solidFill>
          </w14:textFill>
        </w:rPr>
        <w:t>1. （标的名称），属于（采购文件中明确的所属行业）行业；制造商为（企业名称），从业人员    人，营业收入为     万元，资产总额为     万元，属于（中型企业、小型企业、微型企业）；</w:t>
      </w:r>
    </w:p>
    <w:p>
      <w:pPr>
        <w:ind w:firstLine="420" w:firstLineChars="200"/>
        <w:rPr>
          <w:color w:val="000000" w:themeColor="text1"/>
          <w:spacing w:val="6"/>
          <w:szCs w:val="21"/>
          <w:highlight w:val="none"/>
          <w14:textFill>
            <w14:solidFill>
              <w14:schemeClr w14:val="tx1"/>
            </w14:solidFill>
          </w14:textFill>
        </w:rPr>
      </w:pPr>
      <w:r>
        <w:rPr>
          <w:color w:val="000000" w:themeColor="text1"/>
          <w:highlight w:val="none"/>
          <w14:textFill>
            <w14:solidFill>
              <w14:schemeClr w14:val="tx1"/>
            </w14:solidFill>
          </w14:textFill>
        </w:rPr>
        <w:t>2. （标的名称），属于（采购文件中明确的所属行业）行业；制造商为（企业名称），从业人员    人，营业收入为     万元，资产总额为     万元，属于（中型企业、小型企业、微型企业）；</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本公司对上述声明的真实性负责。如有虚假，将依法承担相应责任。</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以上企业，不属于大企业的分支机构，不存在控股股东 为大企业的情形，也不存在与大企业的负责人为同一人的情形。</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本企业对上述声明内容的真实性负责。如有虚假，将依 法承担相应责任。</w:t>
      </w:r>
    </w:p>
    <w:p>
      <w:pPr>
        <w:spacing w:line="360" w:lineRule="auto"/>
        <w:ind w:firstLine="420" w:firstLineChars="200"/>
        <w:rPr>
          <w:color w:val="000000" w:themeColor="text1"/>
          <w:highlight w:val="none"/>
          <w14:textFill>
            <w14:solidFill>
              <w14:schemeClr w14:val="tx1"/>
            </w14:solidFill>
          </w14:textFill>
        </w:rPr>
      </w:pPr>
    </w:p>
    <w:p>
      <w:pPr>
        <w:spacing w:line="360" w:lineRule="auto"/>
        <w:ind w:left="4252" w:leftChars="2025"/>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 标 人（单位公章）：</w:t>
      </w:r>
    </w:p>
    <w:p>
      <w:pPr>
        <w:spacing w:line="360" w:lineRule="auto"/>
        <w:ind w:left="4252" w:leftChars="2025"/>
        <w:jc w:val="right"/>
        <w:rPr>
          <w:color w:val="000000" w:themeColor="text1"/>
          <w:spacing w:val="6"/>
          <w:highlight w:val="none"/>
          <w14:textFill>
            <w14:solidFill>
              <w14:schemeClr w14:val="tx1"/>
            </w14:solidFill>
          </w14:textFill>
        </w:rPr>
      </w:pPr>
      <w:r>
        <w:rPr>
          <w:color w:val="000000" w:themeColor="text1"/>
          <w:highlight w:val="none"/>
          <w14:textFill>
            <w14:solidFill>
              <w14:schemeClr w14:val="tx1"/>
            </w14:solidFill>
          </w14:textFill>
        </w:rPr>
        <w:t>日期：20  年   月   日</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中小企业声明函说明：</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1.从业人员、营业收入、资产总额填报上一年度数据，无上一年度数据的新成立企业可不填报。</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 投标人应根据应标货物制造商情况，根据《工业和信息化部国家统计局国家发展和改革委员会财政部关于印发中小企业划型标准规定的通知》（工信部联企业[2011]300 号）规定的划分标准填报上一年度数据。</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4、为方便广大中小企业识别企业规模类型，可通过中小企业规模类型自测小程序进行查询http://202.106.120.146/baosong/appweb/orgScale.html </w:t>
      </w:r>
    </w:p>
    <w:p>
      <w:pPr>
        <w:spacing w:line="360" w:lineRule="auto"/>
        <w:ind w:firstLine="420" w:firstLineChars="200"/>
        <w:jc w:val="center"/>
        <w:rPr>
          <w:color w:val="000000" w:themeColor="text1"/>
          <w:highlight w:val="none"/>
          <w14:textFill>
            <w14:solidFill>
              <w14:schemeClr w14:val="tx1"/>
            </w14:solidFill>
          </w14:textFill>
        </w:rPr>
      </w:pPr>
      <w:r>
        <w:rPr>
          <w:color w:val="000000" w:themeColor="text1"/>
          <w:szCs w:val="21"/>
          <w:highlight w:val="none"/>
          <w14:textFill>
            <w14:solidFill>
              <w14:schemeClr w14:val="tx1"/>
            </w14:solidFill>
          </w14:textFill>
        </w:rPr>
        <w:br w:type="page"/>
      </w:r>
      <w:r>
        <w:rPr>
          <w:rFonts w:hint="eastAsia" w:ascii="宋体" w:hAnsi="宋体" w:cs="宋体"/>
          <w:b/>
          <w:bCs/>
          <w:color w:val="000000" w:themeColor="text1"/>
          <w:sz w:val="24"/>
          <w:szCs w:val="24"/>
          <w:highlight w:val="none"/>
          <w14:textFill>
            <w14:solidFill>
              <w14:schemeClr w14:val="tx1"/>
            </w14:solidFill>
          </w14:textFill>
        </w:rPr>
        <w:t>2、残疾人福利性单位声明函（如有）</w:t>
      </w:r>
    </w:p>
    <w:p>
      <w:pPr>
        <w:spacing w:line="360" w:lineRule="auto"/>
        <w:ind w:firstLine="420" w:firstLineChars="200"/>
        <w:rPr>
          <w:color w:val="000000" w:themeColor="text1"/>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本单位郑重声明， 根据《财政部民政部中国残疾人联合会关于促进残疾人就业政府采购政策的通知》（ 财库〔2017〕141 号） 的规定， 本单位为符合条件的残疾人福利性单位， 且本单位参加______单位的______项目采购活动提供本单位制造的货物（由本单位承担工程/提供服务），或者提供其他残疾人福利性单位制造的货物（ 不包括使用非残疾人福利性单位注册商标的货物） 。</w:t>
      </w:r>
    </w:p>
    <w:p>
      <w:pPr>
        <w:spacing w:line="360" w:lineRule="auto"/>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本单位对上述声明的真实性负责。如有虚假， 将依法承担相应责任。</w:t>
      </w:r>
    </w:p>
    <w:p>
      <w:pPr>
        <w:spacing w:line="360" w:lineRule="auto"/>
        <w:ind w:firstLine="420" w:firstLineChars="200"/>
        <w:rPr>
          <w:color w:val="000000" w:themeColor="text1"/>
          <w:highlight w:val="none"/>
          <w14:textFill>
            <w14:solidFill>
              <w14:schemeClr w14:val="tx1"/>
            </w14:solidFill>
          </w14:textFill>
        </w:rPr>
      </w:pPr>
    </w:p>
    <w:p>
      <w:pPr>
        <w:spacing w:line="360" w:lineRule="auto"/>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 标 人（单位公章）：</w:t>
      </w:r>
    </w:p>
    <w:p>
      <w:pPr>
        <w:spacing w:line="360" w:lineRule="auto"/>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日期：20  年   月   日</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根据《财政部民政部中国残疾人联合会关于促进残疾人就业政府采购政策的通知》财库〔2017〕141号的规定，符合条件的残疾人福利性单位在参加政府采购活动时，按以上格式提供《残疾人福利性单位声明函》，视同小型、微型企业，享受评审中价格扣除等促进中小企业发展的政府采购政策，残疾人福利性单位属于小型、微型企业的，不重复享受政策。</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3、由省级以上监狱管理局、戒毒管理局(含新疆生产建设兵团)出具的属于监狱企业的证明文件（如有，非监狱企业不需提供）。</w:t>
      </w:r>
    </w:p>
    <w:p>
      <w:pPr>
        <w:spacing w:line="360" w:lineRule="auto"/>
        <w:rPr>
          <w:color w:val="000000" w:themeColor="text1"/>
          <w:highlight w:val="none"/>
          <w14:textFill>
            <w14:solidFill>
              <w14:schemeClr w14:val="tx1"/>
            </w14:solidFill>
          </w14:textFill>
        </w:rPr>
      </w:pPr>
    </w:p>
    <w:p>
      <w:pPr>
        <w:pStyle w:val="7"/>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24" w:name="_Toc102987789"/>
      <w:r>
        <w:rPr>
          <w:rFonts w:hint="eastAsia" w:ascii="宋体" w:hAnsi="宋体" w:eastAsia="宋体" w:cs="宋体"/>
          <w:color w:val="000000" w:themeColor="text1"/>
          <w:sz w:val="24"/>
          <w:szCs w:val="24"/>
          <w:highlight w:val="none"/>
          <w14:textFill>
            <w14:solidFill>
              <w14:schemeClr w14:val="tx1"/>
            </w14:solidFill>
          </w14:textFill>
        </w:rPr>
        <w:t>2.6产品适用政府采购政策情况表</w:t>
      </w:r>
      <w:bookmarkEnd w:id="124"/>
      <w:r>
        <w:rPr>
          <w:rFonts w:hint="eastAsia" w:ascii="宋体" w:hAnsi="宋体" w:eastAsia="宋体" w:cs="宋体"/>
          <w:color w:val="000000" w:themeColor="text1"/>
          <w:sz w:val="24"/>
          <w:szCs w:val="24"/>
          <w:highlight w:val="none"/>
          <w14:textFill>
            <w14:solidFill>
              <w14:schemeClr w14:val="tx1"/>
            </w14:solidFill>
          </w14:textFill>
        </w:rPr>
        <w:t>（本项目不适用）</w:t>
      </w:r>
    </w:p>
    <w:p>
      <w:pPr>
        <w:spacing w:line="360" w:lineRule="auto"/>
        <w:jc w:val="center"/>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产品适用政府采购政策情况表</w:t>
      </w:r>
    </w:p>
    <w:tbl>
      <w:tblPr>
        <w:tblStyle w:val="39"/>
        <w:tblW w:w="503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2094"/>
        <w:gridCol w:w="1014"/>
        <w:gridCol w:w="1192"/>
        <w:gridCol w:w="1014"/>
        <w:gridCol w:w="1014"/>
        <w:gridCol w:w="15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pct"/>
            <w:vMerge w:val="restar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节能产品</w:t>
            </w:r>
          </w:p>
        </w:tc>
        <w:tc>
          <w:tcPr>
            <w:tcW w:w="1190"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产品名称（品牌、型号）</w:t>
            </w:r>
          </w:p>
        </w:tc>
        <w:tc>
          <w:tcPr>
            <w:tcW w:w="576"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制造商/开发商</w:t>
            </w:r>
          </w:p>
        </w:tc>
        <w:tc>
          <w:tcPr>
            <w:tcW w:w="677"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强制/优先采购品目</w:t>
            </w:r>
          </w:p>
        </w:tc>
        <w:tc>
          <w:tcPr>
            <w:tcW w:w="576"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认证证书编号</w:t>
            </w:r>
          </w:p>
        </w:tc>
        <w:tc>
          <w:tcPr>
            <w:tcW w:w="576"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证书有效期</w:t>
            </w:r>
          </w:p>
        </w:tc>
        <w:tc>
          <w:tcPr>
            <w:tcW w:w="861"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1190"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677"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强制品目</w:t>
            </w: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861"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1190"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677"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优先品目</w:t>
            </w: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861"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3595" w:type="pct"/>
            <w:gridSpan w:val="5"/>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节能产品金额合计</w:t>
            </w:r>
          </w:p>
        </w:tc>
        <w:tc>
          <w:tcPr>
            <w:tcW w:w="861"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3595" w:type="pct"/>
            <w:gridSpan w:val="5"/>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比重（优先采购节能产品金额/投标总价）</w:t>
            </w:r>
          </w:p>
        </w:tc>
        <w:tc>
          <w:tcPr>
            <w:tcW w:w="861"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4456" w:type="pct"/>
            <w:gridSpan w:val="6"/>
            <w:vAlign w:val="center"/>
          </w:tcPr>
          <w:p>
            <w:pPr>
              <w:pStyle w:val="90"/>
              <w:tabs>
                <w:tab w:val="left" w:pos="1260"/>
              </w:tabs>
              <w:spacing w:before="156" w:after="156"/>
              <w:jc w:val="center"/>
              <w:rPr>
                <w:b/>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节能产品</w:t>
            </w:r>
            <w:r>
              <w:rPr>
                <w:color w:val="000000" w:themeColor="text1"/>
                <w:szCs w:val="21"/>
                <w:highlight w:val="none"/>
                <w14:textFill>
                  <w14:solidFill>
                    <w14:schemeClr w14:val="tx1"/>
                  </w14:solidFill>
                </w14:textFill>
              </w:rPr>
              <w:t>证明材料见第</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至</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4" w:type="pct"/>
            <w:vMerge w:val="restar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环境标志产品</w:t>
            </w:r>
          </w:p>
        </w:tc>
        <w:tc>
          <w:tcPr>
            <w:tcW w:w="1190"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产品名称（品牌、型号）</w:t>
            </w:r>
          </w:p>
        </w:tc>
        <w:tc>
          <w:tcPr>
            <w:tcW w:w="576"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制造商/开发商</w:t>
            </w:r>
          </w:p>
        </w:tc>
        <w:tc>
          <w:tcPr>
            <w:tcW w:w="1253" w:type="pct"/>
            <w:gridSpan w:val="2"/>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认证证书编号</w:t>
            </w:r>
          </w:p>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认证证书编号</w:t>
            </w:r>
          </w:p>
        </w:tc>
        <w:tc>
          <w:tcPr>
            <w:tcW w:w="576"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证书有效期</w:t>
            </w:r>
          </w:p>
        </w:tc>
        <w:tc>
          <w:tcPr>
            <w:tcW w:w="861" w:type="pct"/>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r>
              <w:rPr>
                <w:b/>
                <w:color w:val="000000" w:themeColor="text1"/>
                <w:szCs w:val="21"/>
                <w:highlight w:val="none"/>
                <w:lang w:val="en-GB"/>
                <w14:textFill>
                  <w14:solidFill>
                    <w14:schemeClr w14:val="tx1"/>
                  </w14:solidFill>
                </w14:textFill>
              </w:rPr>
              <w:t>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1190"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1253" w:type="pct"/>
            <w:gridSpan w:val="2"/>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861"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1190"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1253" w:type="pct"/>
            <w:gridSpan w:val="2"/>
            <w:vAlign w:val="center"/>
          </w:tcPr>
          <w:p>
            <w:pPr>
              <w:pStyle w:val="90"/>
              <w:tabs>
                <w:tab w:val="left" w:pos="1260"/>
              </w:tabs>
              <w:spacing w:before="40" w:after="40"/>
              <w:jc w:val="center"/>
              <w:rPr>
                <w:b/>
                <w:color w:val="000000" w:themeColor="text1"/>
                <w:szCs w:val="21"/>
                <w:highlight w:val="none"/>
                <w:lang w:val="en-GB"/>
                <w14:textFill>
                  <w14:solidFill>
                    <w14:schemeClr w14:val="tx1"/>
                  </w14:solidFill>
                </w14:textFill>
              </w:rPr>
            </w:pPr>
          </w:p>
        </w:tc>
        <w:tc>
          <w:tcPr>
            <w:tcW w:w="576"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c>
          <w:tcPr>
            <w:tcW w:w="861"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3595" w:type="pct"/>
            <w:gridSpan w:val="5"/>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环境标志产品金额合计</w:t>
            </w:r>
          </w:p>
        </w:tc>
        <w:tc>
          <w:tcPr>
            <w:tcW w:w="861"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3595" w:type="pct"/>
            <w:gridSpan w:val="5"/>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比重（环境标志产品金额/投标总价）</w:t>
            </w:r>
          </w:p>
        </w:tc>
        <w:tc>
          <w:tcPr>
            <w:tcW w:w="861" w:type="pct"/>
            <w:vAlign w:val="center"/>
          </w:tcPr>
          <w:p>
            <w:pPr>
              <w:pStyle w:val="90"/>
              <w:tabs>
                <w:tab w:val="left" w:pos="1260"/>
              </w:tabs>
              <w:spacing w:before="156" w:after="156"/>
              <w:jc w:val="center"/>
              <w:rPr>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vAlign w:val="center"/>
          </w:tcPr>
          <w:p>
            <w:pPr>
              <w:pStyle w:val="90"/>
              <w:widowControl/>
              <w:jc w:val="left"/>
              <w:rPr>
                <w:color w:val="000000" w:themeColor="text1"/>
                <w:szCs w:val="21"/>
                <w:highlight w:val="none"/>
                <w:lang w:val="en-GB"/>
                <w14:textFill>
                  <w14:solidFill>
                    <w14:schemeClr w14:val="tx1"/>
                  </w14:solidFill>
                </w14:textFill>
              </w:rPr>
            </w:pPr>
          </w:p>
        </w:tc>
        <w:tc>
          <w:tcPr>
            <w:tcW w:w="4456" w:type="pct"/>
            <w:gridSpan w:val="6"/>
            <w:vAlign w:val="center"/>
          </w:tcPr>
          <w:p>
            <w:pPr>
              <w:pStyle w:val="90"/>
              <w:tabs>
                <w:tab w:val="left" w:pos="1260"/>
              </w:tabs>
              <w:spacing w:before="156" w:after="156"/>
              <w:jc w:val="center"/>
              <w:rPr>
                <w:b/>
                <w:color w:val="000000" w:themeColor="text1"/>
                <w:szCs w:val="21"/>
                <w:highlight w:val="none"/>
                <w:lang w:val="en-GB"/>
                <w14:textFill>
                  <w14:solidFill>
                    <w14:schemeClr w14:val="tx1"/>
                  </w14:solidFill>
                </w14:textFill>
              </w:rPr>
            </w:pPr>
            <w:r>
              <w:rPr>
                <w:color w:val="000000" w:themeColor="text1"/>
                <w:szCs w:val="21"/>
                <w:highlight w:val="none"/>
                <w:lang w:val="en-GB"/>
                <w14:textFill>
                  <w14:solidFill>
                    <w14:schemeClr w14:val="tx1"/>
                  </w14:solidFill>
                </w14:textFill>
              </w:rPr>
              <w:t>环境标志产品</w:t>
            </w:r>
            <w:r>
              <w:rPr>
                <w:color w:val="000000" w:themeColor="text1"/>
                <w:szCs w:val="21"/>
                <w:highlight w:val="none"/>
                <w14:textFill>
                  <w14:solidFill>
                    <w14:schemeClr w14:val="tx1"/>
                  </w14:solidFill>
                </w14:textFill>
              </w:rPr>
              <w:t>证明材料见第</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至</w:t>
            </w:r>
            <w:r>
              <w:rPr>
                <w:color w:val="000000" w:themeColor="text1"/>
                <w:szCs w:val="21"/>
                <w:highlight w:val="none"/>
                <w:u w:val="single"/>
                <w14:textFill>
                  <w14:solidFill>
                    <w14:schemeClr w14:val="tx1"/>
                  </w14:solidFill>
                </w14:textFill>
              </w:rPr>
              <w:t xml:space="preserve">   </w:t>
            </w:r>
            <w:r>
              <w:rPr>
                <w:color w:val="000000" w:themeColor="text1"/>
                <w:szCs w:val="21"/>
                <w:highlight w:val="none"/>
                <w14:textFill>
                  <w14:solidFill>
                    <w14:schemeClr w14:val="tx1"/>
                  </w14:solidFill>
                </w14:textFill>
              </w:rPr>
              <w:t>页。</w:t>
            </w:r>
          </w:p>
        </w:tc>
      </w:tr>
    </w:tbl>
    <w:p>
      <w:pPr>
        <w:spacing w:line="360" w:lineRule="auto"/>
        <w:rPr>
          <w:color w:val="000000" w:themeColor="text1"/>
          <w:highlight w:val="none"/>
          <w:lang w:val="en-GB"/>
          <w14:textFill>
            <w14:solidFill>
              <w14:schemeClr w14:val="tx1"/>
            </w14:solidFill>
          </w14:textFill>
        </w:rPr>
      </w:pPr>
      <w:r>
        <w:rPr>
          <w:color w:val="000000" w:themeColor="text1"/>
          <w:highlight w:val="none"/>
          <w:lang w:val="en-GB"/>
          <w14:textFill>
            <w14:solidFill>
              <w14:schemeClr w14:val="tx1"/>
            </w14:solidFill>
          </w14:textFill>
        </w:rPr>
        <w:t>填报要求：</w:t>
      </w:r>
    </w:p>
    <w:p>
      <w:pPr>
        <w:spacing w:line="360" w:lineRule="auto"/>
        <w:rPr>
          <w:color w:val="000000" w:themeColor="text1"/>
          <w:highlight w:val="none"/>
          <w:lang w:val="en-GB"/>
          <w14:textFill>
            <w14:solidFill>
              <w14:schemeClr w14:val="tx1"/>
            </w14:solidFill>
          </w14:textFill>
        </w:rPr>
      </w:pPr>
      <w:r>
        <w:rPr>
          <w:color w:val="000000" w:themeColor="text1"/>
          <w:highlight w:val="none"/>
          <w:lang w:val="en-GB"/>
          <w14:textFill>
            <w14:solidFill>
              <w14:schemeClr w14:val="tx1"/>
            </w14:solidFill>
          </w14:textFill>
        </w:rPr>
        <w:t>1. 本表的产品名称、规格型号和注册商标、金额应与《报价明细表》一致。</w:t>
      </w:r>
    </w:p>
    <w:p>
      <w:pPr>
        <w:spacing w:line="360" w:lineRule="auto"/>
        <w:rPr>
          <w:color w:val="000000" w:themeColor="text1"/>
          <w:highlight w:val="none"/>
          <w:lang w:val="en-GB"/>
          <w14:textFill>
            <w14:solidFill>
              <w14:schemeClr w14:val="tx1"/>
            </w14:solidFill>
          </w14:textFill>
        </w:rPr>
      </w:pPr>
      <w:r>
        <w:rPr>
          <w:color w:val="000000" w:themeColor="text1"/>
          <w:highlight w:val="none"/>
          <w:lang w:val="en-GB"/>
          <w14:textFill>
            <w14:solidFill>
              <w14:schemeClr w14:val="tx1"/>
            </w14:solidFill>
          </w14:textFill>
        </w:rPr>
        <w:t>2. 节能产品、环境标志产品必须是《节能产品政府采购清单》或《环境产品政府采购清单》所列品目范围内，且由国家确定的认证机构出具、处于有效期之内的节能产品、环境标志产品认证证书的产品。（需附上相关认证证书）</w:t>
      </w:r>
      <w:r>
        <w:rPr>
          <w:b/>
          <w:color w:val="000000" w:themeColor="text1"/>
          <w:highlight w:val="none"/>
          <w:lang w:val="en-GB"/>
          <w14:textFill>
            <w14:solidFill>
              <w14:schemeClr w14:val="tx1"/>
            </w14:solidFill>
          </w14:textFill>
        </w:rPr>
        <w:t>（注：属于《节能产品政府采购品目清单》范围中政府强制采购产品类别的，不再作评审得分优惠，投标人无需将该产品填写在此表中）。</w:t>
      </w:r>
    </w:p>
    <w:p>
      <w:pPr>
        <w:spacing w:line="360" w:lineRule="auto"/>
        <w:rPr>
          <w:color w:val="000000" w:themeColor="text1"/>
          <w:highlight w:val="none"/>
          <w:lang w:val="en-GB"/>
          <w14:textFill>
            <w14:solidFill>
              <w14:schemeClr w14:val="tx1"/>
            </w14:solidFill>
          </w14:textFill>
        </w:rPr>
      </w:pPr>
      <w:r>
        <w:rPr>
          <w:color w:val="000000" w:themeColor="text1"/>
          <w:highlight w:val="none"/>
          <w:lang w:val="en-GB"/>
          <w14:textFill>
            <w14:solidFill>
              <w14:schemeClr w14:val="tx1"/>
            </w14:solidFill>
          </w14:textFill>
        </w:rPr>
        <w:t>3. 请投标人正确填写本表，所填内容将作为评审的依据。其内容或数据应与对应的证明资料相符，如果不一致，可能导致该项无法获得相关政策优惠。</w:t>
      </w:r>
    </w:p>
    <w:p>
      <w:pPr>
        <w:spacing w:line="360" w:lineRule="auto"/>
        <w:ind w:left="4252" w:leftChars="2025"/>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 标 人（单位公章）：</w:t>
      </w:r>
    </w:p>
    <w:p>
      <w:pPr>
        <w:spacing w:line="360" w:lineRule="auto"/>
        <w:jc w:val="right"/>
        <w:rPr>
          <w:color w:val="000000" w:themeColor="text1"/>
          <w:highlight w:val="none"/>
          <w:lang w:val="en-GB"/>
          <w14:textFill>
            <w14:solidFill>
              <w14:schemeClr w14:val="tx1"/>
            </w14:solidFill>
          </w14:textFill>
        </w:rPr>
      </w:pPr>
      <w:r>
        <w:rPr>
          <w:color w:val="000000" w:themeColor="text1"/>
          <w:highlight w:val="none"/>
          <w14:textFill>
            <w14:solidFill>
              <w14:schemeClr w14:val="tx1"/>
            </w14:solidFill>
          </w14:textFill>
        </w:rPr>
        <w:t>日期：20  年   月   日</w:t>
      </w:r>
    </w:p>
    <w:p>
      <w:pPr>
        <w:pStyle w:val="6"/>
        <w:rPr>
          <w:rFonts w:ascii="宋体" w:hAnsi="宋体" w:cs="宋体"/>
          <w:color w:val="000000" w:themeColor="text1"/>
          <w:sz w:val="24"/>
          <w:szCs w:val="24"/>
          <w:highlight w:val="none"/>
          <w14:textFill>
            <w14:solidFill>
              <w14:schemeClr w14:val="tx1"/>
            </w14:solidFill>
          </w14:textFill>
        </w:rPr>
      </w:pPr>
      <w:bookmarkStart w:id="125" w:name="_Toc102987790"/>
      <w:r>
        <w:rPr>
          <w:rFonts w:hint="eastAsia" w:ascii="宋体" w:hAnsi="宋体" w:cs="宋体"/>
          <w:color w:val="000000" w:themeColor="text1"/>
          <w:sz w:val="24"/>
          <w:szCs w:val="24"/>
          <w:highlight w:val="none"/>
          <w14:textFill>
            <w14:solidFill>
              <w14:schemeClr w14:val="tx1"/>
            </w14:solidFill>
          </w14:textFill>
        </w:rPr>
        <w:t>3.商务证明</w:t>
      </w:r>
      <w:bookmarkEnd w:id="121"/>
      <w:r>
        <w:rPr>
          <w:rFonts w:hint="eastAsia" w:ascii="宋体" w:hAnsi="宋体" w:cs="宋体"/>
          <w:color w:val="000000" w:themeColor="text1"/>
          <w:sz w:val="24"/>
          <w:szCs w:val="24"/>
          <w:highlight w:val="none"/>
          <w14:textFill>
            <w14:solidFill>
              <w14:schemeClr w14:val="tx1"/>
            </w14:solidFill>
          </w14:textFill>
        </w:rPr>
        <w:t>资料</w:t>
      </w:r>
      <w:bookmarkEnd w:id="125"/>
    </w:p>
    <w:p>
      <w:pPr>
        <w:pStyle w:val="7"/>
        <w:rPr>
          <w:rFonts w:ascii="宋体" w:hAnsi="宋体" w:eastAsia="宋体" w:cs="宋体"/>
          <w:color w:val="000000" w:themeColor="text1"/>
          <w:sz w:val="24"/>
          <w:szCs w:val="24"/>
          <w:highlight w:val="none"/>
          <w14:textFill>
            <w14:solidFill>
              <w14:schemeClr w14:val="tx1"/>
            </w14:solidFill>
          </w14:textFill>
        </w:rPr>
      </w:pPr>
      <w:bookmarkStart w:id="126" w:name="_Toc102987791"/>
      <w:r>
        <w:rPr>
          <w:rFonts w:hint="eastAsia" w:ascii="宋体" w:hAnsi="宋体" w:eastAsia="宋体" w:cs="宋体"/>
          <w:color w:val="000000" w:themeColor="text1"/>
          <w:sz w:val="24"/>
          <w:szCs w:val="24"/>
          <w:highlight w:val="none"/>
          <w14:textFill>
            <w14:solidFill>
              <w14:schemeClr w14:val="tx1"/>
            </w14:solidFill>
          </w14:textFill>
        </w:rPr>
        <w:t>3.1投标人基本情况说明</w:t>
      </w:r>
      <w:bookmarkEnd w:id="126"/>
    </w:p>
    <w:p>
      <w:pPr>
        <w:pStyle w:val="5"/>
        <w:spacing w:line="240" w:lineRule="auto"/>
        <w:ind w:firstLine="0" w:firstLineChars="0"/>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投标人基本情况表</w:t>
      </w:r>
    </w:p>
    <w:tbl>
      <w:tblPr>
        <w:tblStyle w:val="39"/>
        <w:tblW w:w="5000" w:type="pct"/>
        <w:tblInd w:w="0" w:type="dxa"/>
        <w:tblLayout w:type="autofit"/>
        <w:tblCellMar>
          <w:top w:w="0" w:type="dxa"/>
          <w:left w:w="108" w:type="dxa"/>
          <w:bottom w:w="0" w:type="dxa"/>
          <w:right w:w="108" w:type="dxa"/>
        </w:tblCellMar>
      </w:tblPr>
      <w:tblGrid>
        <w:gridCol w:w="2191"/>
        <w:gridCol w:w="892"/>
        <w:gridCol w:w="1308"/>
        <w:gridCol w:w="7"/>
        <w:gridCol w:w="1143"/>
        <w:gridCol w:w="119"/>
        <w:gridCol w:w="1491"/>
        <w:gridCol w:w="1591"/>
      </w:tblGrid>
      <w:tr>
        <w:tblPrEx>
          <w:tblCellMar>
            <w:top w:w="0" w:type="dxa"/>
            <w:left w:w="108" w:type="dxa"/>
            <w:bottom w:w="0" w:type="dxa"/>
            <w:right w:w="108" w:type="dxa"/>
          </w:tblCellMar>
        </w:tblPrEx>
        <w:tc>
          <w:tcPr>
            <w:tcW w:w="1253"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单位名称</w:t>
            </w:r>
          </w:p>
        </w:tc>
        <w:tc>
          <w:tcPr>
            <w:tcW w:w="3747" w:type="pct"/>
            <w:gridSpan w:val="7"/>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1253"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注册地址</w:t>
            </w:r>
          </w:p>
        </w:tc>
        <w:tc>
          <w:tcPr>
            <w:tcW w:w="3747" w:type="pct"/>
            <w:gridSpan w:val="7"/>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1253"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主管部门</w:t>
            </w:r>
          </w:p>
        </w:tc>
        <w:tc>
          <w:tcPr>
            <w:tcW w:w="510"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p>
        </w:tc>
        <w:tc>
          <w:tcPr>
            <w:tcW w:w="748"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法人代表</w:t>
            </w:r>
          </w:p>
        </w:tc>
        <w:tc>
          <w:tcPr>
            <w:tcW w:w="658" w:type="pct"/>
            <w:gridSpan w:val="2"/>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p>
        </w:tc>
        <w:tc>
          <w:tcPr>
            <w:tcW w:w="921" w:type="pct"/>
            <w:gridSpan w:val="2"/>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职务</w:t>
            </w:r>
          </w:p>
        </w:tc>
        <w:tc>
          <w:tcPr>
            <w:tcW w:w="910" w:type="pct"/>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1253"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经济类型</w:t>
            </w:r>
          </w:p>
        </w:tc>
        <w:tc>
          <w:tcPr>
            <w:tcW w:w="510"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p>
        </w:tc>
        <w:tc>
          <w:tcPr>
            <w:tcW w:w="748"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授权代表</w:t>
            </w:r>
          </w:p>
        </w:tc>
        <w:tc>
          <w:tcPr>
            <w:tcW w:w="658" w:type="pct"/>
            <w:gridSpan w:val="2"/>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p>
        </w:tc>
        <w:tc>
          <w:tcPr>
            <w:tcW w:w="921" w:type="pct"/>
            <w:gridSpan w:val="2"/>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职务</w:t>
            </w:r>
          </w:p>
        </w:tc>
        <w:tc>
          <w:tcPr>
            <w:tcW w:w="910" w:type="pct"/>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1253"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邮编</w:t>
            </w:r>
          </w:p>
        </w:tc>
        <w:tc>
          <w:tcPr>
            <w:tcW w:w="510"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p>
        </w:tc>
        <w:tc>
          <w:tcPr>
            <w:tcW w:w="748"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电话</w:t>
            </w:r>
          </w:p>
        </w:tc>
        <w:tc>
          <w:tcPr>
            <w:tcW w:w="658" w:type="pct"/>
            <w:gridSpan w:val="2"/>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p>
        </w:tc>
        <w:tc>
          <w:tcPr>
            <w:tcW w:w="921" w:type="pct"/>
            <w:gridSpan w:val="2"/>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传真</w:t>
            </w:r>
          </w:p>
        </w:tc>
        <w:tc>
          <w:tcPr>
            <w:tcW w:w="910" w:type="pct"/>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r>
      <w:tr>
        <w:tc>
          <w:tcPr>
            <w:tcW w:w="1253" w:type="pct"/>
            <w:tcBorders>
              <w:top w:val="single" w:color="auto" w:sz="4" w:space="0"/>
              <w:left w:val="single" w:color="auto" w:sz="4" w:space="0"/>
              <w:bottom w:val="single" w:color="auto" w:sz="4" w:space="0"/>
              <w:right w:val="single" w:color="auto" w:sz="4" w:space="0"/>
            </w:tcBorders>
            <w:vAlign w:val="center"/>
          </w:tcPr>
          <w:p>
            <w:pPr>
              <w:spacing w:line="240" w:lineRule="auto"/>
              <w:ind w:left="-134" w:leftChars="-64" w:right="-105" w:rightChars="-5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单位简介及机构设置（（单位性质、发展历程、经营规模及服务理念、主营产品、技术力量、实施履行本项目合同所必需的设备、财务状况等））</w:t>
            </w:r>
          </w:p>
        </w:tc>
        <w:tc>
          <w:tcPr>
            <w:tcW w:w="3747" w:type="pct"/>
            <w:gridSpan w:val="7"/>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rPr>
          <w:trHeight w:val="596" w:hRule="atLeast"/>
        </w:trPr>
        <w:tc>
          <w:tcPr>
            <w:tcW w:w="1253" w:type="pct"/>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单位优势及特长</w:t>
            </w:r>
          </w:p>
        </w:tc>
        <w:tc>
          <w:tcPr>
            <w:tcW w:w="3747" w:type="pct"/>
            <w:gridSpan w:val="7"/>
            <w:tcBorders>
              <w:top w:val="single" w:color="auto" w:sz="4" w:space="0"/>
              <w:left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r>
      <w:tr>
        <w:tblPrEx>
          <w:tblCellMar>
            <w:top w:w="0" w:type="dxa"/>
            <w:left w:w="108" w:type="dxa"/>
            <w:bottom w:w="0" w:type="dxa"/>
            <w:right w:w="108" w:type="dxa"/>
          </w:tblCellMar>
        </w:tblPrEx>
        <w:tc>
          <w:tcPr>
            <w:tcW w:w="1253" w:type="pct"/>
            <w:vMerge w:val="restart"/>
            <w:tcBorders>
              <w:top w:val="single" w:color="auto" w:sz="4" w:space="0"/>
              <w:left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单位概况</w:t>
            </w:r>
          </w:p>
        </w:tc>
        <w:tc>
          <w:tcPr>
            <w:tcW w:w="510" w:type="pct"/>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注册资本</w:t>
            </w:r>
          </w:p>
        </w:tc>
        <w:tc>
          <w:tcPr>
            <w:tcW w:w="752" w:type="pct"/>
            <w:gridSpan w:val="2"/>
            <w:tcBorders>
              <w:top w:val="single" w:color="auto" w:sz="4" w:space="0"/>
              <w:left w:val="single" w:color="auto" w:sz="4" w:space="0"/>
              <w:bottom w:val="single" w:color="auto" w:sz="4" w:space="0"/>
              <w:right w:val="single" w:color="auto" w:sz="4" w:space="0"/>
            </w:tcBorders>
          </w:tcPr>
          <w:p>
            <w:pPr>
              <w:ind w:left="-132" w:leftChars="-64" w:right="-105" w:rightChars="-50" w:hanging="2"/>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万元</w:t>
            </w:r>
          </w:p>
        </w:tc>
        <w:tc>
          <w:tcPr>
            <w:tcW w:w="722" w:type="pct"/>
            <w:gridSpan w:val="2"/>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占地面积</w:t>
            </w:r>
          </w:p>
        </w:tc>
        <w:tc>
          <w:tcPr>
            <w:tcW w:w="1763" w:type="pct"/>
            <w:gridSpan w:val="2"/>
            <w:tcBorders>
              <w:top w:val="single" w:color="auto" w:sz="4" w:space="0"/>
              <w:left w:val="single" w:color="auto" w:sz="4" w:space="0"/>
              <w:bottom w:val="single" w:color="auto" w:sz="4" w:space="0"/>
              <w:right w:val="single" w:color="auto" w:sz="4" w:space="0"/>
            </w:tcBorders>
          </w:tcPr>
          <w:p>
            <w:pPr>
              <w:ind w:left="-134" w:leftChars="-64" w:right="-105" w:rightChars="-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2</w:t>
            </w:r>
          </w:p>
        </w:tc>
      </w:tr>
      <w:tr>
        <w:tblPrEx>
          <w:tblCellMar>
            <w:top w:w="0" w:type="dxa"/>
            <w:left w:w="108" w:type="dxa"/>
            <w:bottom w:w="0" w:type="dxa"/>
            <w:right w:w="108" w:type="dxa"/>
          </w:tblCellMar>
        </w:tblPrEx>
        <w:trPr>
          <w:trHeight w:val="737" w:hRule="atLeast"/>
        </w:trPr>
        <w:tc>
          <w:tcPr>
            <w:tcW w:w="1253" w:type="pct"/>
            <w:vMerge w:val="continue"/>
            <w:tcBorders>
              <w:left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c>
          <w:tcPr>
            <w:tcW w:w="510" w:type="pct"/>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职工总数</w:t>
            </w:r>
          </w:p>
        </w:tc>
        <w:tc>
          <w:tcPr>
            <w:tcW w:w="752" w:type="pct"/>
            <w:gridSpan w:val="2"/>
            <w:tcBorders>
              <w:top w:val="single" w:color="auto" w:sz="4" w:space="0"/>
              <w:left w:val="single" w:color="auto" w:sz="4" w:space="0"/>
              <w:bottom w:val="single" w:color="auto" w:sz="4" w:space="0"/>
              <w:right w:val="single" w:color="auto" w:sz="4" w:space="0"/>
            </w:tcBorders>
          </w:tcPr>
          <w:p>
            <w:pPr>
              <w:ind w:left="-132" w:leftChars="-64" w:right="-105" w:rightChars="-50" w:hanging="2"/>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人</w:t>
            </w:r>
          </w:p>
        </w:tc>
        <w:tc>
          <w:tcPr>
            <w:tcW w:w="722" w:type="pct"/>
            <w:gridSpan w:val="2"/>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建筑面积</w:t>
            </w:r>
          </w:p>
        </w:tc>
        <w:tc>
          <w:tcPr>
            <w:tcW w:w="1763" w:type="pct"/>
            <w:gridSpan w:val="2"/>
            <w:tcBorders>
              <w:top w:val="single" w:color="auto" w:sz="4" w:space="0"/>
              <w:left w:val="single" w:color="auto" w:sz="4" w:space="0"/>
              <w:bottom w:val="single" w:color="auto" w:sz="4" w:space="0"/>
              <w:right w:val="single" w:color="auto" w:sz="4" w:space="0"/>
            </w:tcBorders>
          </w:tcPr>
          <w:p>
            <w:pPr>
              <w:ind w:left="-134" w:leftChars="-64" w:right="-105" w:rightChars="-5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2</w:t>
            </w:r>
          </w:p>
        </w:tc>
      </w:tr>
      <w:tr>
        <w:tblPrEx>
          <w:tblCellMar>
            <w:top w:w="0" w:type="dxa"/>
            <w:left w:w="108" w:type="dxa"/>
            <w:bottom w:w="0" w:type="dxa"/>
            <w:right w:w="108" w:type="dxa"/>
          </w:tblCellMar>
        </w:tblPrEx>
        <w:tc>
          <w:tcPr>
            <w:tcW w:w="1253" w:type="pct"/>
            <w:vMerge w:val="continue"/>
            <w:tcBorders>
              <w:left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c>
          <w:tcPr>
            <w:tcW w:w="510" w:type="pct"/>
            <w:vMerge w:val="restart"/>
            <w:tcBorders>
              <w:left w:val="single" w:color="auto" w:sz="4" w:space="0"/>
              <w:right w:val="single" w:color="auto" w:sz="4" w:space="0"/>
            </w:tcBorders>
            <w:vAlign w:val="center"/>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资产情况</w:t>
            </w:r>
          </w:p>
        </w:tc>
        <w:tc>
          <w:tcPr>
            <w:tcW w:w="752" w:type="pct"/>
            <w:gridSpan w:val="2"/>
            <w:tcBorders>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净资产</w:t>
            </w:r>
          </w:p>
        </w:tc>
        <w:tc>
          <w:tcPr>
            <w:tcW w:w="722" w:type="pct"/>
            <w:gridSpan w:val="2"/>
            <w:tcBorders>
              <w:left w:val="single" w:color="auto" w:sz="4" w:space="0"/>
              <w:bottom w:val="single" w:color="auto" w:sz="4" w:space="0"/>
              <w:right w:val="single" w:color="auto" w:sz="4" w:space="0"/>
            </w:tcBorders>
            <w:vAlign w:val="center"/>
          </w:tcPr>
          <w:p>
            <w:pPr>
              <w:ind w:left="-132" w:leftChars="-64" w:right="-105" w:rightChars="-50" w:hanging="2"/>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万元</w:t>
            </w:r>
          </w:p>
        </w:tc>
        <w:tc>
          <w:tcPr>
            <w:tcW w:w="1763" w:type="pct"/>
            <w:gridSpan w:val="2"/>
            <w:tcBorders>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固定资产原值           万元</w:t>
            </w:r>
          </w:p>
        </w:tc>
      </w:tr>
      <w:tr>
        <w:tblPrEx>
          <w:tblCellMar>
            <w:top w:w="0" w:type="dxa"/>
            <w:left w:w="108" w:type="dxa"/>
            <w:bottom w:w="0" w:type="dxa"/>
            <w:right w:w="108" w:type="dxa"/>
          </w:tblCellMar>
        </w:tblPrEx>
        <w:tc>
          <w:tcPr>
            <w:tcW w:w="1253" w:type="pct"/>
            <w:vMerge w:val="continue"/>
            <w:tcBorders>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c>
          <w:tcPr>
            <w:tcW w:w="510" w:type="pct"/>
            <w:vMerge w:val="continue"/>
            <w:tcBorders>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p>
        </w:tc>
        <w:tc>
          <w:tcPr>
            <w:tcW w:w="752" w:type="pct"/>
            <w:gridSpan w:val="2"/>
            <w:tcBorders>
              <w:top w:val="single" w:color="auto" w:sz="4" w:space="0"/>
              <w:left w:val="single" w:color="auto" w:sz="4" w:space="0"/>
              <w:bottom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负债</w:t>
            </w:r>
          </w:p>
        </w:tc>
        <w:tc>
          <w:tcPr>
            <w:tcW w:w="722" w:type="pct"/>
            <w:gridSpan w:val="2"/>
            <w:tcBorders>
              <w:top w:val="single" w:color="auto" w:sz="4" w:space="0"/>
              <w:left w:val="single" w:color="auto" w:sz="4" w:space="0"/>
              <w:bottom w:val="single" w:color="auto" w:sz="4" w:space="0"/>
              <w:right w:val="single" w:color="auto" w:sz="4" w:space="0"/>
            </w:tcBorders>
            <w:vAlign w:val="center"/>
          </w:tcPr>
          <w:p>
            <w:pPr>
              <w:ind w:left="-132" w:leftChars="-64" w:right="-105" w:rightChars="-50" w:hanging="2"/>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万元</w:t>
            </w:r>
          </w:p>
        </w:tc>
        <w:tc>
          <w:tcPr>
            <w:tcW w:w="1763" w:type="pct"/>
            <w:gridSpan w:val="2"/>
            <w:tcBorders>
              <w:top w:val="single" w:color="auto" w:sz="4" w:space="0"/>
              <w:left w:val="single" w:color="auto" w:sz="4" w:space="0"/>
              <w:right w:val="single" w:color="auto" w:sz="4" w:space="0"/>
            </w:tcBorders>
          </w:tcPr>
          <w:p>
            <w:pPr>
              <w:ind w:left="-132" w:leftChars="-64" w:right="-105" w:rightChars="-50" w:hanging="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固定资产净值           万元</w:t>
            </w:r>
          </w:p>
        </w:tc>
      </w:tr>
    </w:tbl>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注：1）文字描述：单位性质、发展历程、经营规模及服务理念、主营产品、技术力量、实施履行本项目合同所必需的设备。</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 图片描述：经营场所、主要或关键产品介绍、生产场所及工艺流程等。</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 投标人提供上述情况的证明材料。</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4）如投标人此表数据有虚假，一经查实，自行承担相关责任。</w:t>
      </w:r>
    </w:p>
    <w:p>
      <w:pPr>
        <w:pStyle w:val="5"/>
        <w:tabs>
          <w:tab w:val="left" w:pos="425"/>
          <w:tab w:val="left" w:pos="900"/>
        </w:tabs>
        <w:spacing w:line="240" w:lineRule="auto"/>
        <w:ind w:firstLine="0" w:firstLineChars="0"/>
        <w:rPr>
          <w:color w:val="000000" w:themeColor="text1"/>
          <w:highlight w:val="none"/>
          <w14:textFill>
            <w14:solidFill>
              <w14:schemeClr w14:val="tx1"/>
            </w14:solidFill>
          </w14:textFill>
        </w:rPr>
      </w:pPr>
    </w:p>
    <w:p>
      <w:pPr>
        <w:pStyle w:val="17"/>
        <w:spacing w:line="360" w:lineRule="auto"/>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w:t>
      </w:r>
    </w:p>
    <w:p>
      <w:pPr>
        <w:pStyle w:val="17"/>
        <w:spacing w:line="360" w:lineRule="auto"/>
        <w:jc w:val="right"/>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法定代表人或投标人授权代表（签字）：_____________</w:t>
      </w:r>
    </w:p>
    <w:p>
      <w:pPr>
        <w:pStyle w:val="5"/>
        <w:tabs>
          <w:tab w:val="left" w:pos="425"/>
          <w:tab w:val="left" w:pos="900"/>
        </w:tabs>
        <w:spacing w:line="240" w:lineRule="auto"/>
        <w:ind w:left="1260" w:firstLine="0" w:firstLineChars="0"/>
        <w:jc w:val="righ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日期：_____年_____月_____日</w:t>
      </w:r>
    </w:p>
    <w:p>
      <w:pPr>
        <w:pStyle w:val="7"/>
        <w:rPr>
          <w:color w:val="000000" w:themeColor="text1"/>
          <w:sz w:val="30"/>
          <w:szCs w:val="30"/>
          <w:highlight w:val="none"/>
          <w14:textFill>
            <w14:solidFill>
              <w14:schemeClr w14:val="tx1"/>
            </w14:solidFill>
          </w14:textFill>
        </w:rPr>
      </w:pPr>
      <w:r>
        <w:rPr>
          <w:color w:val="000000" w:themeColor="text1"/>
          <w:szCs w:val="21"/>
          <w:highlight w:val="none"/>
          <w14:textFill>
            <w14:solidFill>
              <w14:schemeClr w14:val="tx1"/>
            </w14:solidFill>
          </w14:textFill>
        </w:rPr>
        <w:br w:type="page"/>
      </w:r>
      <w:bookmarkStart w:id="127" w:name="_Toc102987792"/>
      <w:r>
        <w:rPr>
          <w:rFonts w:hint="eastAsia" w:ascii="宋体" w:hAnsi="宋体" w:eastAsia="宋体" w:cs="宋体"/>
          <w:color w:val="000000" w:themeColor="text1"/>
          <w:sz w:val="24"/>
          <w:szCs w:val="24"/>
          <w:highlight w:val="none"/>
          <w14:textFill>
            <w14:solidFill>
              <w14:schemeClr w14:val="tx1"/>
            </w14:solidFill>
          </w14:textFill>
        </w:rPr>
        <w:t>3.2业绩一览表格式</w:t>
      </w:r>
      <w:bookmarkEnd w:id="127"/>
    </w:p>
    <w:p>
      <w:pPr>
        <w:spacing w:line="240" w:lineRule="auto"/>
        <w:jc w:val="center"/>
        <w:rPr>
          <w:b/>
          <w:bCs/>
          <w:color w:val="000000" w:themeColor="text1"/>
          <w:sz w:val="32"/>
          <w:szCs w:val="32"/>
          <w:highlight w:val="none"/>
          <w14:textFill>
            <w14:solidFill>
              <w14:schemeClr w14:val="tx1"/>
            </w14:solidFill>
          </w14:textFill>
        </w:rPr>
      </w:pPr>
      <w:r>
        <w:rPr>
          <w:b/>
          <w:bCs/>
          <w:color w:val="000000" w:themeColor="text1"/>
          <w:sz w:val="32"/>
          <w:szCs w:val="32"/>
          <w:highlight w:val="none"/>
          <w14:textFill>
            <w14:solidFill>
              <w14:schemeClr w14:val="tx1"/>
            </w14:solidFill>
          </w14:textFill>
        </w:rPr>
        <w:t>投标人20XX年1月1日以来的业绩一览表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134"/>
        <w:gridCol w:w="1505"/>
        <w:gridCol w:w="1614"/>
        <w:gridCol w:w="123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51" w:type="dxa"/>
            <w:vAlign w:val="center"/>
          </w:tcPr>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1275" w:type="dxa"/>
            <w:vAlign w:val="center"/>
          </w:tcPr>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1134" w:type="dxa"/>
            <w:vAlign w:val="center"/>
          </w:tcPr>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项目主要内容</w:t>
            </w:r>
          </w:p>
        </w:tc>
        <w:tc>
          <w:tcPr>
            <w:tcW w:w="1505" w:type="dxa"/>
            <w:vAlign w:val="center"/>
          </w:tcPr>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合同签订时间</w:t>
            </w:r>
          </w:p>
        </w:tc>
        <w:tc>
          <w:tcPr>
            <w:tcW w:w="1614" w:type="dxa"/>
            <w:vAlign w:val="center"/>
          </w:tcPr>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业主名称及联系电话</w:t>
            </w:r>
          </w:p>
        </w:tc>
        <w:tc>
          <w:tcPr>
            <w:tcW w:w="1239" w:type="dxa"/>
            <w:vAlign w:val="center"/>
          </w:tcPr>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合同金额</w:t>
            </w:r>
          </w:p>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（万元）</w:t>
            </w:r>
          </w:p>
        </w:tc>
        <w:tc>
          <w:tcPr>
            <w:tcW w:w="1559" w:type="dxa"/>
            <w:vAlign w:val="center"/>
          </w:tcPr>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证明材料（如有，在投标文件页码）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1" w:type="dxa"/>
            <w:vAlign w:val="center"/>
          </w:tcPr>
          <w:p>
            <w:pPr>
              <w:autoSpaceDE w:val="0"/>
              <w:autoSpaceDN w:val="0"/>
              <w:jc w:val="center"/>
              <w:rPr>
                <w:color w:val="000000" w:themeColor="text1"/>
                <w:highlight w:val="none"/>
                <w14:textFill>
                  <w14:solidFill>
                    <w14:schemeClr w14:val="tx1"/>
                  </w14:solidFill>
                </w14:textFill>
              </w:rPr>
            </w:pPr>
          </w:p>
        </w:tc>
        <w:tc>
          <w:tcPr>
            <w:tcW w:w="1275" w:type="dxa"/>
            <w:vAlign w:val="center"/>
          </w:tcPr>
          <w:p>
            <w:pPr>
              <w:autoSpaceDE w:val="0"/>
              <w:autoSpaceDN w:val="0"/>
              <w:jc w:val="center"/>
              <w:rPr>
                <w:color w:val="000000" w:themeColor="text1"/>
                <w:highlight w:val="none"/>
                <w14:textFill>
                  <w14:solidFill>
                    <w14:schemeClr w14:val="tx1"/>
                  </w14:solidFill>
                </w14:textFill>
              </w:rPr>
            </w:pPr>
          </w:p>
        </w:tc>
        <w:tc>
          <w:tcPr>
            <w:tcW w:w="1134" w:type="dxa"/>
            <w:vAlign w:val="center"/>
          </w:tcPr>
          <w:p>
            <w:pPr>
              <w:autoSpaceDE w:val="0"/>
              <w:autoSpaceDN w:val="0"/>
              <w:jc w:val="center"/>
              <w:rPr>
                <w:color w:val="000000" w:themeColor="text1"/>
                <w:highlight w:val="none"/>
                <w14:textFill>
                  <w14:solidFill>
                    <w14:schemeClr w14:val="tx1"/>
                  </w14:solidFill>
                </w14:textFill>
              </w:rPr>
            </w:pPr>
          </w:p>
        </w:tc>
        <w:tc>
          <w:tcPr>
            <w:tcW w:w="1505" w:type="dxa"/>
            <w:vAlign w:val="center"/>
          </w:tcPr>
          <w:p>
            <w:pPr>
              <w:autoSpaceDE w:val="0"/>
              <w:autoSpaceDN w:val="0"/>
              <w:jc w:val="center"/>
              <w:rPr>
                <w:color w:val="000000" w:themeColor="text1"/>
                <w:highlight w:val="none"/>
                <w14:textFill>
                  <w14:solidFill>
                    <w14:schemeClr w14:val="tx1"/>
                  </w14:solidFill>
                </w14:textFill>
              </w:rPr>
            </w:pPr>
          </w:p>
        </w:tc>
        <w:tc>
          <w:tcPr>
            <w:tcW w:w="1614" w:type="dxa"/>
            <w:vAlign w:val="center"/>
          </w:tcPr>
          <w:p>
            <w:pPr>
              <w:autoSpaceDE w:val="0"/>
              <w:autoSpaceDN w:val="0"/>
              <w:jc w:val="center"/>
              <w:rPr>
                <w:color w:val="000000" w:themeColor="text1"/>
                <w:highlight w:val="none"/>
                <w14:textFill>
                  <w14:solidFill>
                    <w14:schemeClr w14:val="tx1"/>
                  </w14:solidFill>
                </w14:textFill>
              </w:rPr>
            </w:pPr>
          </w:p>
        </w:tc>
        <w:tc>
          <w:tcPr>
            <w:tcW w:w="1239" w:type="dxa"/>
            <w:vAlign w:val="center"/>
          </w:tcPr>
          <w:p>
            <w:pPr>
              <w:autoSpaceDE w:val="0"/>
              <w:autoSpaceDN w:val="0"/>
              <w:jc w:val="center"/>
              <w:rPr>
                <w:color w:val="000000" w:themeColor="text1"/>
                <w:highlight w:val="none"/>
                <w14:textFill>
                  <w14:solidFill>
                    <w14:schemeClr w14:val="tx1"/>
                  </w14:solidFill>
                </w14:textFill>
              </w:rPr>
            </w:pPr>
          </w:p>
        </w:tc>
        <w:tc>
          <w:tcPr>
            <w:tcW w:w="1559" w:type="dxa"/>
            <w:vAlign w:val="center"/>
          </w:tcPr>
          <w:p>
            <w:pPr>
              <w:autoSpaceDE w:val="0"/>
              <w:autoSpaceDN w:val="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1" w:type="dxa"/>
            <w:vAlign w:val="center"/>
          </w:tcPr>
          <w:p>
            <w:pPr>
              <w:autoSpaceDE w:val="0"/>
              <w:autoSpaceDN w:val="0"/>
              <w:jc w:val="center"/>
              <w:rPr>
                <w:color w:val="000000" w:themeColor="text1"/>
                <w:highlight w:val="none"/>
                <w14:textFill>
                  <w14:solidFill>
                    <w14:schemeClr w14:val="tx1"/>
                  </w14:solidFill>
                </w14:textFill>
              </w:rPr>
            </w:pPr>
          </w:p>
          <w:p>
            <w:pPr>
              <w:autoSpaceDE w:val="0"/>
              <w:autoSpaceDN w:val="0"/>
              <w:jc w:val="center"/>
              <w:rPr>
                <w:color w:val="000000" w:themeColor="text1"/>
                <w:highlight w:val="none"/>
                <w14:textFill>
                  <w14:solidFill>
                    <w14:schemeClr w14:val="tx1"/>
                  </w14:solidFill>
                </w14:textFill>
              </w:rPr>
            </w:pPr>
          </w:p>
        </w:tc>
        <w:tc>
          <w:tcPr>
            <w:tcW w:w="1275" w:type="dxa"/>
            <w:vAlign w:val="center"/>
          </w:tcPr>
          <w:p>
            <w:pPr>
              <w:autoSpaceDE w:val="0"/>
              <w:autoSpaceDN w:val="0"/>
              <w:jc w:val="center"/>
              <w:rPr>
                <w:color w:val="000000" w:themeColor="text1"/>
                <w:highlight w:val="none"/>
                <w14:textFill>
                  <w14:solidFill>
                    <w14:schemeClr w14:val="tx1"/>
                  </w14:solidFill>
                </w14:textFill>
              </w:rPr>
            </w:pPr>
          </w:p>
        </w:tc>
        <w:tc>
          <w:tcPr>
            <w:tcW w:w="1134" w:type="dxa"/>
            <w:vAlign w:val="center"/>
          </w:tcPr>
          <w:p>
            <w:pPr>
              <w:autoSpaceDE w:val="0"/>
              <w:autoSpaceDN w:val="0"/>
              <w:jc w:val="center"/>
              <w:rPr>
                <w:color w:val="000000" w:themeColor="text1"/>
                <w:highlight w:val="none"/>
                <w14:textFill>
                  <w14:solidFill>
                    <w14:schemeClr w14:val="tx1"/>
                  </w14:solidFill>
                </w14:textFill>
              </w:rPr>
            </w:pPr>
          </w:p>
        </w:tc>
        <w:tc>
          <w:tcPr>
            <w:tcW w:w="1505" w:type="dxa"/>
            <w:vAlign w:val="center"/>
          </w:tcPr>
          <w:p>
            <w:pPr>
              <w:autoSpaceDE w:val="0"/>
              <w:autoSpaceDN w:val="0"/>
              <w:jc w:val="center"/>
              <w:rPr>
                <w:color w:val="000000" w:themeColor="text1"/>
                <w:highlight w:val="none"/>
                <w14:textFill>
                  <w14:solidFill>
                    <w14:schemeClr w14:val="tx1"/>
                  </w14:solidFill>
                </w14:textFill>
              </w:rPr>
            </w:pPr>
          </w:p>
        </w:tc>
        <w:tc>
          <w:tcPr>
            <w:tcW w:w="1614" w:type="dxa"/>
            <w:vAlign w:val="center"/>
          </w:tcPr>
          <w:p>
            <w:pPr>
              <w:autoSpaceDE w:val="0"/>
              <w:autoSpaceDN w:val="0"/>
              <w:jc w:val="center"/>
              <w:rPr>
                <w:color w:val="000000" w:themeColor="text1"/>
                <w:highlight w:val="none"/>
                <w14:textFill>
                  <w14:solidFill>
                    <w14:schemeClr w14:val="tx1"/>
                  </w14:solidFill>
                </w14:textFill>
              </w:rPr>
            </w:pPr>
          </w:p>
        </w:tc>
        <w:tc>
          <w:tcPr>
            <w:tcW w:w="1239" w:type="dxa"/>
            <w:vAlign w:val="center"/>
          </w:tcPr>
          <w:p>
            <w:pPr>
              <w:autoSpaceDE w:val="0"/>
              <w:autoSpaceDN w:val="0"/>
              <w:jc w:val="center"/>
              <w:rPr>
                <w:color w:val="000000" w:themeColor="text1"/>
                <w:highlight w:val="none"/>
                <w14:textFill>
                  <w14:solidFill>
                    <w14:schemeClr w14:val="tx1"/>
                  </w14:solidFill>
                </w14:textFill>
              </w:rPr>
            </w:pPr>
          </w:p>
        </w:tc>
        <w:tc>
          <w:tcPr>
            <w:tcW w:w="1559" w:type="dxa"/>
            <w:vAlign w:val="center"/>
          </w:tcPr>
          <w:p>
            <w:pPr>
              <w:autoSpaceDE w:val="0"/>
              <w:autoSpaceDN w:val="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1" w:type="dxa"/>
            <w:vAlign w:val="center"/>
          </w:tcPr>
          <w:p>
            <w:pPr>
              <w:autoSpaceDE w:val="0"/>
              <w:autoSpaceDN w:val="0"/>
              <w:jc w:val="center"/>
              <w:rPr>
                <w:color w:val="000000" w:themeColor="text1"/>
                <w:highlight w:val="none"/>
                <w14:textFill>
                  <w14:solidFill>
                    <w14:schemeClr w14:val="tx1"/>
                  </w14:solidFill>
                </w14:textFill>
              </w:rPr>
            </w:pPr>
          </w:p>
        </w:tc>
        <w:tc>
          <w:tcPr>
            <w:tcW w:w="1275" w:type="dxa"/>
            <w:vAlign w:val="center"/>
          </w:tcPr>
          <w:p>
            <w:pPr>
              <w:autoSpaceDE w:val="0"/>
              <w:autoSpaceDN w:val="0"/>
              <w:jc w:val="center"/>
              <w:rPr>
                <w:color w:val="000000" w:themeColor="text1"/>
                <w:highlight w:val="none"/>
                <w14:textFill>
                  <w14:solidFill>
                    <w14:schemeClr w14:val="tx1"/>
                  </w14:solidFill>
                </w14:textFill>
              </w:rPr>
            </w:pPr>
          </w:p>
        </w:tc>
        <w:tc>
          <w:tcPr>
            <w:tcW w:w="1134" w:type="dxa"/>
            <w:vAlign w:val="center"/>
          </w:tcPr>
          <w:p>
            <w:pPr>
              <w:autoSpaceDE w:val="0"/>
              <w:autoSpaceDN w:val="0"/>
              <w:jc w:val="center"/>
              <w:rPr>
                <w:color w:val="000000" w:themeColor="text1"/>
                <w:highlight w:val="none"/>
                <w14:textFill>
                  <w14:solidFill>
                    <w14:schemeClr w14:val="tx1"/>
                  </w14:solidFill>
                </w14:textFill>
              </w:rPr>
            </w:pPr>
          </w:p>
        </w:tc>
        <w:tc>
          <w:tcPr>
            <w:tcW w:w="1505" w:type="dxa"/>
            <w:vAlign w:val="center"/>
          </w:tcPr>
          <w:p>
            <w:pPr>
              <w:autoSpaceDE w:val="0"/>
              <w:autoSpaceDN w:val="0"/>
              <w:jc w:val="center"/>
              <w:rPr>
                <w:color w:val="000000" w:themeColor="text1"/>
                <w:highlight w:val="none"/>
                <w14:textFill>
                  <w14:solidFill>
                    <w14:schemeClr w14:val="tx1"/>
                  </w14:solidFill>
                </w14:textFill>
              </w:rPr>
            </w:pPr>
          </w:p>
        </w:tc>
        <w:tc>
          <w:tcPr>
            <w:tcW w:w="1614" w:type="dxa"/>
            <w:vAlign w:val="center"/>
          </w:tcPr>
          <w:p>
            <w:pPr>
              <w:autoSpaceDE w:val="0"/>
              <w:autoSpaceDN w:val="0"/>
              <w:jc w:val="center"/>
              <w:rPr>
                <w:color w:val="000000" w:themeColor="text1"/>
                <w:highlight w:val="none"/>
                <w14:textFill>
                  <w14:solidFill>
                    <w14:schemeClr w14:val="tx1"/>
                  </w14:solidFill>
                </w14:textFill>
              </w:rPr>
            </w:pPr>
          </w:p>
        </w:tc>
        <w:tc>
          <w:tcPr>
            <w:tcW w:w="1239" w:type="dxa"/>
            <w:vAlign w:val="center"/>
          </w:tcPr>
          <w:p>
            <w:pPr>
              <w:autoSpaceDE w:val="0"/>
              <w:autoSpaceDN w:val="0"/>
              <w:jc w:val="center"/>
              <w:rPr>
                <w:color w:val="000000" w:themeColor="text1"/>
                <w:highlight w:val="none"/>
                <w14:textFill>
                  <w14:solidFill>
                    <w14:schemeClr w14:val="tx1"/>
                  </w14:solidFill>
                </w14:textFill>
              </w:rPr>
            </w:pPr>
          </w:p>
        </w:tc>
        <w:tc>
          <w:tcPr>
            <w:tcW w:w="1559" w:type="dxa"/>
            <w:vAlign w:val="center"/>
          </w:tcPr>
          <w:p>
            <w:pPr>
              <w:autoSpaceDE w:val="0"/>
              <w:autoSpaceDN w:val="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1" w:type="dxa"/>
            <w:vAlign w:val="center"/>
          </w:tcPr>
          <w:p>
            <w:pPr>
              <w:autoSpaceDE w:val="0"/>
              <w:autoSpaceDN w:val="0"/>
              <w:jc w:val="center"/>
              <w:rPr>
                <w:color w:val="000000" w:themeColor="text1"/>
                <w:highlight w:val="none"/>
                <w14:textFill>
                  <w14:solidFill>
                    <w14:schemeClr w14:val="tx1"/>
                  </w14:solidFill>
                </w14:textFill>
              </w:rPr>
            </w:pPr>
          </w:p>
        </w:tc>
        <w:tc>
          <w:tcPr>
            <w:tcW w:w="1275" w:type="dxa"/>
            <w:vAlign w:val="center"/>
          </w:tcPr>
          <w:p>
            <w:pPr>
              <w:autoSpaceDE w:val="0"/>
              <w:autoSpaceDN w:val="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34" w:type="dxa"/>
            <w:vAlign w:val="center"/>
          </w:tcPr>
          <w:p>
            <w:pPr>
              <w:autoSpaceDE w:val="0"/>
              <w:autoSpaceDN w:val="0"/>
              <w:jc w:val="center"/>
              <w:rPr>
                <w:color w:val="000000" w:themeColor="text1"/>
                <w:highlight w:val="none"/>
                <w14:textFill>
                  <w14:solidFill>
                    <w14:schemeClr w14:val="tx1"/>
                  </w14:solidFill>
                </w14:textFill>
              </w:rPr>
            </w:pPr>
          </w:p>
        </w:tc>
        <w:tc>
          <w:tcPr>
            <w:tcW w:w="1505" w:type="dxa"/>
            <w:vAlign w:val="center"/>
          </w:tcPr>
          <w:p>
            <w:pPr>
              <w:autoSpaceDE w:val="0"/>
              <w:autoSpaceDN w:val="0"/>
              <w:jc w:val="center"/>
              <w:rPr>
                <w:color w:val="000000" w:themeColor="text1"/>
                <w:highlight w:val="none"/>
                <w14:textFill>
                  <w14:solidFill>
                    <w14:schemeClr w14:val="tx1"/>
                  </w14:solidFill>
                </w14:textFill>
              </w:rPr>
            </w:pPr>
          </w:p>
        </w:tc>
        <w:tc>
          <w:tcPr>
            <w:tcW w:w="1614" w:type="dxa"/>
            <w:vAlign w:val="center"/>
          </w:tcPr>
          <w:p>
            <w:pPr>
              <w:autoSpaceDE w:val="0"/>
              <w:autoSpaceDN w:val="0"/>
              <w:jc w:val="center"/>
              <w:rPr>
                <w:color w:val="000000" w:themeColor="text1"/>
                <w:highlight w:val="none"/>
                <w14:textFill>
                  <w14:solidFill>
                    <w14:schemeClr w14:val="tx1"/>
                  </w14:solidFill>
                </w14:textFill>
              </w:rPr>
            </w:pPr>
          </w:p>
        </w:tc>
        <w:tc>
          <w:tcPr>
            <w:tcW w:w="1239" w:type="dxa"/>
            <w:vAlign w:val="center"/>
          </w:tcPr>
          <w:p>
            <w:pPr>
              <w:autoSpaceDE w:val="0"/>
              <w:autoSpaceDN w:val="0"/>
              <w:jc w:val="center"/>
              <w:rPr>
                <w:color w:val="000000" w:themeColor="text1"/>
                <w:highlight w:val="none"/>
                <w14:textFill>
                  <w14:solidFill>
                    <w14:schemeClr w14:val="tx1"/>
                  </w14:solidFill>
                </w14:textFill>
              </w:rPr>
            </w:pPr>
          </w:p>
        </w:tc>
        <w:tc>
          <w:tcPr>
            <w:tcW w:w="1559" w:type="dxa"/>
            <w:vAlign w:val="center"/>
          </w:tcPr>
          <w:p>
            <w:pPr>
              <w:autoSpaceDE w:val="0"/>
              <w:autoSpaceDN w:val="0"/>
              <w:jc w:val="center"/>
              <w:rPr>
                <w:color w:val="000000" w:themeColor="text1"/>
                <w:highlight w:val="none"/>
                <w14:textFill>
                  <w14:solidFill>
                    <w14:schemeClr w14:val="tx1"/>
                  </w14:solidFill>
                </w14:textFill>
              </w:rPr>
            </w:pPr>
          </w:p>
        </w:tc>
      </w:tr>
    </w:tbl>
    <w:p>
      <w:pPr>
        <w:pStyle w:val="17"/>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w:t>
      </w:r>
    </w:p>
    <w:p>
      <w:pPr>
        <w:pStyle w:val="17"/>
        <w:spacing w:line="36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法定代表人或投标人授权代表（签字）：_____________</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    期：_____年_____月_____日</w:t>
      </w:r>
    </w:p>
    <w:p>
      <w:pPr>
        <w:pStyle w:val="5"/>
        <w:spacing w:line="240" w:lineRule="auto"/>
        <w:ind w:firstLine="0" w:firstLineChars="0"/>
        <w:rPr>
          <w:color w:val="000000" w:themeColor="text1"/>
          <w:highlight w:val="none"/>
          <w14:textFill>
            <w14:solidFill>
              <w14:schemeClr w14:val="tx1"/>
            </w14:solidFill>
          </w14:textFill>
        </w:rPr>
      </w:pPr>
    </w:p>
    <w:p>
      <w:pPr>
        <w:pStyle w:val="5"/>
        <w:spacing w:line="240" w:lineRule="auto"/>
        <w:ind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注：供应商的业绩一览表须按照上述表格形式列明xx 年xx 月xx 日以来与本次所投产品一致的用户情况，包括具体型号、配套情况、成交时间、用户单位、用户代表及其手机与办公电话，并附合同复印件等证明材料，投标人所提供的合同复印件须明确体现货物品牌、型号、配置清单、签订日期等关键信息。</w:t>
      </w:r>
    </w:p>
    <w:p>
      <w:pPr>
        <w:pStyle w:val="5"/>
        <w:spacing w:line="240" w:lineRule="auto"/>
        <w:ind w:firstLine="0" w:firstLineChars="0"/>
        <w:rPr>
          <w:color w:val="000000" w:themeColor="text1"/>
          <w:highlight w:val="none"/>
          <w14:textFill>
            <w14:solidFill>
              <w14:schemeClr w14:val="tx1"/>
            </w14:solidFill>
          </w14:textFill>
        </w:rPr>
      </w:pPr>
    </w:p>
    <w:p>
      <w:pPr>
        <w:pStyle w:val="7"/>
        <w:rPr>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28" w:name="_Toc102987793"/>
      <w:r>
        <w:rPr>
          <w:rFonts w:hint="eastAsia" w:ascii="宋体" w:hAnsi="宋体" w:eastAsia="宋体" w:cs="宋体"/>
          <w:color w:val="000000" w:themeColor="text1"/>
          <w:sz w:val="24"/>
          <w:szCs w:val="24"/>
          <w:highlight w:val="none"/>
          <w14:textFill>
            <w14:solidFill>
              <w14:schemeClr w14:val="tx1"/>
            </w14:solidFill>
          </w14:textFill>
        </w:rPr>
        <w:t>3.3制造厂商出具的授权函格式</w:t>
      </w:r>
      <w:bookmarkEnd w:id="128"/>
      <w:r>
        <w:rPr>
          <w:rFonts w:hint="eastAsia" w:ascii="宋体" w:hAnsi="宋体" w:eastAsia="宋体" w:cs="宋体"/>
          <w:color w:val="000000" w:themeColor="text1"/>
          <w:sz w:val="24"/>
          <w:szCs w:val="24"/>
          <w:highlight w:val="none"/>
          <w14:textFill>
            <w14:solidFill>
              <w14:schemeClr w14:val="tx1"/>
            </w14:solidFill>
          </w14:textFill>
        </w:rPr>
        <w:t>（可选）</w:t>
      </w:r>
    </w:p>
    <w:p>
      <w:pPr>
        <w:pStyle w:val="5"/>
        <w:spacing w:line="240" w:lineRule="auto"/>
        <w:ind w:left="540" w:firstLine="0" w:firstLineChars="0"/>
        <w:jc w:val="center"/>
        <w:rPr>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t>制造厂商出具的授权函</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致：（采购人）</w:t>
      </w:r>
    </w:p>
    <w:p>
      <w:pPr>
        <w:pStyle w:val="5"/>
        <w:spacing w:line="24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我们</w:t>
      </w:r>
      <w:r>
        <w:rPr>
          <w:color w:val="000000" w:themeColor="text1"/>
          <w:highlight w:val="none"/>
          <w:u w:val="single"/>
          <w14:textFill>
            <w14:solidFill>
              <w14:schemeClr w14:val="tx1"/>
            </w14:solidFill>
          </w14:textFill>
        </w:rPr>
        <w:t>（制造厂商名称）</w:t>
      </w:r>
      <w:r>
        <w:rPr>
          <w:color w:val="000000" w:themeColor="text1"/>
          <w:highlight w:val="none"/>
          <w14:textFill>
            <w14:solidFill>
              <w14:schemeClr w14:val="tx1"/>
            </w14:solidFill>
          </w14:textFill>
        </w:rPr>
        <w:t>是按</w:t>
      </w:r>
      <w:r>
        <w:rPr>
          <w:color w:val="000000" w:themeColor="text1"/>
          <w:highlight w:val="none"/>
          <w:u w:val="single"/>
          <w14:textFill>
            <w14:solidFill>
              <w14:schemeClr w14:val="tx1"/>
            </w14:solidFill>
          </w14:textFill>
        </w:rPr>
        <w:t>（国家名称）</w:t>
      </w:r>
      <w:r>
        <w:rPr>
          <w:color w:val="000000" w:themeColor="text1"/>
          <w:highlight w:val="none"/>
          <w14:textFill>
            <w14:solidFill>
              <w14:schemeClr w14:val="tx1"/>
            </w14:solidFill>
          </w14:textFill>
        </w:rPr>
        <w:t>法律成立的一家制造商，主要营业地点设在</w:t>
      </w:r>
      <w:r>
        <w:rPr>
          <w:color w:val="000000" w:themeColor="text1"/>
          <w:highlight w:val="none"/>
          <w:u w:val="single"/>
          <w14:textFill>
            <w14:solidFill>
              <w14:schemeClr w14:val="tx1"/>
            </w14:solidFill>
          </w14:textFill>
        </w:rPr>
        <w:t>（制造厂商地址）</w:t>
      </w:r>
      <w:r>
        <w:rPr>
          <w:color w:val="000000" w:themeColor="text1"/>
          <w:highlight w:val="none"/>
          <w14:textFill>
            <w14:solidFill>
              <w14:schemeClr w14:val="tx1"/>
            </w14:solidFill>
          </w14:textFill>
        </w:rPr>
        <w:t>。兹指派按</w:t>
      </w:r>
      <w:r>
        <w:rPr>
          <w:color w:val="000000" w:themeColor="text1"/>
          <w:highlight w:val="none"/>
          <w:u w:val="single"/>
          <w14:textFill>
            <w14:solidFill>
              <w14:schemeClr w14:val="tx1"/>
            </w14:solidFill>
          </w14:textFill>
        </w:rPr>
        <w:t>（国家名称）</w:t>
      </w:r>
      <w:r>
        <w:rPr>
          <w:color w:val="000000" w:themeColor="text1"/>
          <w:highlight w:val="none"/>
          <w14:textFill>
            <w14:solidFill>
              <w14:schemeClr w14:val="tx1"/>
            </w14:solidFill>
          </w14:textFill>
        </w:rPr>
        <w:t>的法律正式成立的，主要营业地点设在</w:t>
      </w:r>
      <w:r>
        <w:rPr>
          <w:color w:val="000000" w:themeColor="text1"/>
          <w:highlight w:val="none"/>
          <w:u w:val="single"/>
          <w14:textFill>
            <w14:solidFill>
              <w14:schemeClr w14:val="tx1"/>
            </w14:solidFill>
          </w14:textFill>
        </w:rPr>
        <w:t>（投标人地址）</w:t>
      </w:r>
      <w:r>
        <w:rPr>
          <w:color w:val="000000" w:themeColor="text1"/>
          <w:highlight w:val="none"/>
          <w14:textFill>
            <w14:solidFill>
              <w14:schemeClr w14:val="tx1"/>
            </w14:solidFill>
          </w14:textFill>
        </w:rPr>
        <w:t>的</w:t>
      </w:r>
      <w:r>
        <w:rPr>
          <w:color w:val="000000" w:themeColor="text1"/>
          <w:highlight w:val="none"/>
          <w:u w:val="single"/>
          <w14:textFill>
            <w14:solidFill>
              <w14:schemeClr w14:val="tx1"/>
            </w14:solidFill>
          </w14:textFill>
        </w:rPr>
        <w:t>（投标人名称）</w:t>
      </w:r>
      <w:r>
        <w:rPr>
          <w:color w:val="000000" w:themeColor="text1"/>
          <w:highlight w:val="none"/>
          <w14:textFill>
            <w14:solidFill>
              <w14:schemeClr w14:val="tx1"/>
            </w14:solidFill>
          </w14:textFill>
        </w:rPr>
        <w:t>作为我方真正的和合法的代理人进行下列有效的活动：</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 代表我方在中华人民共和国办理贵方第</w:t>
      </w:r>
      <w:r>
        <w:rPr>
          <w:rFonts w:hint="eastAsia"/>
          <w:color w:val="000000" w:themeColor="text1"/>
          <w:highlight w:val="none"/>
          <w:u w:val="single"/>
          <w14:textFill>
            <w14:solidFill>
              <w14:schemeClr w14:val="tx1"/>
            </w14:solidFill>
          </w14:textFill>
        </w:rPr>
        <w:t>ZC2024010008</w:t>
      </w:r>
      <w:r>
        <w:rPr>
          <w:color w:val="000000" w:themeColor="text1"/>
          <w:highlight w:val="none"/>
          <w14:textFill>
            <w14:solidFill>
              <w14:schemeClr w14:val="tx1"/>
            </w14:solidFill>
          </w14:textFill>
        </w:rPr>
        <w:t>号投标邀请要求提供的由我方制造的货物之有关事宜，并对我方有约束力。</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 作为制造商，我方保证以投标合作者来约束自己，并对该投标共同和分别承担招标文件中规定的义务。</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 我方兹授予</w:t>
      </w:r>
      <w:r>
        <w:rPr>
          <w:color w:val="000000" w:themeColor="text1"/>
          <w:highlight w:val="none"/>
          <w:u w:val="single"/>
          <w14:textFill>
            <w14:solidFill>
              <w14:schemeClr w14:val="tx1"/>
            </w14:solidFill>
          </w14:textFill>
        </w:rPr>
        <w:t>（投标人名称）</w:t>
      </w:r>
      <w:r>
        <w:rPr>
          <w:color w:val="000000" w:themeColor="text1"/>
          <w:highlight w:val="none"/>
          <w14:textFill>
            <w14:solidFill>
              <w14:schemeClr w14:val="tx1"/>
            </w14:solidFill>
          </w14:textFill>
        </w:rPr>
        <w:t>全权办理和履行上述我方为完成上述各点所必须的事宜，具有替换和撤销的全权。兹确认</w:t>
      </w:r>
      <w:r>
        <w:rPr>
          <w:color w:val="000000" w:themeColor="text1"/>
          <w:highlight w:val="none"/>
          <w:u w:val="single"/>
          <w14:textFill>
            <w14:solidFill>
              <w14:schemeClr w14:val="tx1"/>
            </w14:solidFill>
          </w14:textFill>
        </w:rPr>
        <w:t>（投标人名称）</w:t>
      </w:r>
      <w:r>
        <w:rPr>
          <w:color w:val="000000" w:themeColor="text1"/>
          <w:highlight w:val="none"/>
          <w14:textFill>
            <w14:solidFill>
              <w14:schemeClr w14:val="tx1"/>
            </w14:solidFill>
          </w14:textFill>
        </w:rPr>
        <w:t>或其正式授权代表依此合法地办理一切事宜。</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我方于</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年</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月</w:t>
      </w:r>
      <w:r>
        <w:rPr>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日签署本文件，</w:t>
      </w:r>
      <w:r>
        <w:rPr>
          <w:color w:val="000000" w:themeColor="text1"/>
          <w:highlight w:val="none"/>
          <w:u w:val="single"/>
          <w14:textFill>
            <w14:solidFill>
              <w14:schemeClr w14:val="tx1"/>
            </w14:solidFill>
          </w14:textFill>
        </w:rPr>
        <w:t>（投标人名称）</w:t>
      </w:r>
      <w:r>
        <w:rPr>
          <w:color w:val="000000" w:themeColor="text1"/>
          <w:highlight w:val="none"/>
          <w14:textFill>
            <w14:solidFill>
              <w14:schemeClr w14:val="tx1"/>
            </w14:solidFill>
          </w14:textFill>
        </w:rPr>
        <w:t>于年月日接受此件，以此为证。</w:t>
      </w:r>
    </w:p>
    <w:p>
      <w:pPr>
        <w:pStyle w:val="5"/>
        <w:spacing w:line="240" w:lineRule="auto"/>
        <w:ind w:firstLine="0" w:firstLineChars="0"/>
        <w:rPr>
          <w:color w:val="000000" w:themeColor="text1"/>
          <w:highlight w:val="none"/>
          <w14:textFill>
            <w14:solidFill>
              <w14:schemeClr w14:val="tx1"/>
            </w14:solidFill>
          </w14:textFill>
        </w:rPr>
      </w:pPr>
    </w:p>
    <w:p>
      <w:pPr>
        <w:pStyle w:val="5"/>
        <w:spacing w:line="240" w:lineRule="auto"/>
        <w:ind w:firstLine="0" w:firstLineChars="0"/>
        <w:rPr>
          <w:color w:val="000000" w:themeColor="text1"/>
          <w:highlight w:val="none"/>
          <w14:textFill>
            <w14:solidFill>
              <w14:schemeClr w14:val="tx1"/>
            </w14:solidFill>
          </w14:textFill>
        </w:rPr>
      </w:pP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投标人名称：                        出具授权书的制造厂商名称：_____________                                                        </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（投标人印章或电子签章）                                    （制造商印章）</w:t>
      </w:r>
    </w:p>
    <w:p>
      <w:pPr>
        <w:pStyle w:val="5"/>
        <w:spacing w:line="240" w:lineRule="auto"/>
        <w:ind w:firstLine="0" w:firstLineChars="0"/>
        <w:rPr>
          <w:color w:val="000000" w:themeColor="text1"/>
          <w:highlight w:val="none"/>
          <w14:textFill>
            <w14:solidFill>
              <w14:schemeClr w14:val="tx1"/>
            </w14:solidFill>
          </w14:textFill>
        </w:rPr>
      </w:pP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签字人职务和部门：__________________ 签字人职务和部门：__________________</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签字人姓名： _______________________ 签字人姓名：________________________</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签字人签名： _______________________ 签字人签名：________________________</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移动电话： __________________________移动电话：__________________________</w:t>
      </w:r>
    </w:p>
    <w:p>
      <w:pPr>
        <w:pStyle w:val="5"/>
        <w:spacing w:line="240" w:lineRule="auto"/>
        <w:ind w:firstLine="0" w:firstLineChars="0"/>
        <w:rPr>
          <w:color w:val="000000" w:themeColor="text1"/>
          <w:highlight w:val="none"/>
          <w14:textFill>
            <w14:solidFill>
              <w14:schemeClr w14:val="tx1"/>
            </w14:solidFill>
          </w14:textFill>
        </w:rPr>
      </w:pP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注：1.非所投货物制造商的投标人需提供制造商授权函或代理资格证或合法供货渠道证明。</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2.上述制造商授权函格式仅供参考，信息应填写完整；若不提供制造厂商出具的授权函或代理资格证，需自拟格式提供合法供货渠道证明。</w:t>
      </w:r>
    </w:p>
    <w:p>
      <w:pPr>
        <w:pStyle w:val="7"/>
        <w:spacing w:before="0" w:after="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29" w:name="_Toc102987794"/>
      <w:r>
        <w:rPr>
          <w:rFonts w:hint="eastAsia" w:ascii="宋体" w:hAnsi="宋体" w:eastAsia="宋体" w:cs="宋体"/>
          <w:color w:val="000000" w:themeColor="text1"/>
          <w:sz w:val="24"/>
          <w:szCs w:val="24"/>
          <w:highlight w:val="none"/>
          <w14:textFill>
            <w14:solidFill>
              <w14:schemeClr w14:val="tx1"/>
            </w14:solidFill>
          </w14:textFill>
        </w:rPr>
        <w:t>3.4商务条件偏离表</w:t>
      </w:r>
      <w:bookmarkEnd w:id="129"/>
    </w:p>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商务条件偏离表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54"/>
        <w:gridCol w:w="1984"/>
        <w:gridCol w:w="1134"/>
        <w:gridCol w:w="1077"/>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2154"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采购文件规定的商务条件</w:t>
            </w:r>
          </w:p>
        </w:tc>
        <w:tc>
          <w:tcPr>
            <w:tcW w:w="1984"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投标响应实际情况</w:t>
            </w:r>
          </w:p>
        </w:tc>
        <w:tc>
          <w:tcPr>
            <w:tcW w:w="1134"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偏离简述</w:t>
            </w:r>
          </w:p>
        </w:tc>
        <w:tc>
          <w:tcPr>
            <w:tcW w:w="1077"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证明文件所在位置</w:t>
            </w:r>
          </w:p>
        </w:tc>
        <w:tc>
          <w:tcPr>
            <w:tcW w:w="1139"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4" w:type="dxa"/>
            <w:gridSpan w:val="6"/>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标有“▲”的为</w:t>
            </w:r>
            <w:r>
              <w:rPr>
                <w:b/>
                <w:color w:val="000000" w:themeColor="text1"/>
                <w:highlight w:val="none"/>
                <w14:textFill>
                  <w14:solidFill>
                    <w14:schemeClr w14:val="tx1"/>
                  </w14:solidFill>
                </w14:textFill>
              </w:rPr>
              <w:t>重要商务条件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4" w:type="dxa"/>
            <w:gridSpan w:val="6"/>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未标注“</w:t>
            </w: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”或“▲”的</w:t>
            </w:r>
            <w:r>
              <w:rPr>
                <w:b/>
                <w:color w:val="000000" w:themeColor="text1"/>
                <w:highlight w:val="none"/>
                <w14:textFill>
                  <w14:solidFill>
                    <w14:schemeClr w14:val="tx1"/>
                  </w14:solidFill>
                </w14:textFill>
              </w:rPr>
              <w:t>一般商务条件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215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98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4"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77"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r>
    </w:tbl>
    <w:p>
      <w:pPr>
        <w:pStyle w:val="17"/>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w:t>
      </w:r>
    </w:p>
    <w:p>
      <w:pPr>
        <w:pStyle w:val="17"/>
        <w:spacing w:line="36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法定代表人或投标人授权代表（签字）：_____________</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    期：_____年_____月_____日</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说明：</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投标人须对照招标文件，将自己</w:t>
      </w:r>
      <w:r>
        <w:rPr>
          <w:rFonts w:hint="eastAsia"/>
          <w:color w:val="000000" w:themeColor="text1"/>
          <w:highlight w:val="none"/>
          <w14:textFill>
            <w14:solidFill>
              <w14:schemeClr w14:val="tx1"/>
            </w14:solidFill>
          </w14:textFill>
        </w:rPr>
        <w:t>提供的服务对应商务</w:t>
      </w:r>
      <w:r>
        <w:rPr>
          <w:color w:val="000000" w:themeColor="text1"/>
          <w:highlight w:val="none"/>
          <w14:textFill>
            <w14:solidFill>
              <w14:schemeClr w14:val="tx1"/>
            </w14:solidFill>
          </w14:textFill>
        </w:rPr>
        <w:t>条件下的内容按照上表格式与招标要求逐条填写，说明所提供服务已对招标文件的商务条件做出了实质性响应，申明与商务条件的偏差和例外，提供相关佐证并注明该项资料所在的投标文件页码，因未备注页码或备注页码错误造成投标无效或影响评审得分的，其责任由投标人全部负责。若有负偏离而未如实填写的可视为虚假投标；若有正偏离而未如实填写的将视为没有优于招标要求；无论是正、负偏离，还是无偏离，未按上表格式逐条填写的，可视为无效投标。对有具体参数要求的指标，投标人必须提供所投设备的具体参数值，并在偏离简述栏中标明技术及配置的实际响应情况：</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 用户需求书中标注有“</w:t>
      </w: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”号的条款必须实质性响应，负偏离（不满足要求）将导致投标无效；标有“▲”的为重要技术指标，如不满足将在技术评分中按照评分细则进行扣分，但不会导致投标无效。</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 偏离简述栏中必须标明响应情况，整项</w:t>
      </w:r>
      <w:r>
        <w:rPr>
          <w:rFonts w:hint="eastAsia"/>
          <w:color w:val="000000" w:themeColor="text1"/>
          <w:highlight w:val="none"/>
          <w14:textFill>
            <w14:solidFill>
              <w14:schemeClr w14:val="tx1"/>
            </w14:solidFill>
          </w14:textFill>
        </w:rPr>
        <w:t>服务及服务</w:t>
      </w:r>
      <w:r>
        <w:rPr>
          <w:color w:val="000000" w:themeColor="text1"/>
          <w:highlight w:val="none"/>
          <w14:textFill>
            <w14:solidFill>
              <w14:schemeClr w14:val="tx1"/>
            </w14:solidFill>
          </w14:textFill>
        </w:rPr>
        <w:t>各部分响应情况须按下述规定填写，任何不真实响应都将导致投标无效：</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①</w:t>
      </w:r>
      <w:r>
        <w:rPr>
          <w:color w:val="000000" w:themeColor="text1"/>
          <w:highlight w:val="none"/>
          <w14:textFill>
            <w14:solidFill>
              <w14:schemeClr w14:val="tx1"/>
            </w14:solidFill>
          </w14:textFill>
        </w:rPr>
        <w:t>对应项中的所有条件全部符合招标文件要求的才能填写“符合”；</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②</w:t>
      </w:r>
      <w:r>
        <w:rPr>
          <w:color w:val="000000" w:themeColor="text1"/>
          <w:highlight w:val="none"/>
          <w14:textFill>
            <w14:solidFill>
              <w14:schemeClr w14:val="tx1"/>
            </w14:solidFill>
          </w14:textFill>
        </w:rPr>
        <w:t>对应项中的所有条件全部符合招标文件要求并且其中有一个或以上指标优于招标文件要求的，可填写“正偏离”；</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③</w:t>
      </w:r>
      <w:r>
        <w:rPr>
          <w:color w:val="000000" w:themeColor="text1"/>
          <w:highlight w:val="none"/>
          <w14:textFill>
            <w14:solidFill>
              <w14:schemeClr w14:val="tx1"/>
            </w14:solidFill>
          </w14:textFill>
        </w:rPr>
        <w:t>对应项中的所有条件中有任何一项不能达到招标文件要求的，必须填写“负偏离”；</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④</w:t>
      </w:r>
      <w:r>
        <w:rPr>
          <w:color w:val="000000" w:themeColor="text1"/>
          <w:highlight w:val="none"/>
          <w14:textFill>
            <w14:solidFill>
              <w14:schemeClr w14:val="tx1"/>
            </w14:solidFill>
          </w14:textFill>
        </w:rPr>
        <w:t>“正偏离”、“负偏离”两者中偏离的情况必须在备注栏中说明对使用的影响。</w:t>
      </w:r>
    </w:p>
    <w:p>
      <w:pPr>
        <w:pStyle w:val="7"/>
        <w:rPr>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30" w:name="_Toc102987795"/>
      <w:r>
        <w:rPr>
          <w:rFonts w:hint="eastAsia" w:ascii="宋体" w:hAnsi="宋体" w:eastAsia="宋体" w:cs="宋体"/>
          <w:color w:val="000000" w:themeColor="text1"/>
          <w:sz w:val="24"/>
          <w:szCs w:val="24"/>
          <w:highlight w:val="none"/>
          <w14:textFill>
            <w14:solidFill>
              <w14:schemeClr w14:val="tx1"/>
            </w14:solidFill>
          </w14:textFill>
        </w:rPr>
        <w:t>3.5投标人认为有必要说明的其他商务文件资料</w:t>
      </w:r>
      <w:bookmarkEnd w:id="130"/>
    </w:p>
    <w:p>
      <w:pPr>
        <w:pStyle w:val="6"/>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31" w:name="_Toc102987796"/>
      <w:r>
        <w:rPr>
          <w:rFonts w:hint="eastAsia" w:ascii="宋体" w:hAnsi="宋体" w:cs="宋体"/>
          <w:color w:val="000000" w:themeColor="text1"/>
          <w:sz w:val="24"/>
          <w:szCs w:val="24"/>
          <w:highlight w:val="none"/>
          <w14:textFill>
            <w14:solidFill>
              <w14:schemeClr w14:val="tx1"/>
            </w14:solidFill>
          </w14:textFill>
        </w:rPr>
        <w:t>4.技术证明资料</w:t>
      </w:r>
      <w:bookmarkEnd w:id="131"/>
    </w:p>
    <w:p>
      <w:pPr>
        <w:pStyle w:val="7"/>
        <w:rPr>
          <w:rFonts w:ascii="宋体" w:hAnsi="宋体" w:eastAsia="宋体" w:cs="宋体"/>
          <w:color w:val="000000" w:themeColor="text1"/>
          <w:sz w:val="24"/>
          <w:szCs w:val="24"/>
          <w:highlight w:val="none"/>
          <w14:textFill>
            <w14:solidFill>
              <w14:schemeClr w14:val="tx1"/>
            </w14:solidFill>
          </w14:textFill>
        </w:rPr>
      </w:pPr>
      <w:bookmarkStart w:id="132" w:name="_Toc102987797"/>
      <w:r>
        <w:rPr>
          <w:rFonts w:hint="eastAsia" w:ascii="宋体" w:hAnsi="宋体" w:eastAsia="宋体" w:cs="宋体"/>
          <w:color w:val="000000" w:themeColor="text1"/>
          <w:sz w:val="24"/>
          <w:szCs w:val="24"/>
          <w:highlight w:val="none"/>
          <w14:textFill>
            <w14:solidFill>
              <w14:schemeClr w14:val="tx1"/>
            </w14:solidFill>
          </w14:textFill>
        </w:rPr>
        <w:t>4.1技术规格/要求偏离表格式</w:t>
      </w:r>
      <w:bookmarkEnd w:id="132"/>
    </w:p>
    <w:p>
      <w:pPr>
        <w:pStyle w:val="5"/>
        <w:spacing w:line="240" w:lineRule="auto"/>
        <w:ind w:firstLine="0" w:firstLineChars="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技术规格/服务要求偏离表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138"/>
        <w:gridCol w:w="1503"/>
        <w:gridCol w:w="1139"/>
        <w:gridCol w:w="1855"/>
        <w:gridCol w:w="1084"/>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1138"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标的名称</w:t>
            </w:r>
          </w:p>
        </w:tc>
        <w:tc>
          <w:tcPr>
            <w:tcW w:w="1503"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采购文件规定的技术和服务要求</w:t>
            </w:r>
          </w:p>
        </w:tc>
        <w:tc>
          <w:tcPr>
            <w:tcW w:w="1139"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投标响应实际情况</w:t>
            </w:r>
          </w:p>
        </w:tc>
        <w:tc>
          <w:tcPr>
            <w:tcW w:w="1855"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偏离简述</w:t>
            </w:r>
          </w:p>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验收所需测试条件、环境、样品等及成功机率</w:t>
            </w:r>
          </w:p>
        </w:tc>
        <w:tc>
          <w:tcPr>
            <w:tcW w:w="1084"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证明文件所在位置</w:t>
            </w:r>
          </w:p>
        </w:tc>
        <w:tc>
          <w:tcPr>
            <w:tcW w:w="1017"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6" w:type="dxa"/>
            <w:gridSpan w:val="7"/>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标有“▲”的为</w:t>
            </w:r>
            <w:r>
              <w:rPr>
                <w:b/>
                <w:color w:val="000000" w:themeColor="text1"/>
                <w:highlight w:val="none"/>
                <w14:textFill>
                  <w14:solidFill>
                    <w14:schemeClr w14:val="tx1"/>
                  </w14:solidFill>
                </w14:textFill>
              </w:rPr>
              <w:t>重要技术指标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6" w:type="dxa"/>
            <w:gridSpan w:val="7"/>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未标注“</w:t>
            </w: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”或“▲”的</w:t>
            </w:r>
            <w:r>
              <w:rPr>
                <w:b/>
                <w:color w:val="000000" w:themeColor="text1"/>
                <w:highlight w:val="none"/>
                <w14:textFill>
                  <w14:solidFill>
                    <w14:schemeClr w14:val="tx1"/>
                  </w14:solidFill>
                </w14:textFill>
              </w:rPr>
              <w:t>一般技术参数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1138"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503"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139"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855" w:type="dxa"/>
          </w:tcPr>
          <w:p>
            <w:pPr>
              <w:pStyle w:val="5"/>
              <w:spacing w:line="240" w:lineRule="auto"/>
              <w:ind w:firstLine="0" w:firstLineChars="0"/>
              <w:jc w:val="center"/>
              <w:rPr>
                <w:color w:val="000000" w:themeColor="text1"/>
                <w:highlight w:val="none"/>
                <w14:textFill>
                  <w14:solidFill>
                    <w14:schemeClr w14:val="tx1"/>
                  </w14:solidFill>
                </w14:textFill>
              </w:rPr>
            </w:pPr>
          </w:p>
        </w:tc>
        <w:tc>
          <w:tcPr>
            <w:tcW w:w="1084" w:type="dxa"/>
          </w:tcPr>
          <w:p>
            <w:pPr>
              <w:pStyle w:val="5"/>
              <w:spacing w:line="240" w:lineRule="auto"/>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)页</w:t>
            </w:r>
          </w:p>
        </w:tc>
        <w:tc>
          <w:tcPr>
            <w:tcW w:w="1017" w:type="dxa"/>
          </w:tcPr>
          <w:p>
            <w:pPr>
              <w:pStyle w:val="5"/>
              <w:spacing w:line="240" w:lineRule="auto"/>
              <w:ind w:firstLine="0" w:firstLineChars="0"/>
              <w:jc w:val="center"/>
              <w:rPr>
                <w:color w:val="000000" w:themeColor="text1"/>
                <w:highlight w:val="none"/>
                <w14:textFill>
                  <w14:solidFill>
                    <w14:schemeClr w14:val="tx1"/>
                  </w14:solidFill>
                </w14:textFill>
              </w:rPr>
            </w:pPr>
          </w:p>
        </w:tc>
      </w:tr>
    </w:tbl>
    <w:p>
      <w:pPr>
        <w:pStyle w:val="17"/>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投标人名称（全称，并加盖公章）：_________________</w:t>
      </w:r>
    </w:p>
    <w:p>
      <w:pPr>
        <w:pStyle w:val="17"/>
        <w:spacing w:line="360" w:lineRule="auto"/>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法定代表人或投标人授权代表（签字）：_____________</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日    期：_____年_____月_____日</w:t>
      </w:r>
    </w:p>
    <w:p>
      <w:pPr>
        <w:pStyle w:val="5"/>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说明：</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投标人须对照招标文件技术</w:t>
      </w:r>
      <w:r>
        <w:rPr>
          <w:rFonts w:hint="eastAsia"/>
          <w:color w:val="000000" w:themeColor="text1"/>
          <w:highlight w:val="none"/>
          <w14:textFill>
            <w14:solidFill>
              <w14:schemeClr w14:val="tx1"/>
            </w14:solidFill>
          </w14:textFill>
        </w:rPr>
        <w:t>/服务要求</w:t>
      </w:r>
      <w:r>
        <w:rPr>
          <w:color w:val="000000" w:themeColor="text1"/>
          <w:highlight w:val="none"/>
          <w14:textFill>
            <w14:solidFill>
              <w14:schemeClr w14:val="tx1"/>
            </w14:solidFill>
          </w14:textFill>
        </w:rPr>
        <w:t>，将自己所</w:t>
      </w:r>
      <w:r>
        <w:rPr>
          <w:rFonts w:hint="eastAsia"/>
          <w:color w:val="000000" w:themeColor="text1"/>
          <w:highlight w:val="none"/>
          <w14:textFill>
            <w14:solidFill>
              <w14:schemeClr w14:val="tx1"/>
            </w14:solidFill>
          </w14:textFill>
        </w:rPr>
        <w:t>提供的服务对应的技术/服务</w:t>
      </w:r>
      <w:r>
        <w:rPr>
          <w:color w:val="000000" w:themeColor="text1"/>
          <w:highlight w:val="none"/>
          <w14:textFill>
            <w14:solidFill>
              <w14:schemeClr w14:val="tx1"/>
            </w14:solidFill>
          </w14:textFill>
        </w:rPr>
        <w:t>内容按照上表格式与招标要求逐条填写，说明所提供服务已对招标文件的技术规格做出了实质性响应，申明与技术规格条文的偏差和例外，</w:t>
      </w:r>
      <w:r>
        <w:rPr>
          <w:rFonts w:hint="eastAsia"/>
          <w:color w:val="000000" w:themeColor="text1"/>
          <w:highlight w:val="none"/>
          <w14:textFill>
            <w14:solidFill>
              <w14:schemeClr w14:val="tx1"/>
            </w14:solidFill>
          </w14:textFill>
        </w:rPr>
        <w:t>可以</w:t>
      </w:r>
      <w:r>
        <w:rPr>
          <w:color w:val="000000" w:themeColor="text1"/>
          <w:highlight w:val="none"/>
          <w14:textFill>
            <w14:solidFill>
              <w14:schemeClr w14:val="tx1"/>
            </w14:solidFill>
          </w14:textFill>
        </w:rPr>
        <w:t>提供厂家产品彩页或厂家官方网站公布的资料截图作为佐证并注明该项资料所在的投标文件页码，因未备注页码或备注页码错误造成投标无效或影响评审得分的，其责任由投标人全部负责。若有负偏离而未如实填写的可视为虚假投标；若有正偏离而未如实填写的将视为没有优于招标要求；无论是正、负偏离，还是无偏离，未按上表格式逐条填写的，可视为无效投标。对有具体参数要求的指标，投标人必须提供所投设备的具体参数值，并在偏离简述栏中标明技术及配置的实际响应情况：</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 用户需求书中标注有“</w:t>
      </w:r>
      <w:r>
        <w:rPr>
          <w:rFonts w:ascii="Segoe UI Symbol" w:hAnsi="Segoe UI Symbol" w:cs="Segoe UI Symbol"/>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”号的条款必须实质性响应，负偏离（不满足要求）将导致投标无效；标有“▲”的为重要技术指标，如不满足将在技术评分中按照评分细则进行扣分，但不会导致投标无效。</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 偏离简述栏中必须标明技术及配置的响应情况，整项</w:t>
      </w:r>
      <w:r>
        <w:rPr>
          <w:rFonts w:hint="eastAsia"/>
          <w:color w:val="000000" w:themeColor="text1"/>
          <w:highlight w:val="none"/>
          <w14:textFill>
            <w14:solidFill>
              <w14:schemeClr w14:val="tx1"/>
            </w14:solidFill>
          </w14:textFill>
        </w:rPr>
        <w:t>服务及该项服务</w:t>
      </w:r>
      <w:r>
        <w:rPr>
          <w:color w:val="000000" w:themeColor="text1"/>
          <w:highlight w:val="none"/>
          <w14:textFill>
            <w14:solidFill>
              <w14:schemeClr w14:val="tx1"/>
            </w14:solidFill>
          </w14:textFill>
        </w:rPr>
        <w:t>各部分响应情况须按下述规定填写，任何不真实响应都将导致投标无效：</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①</w:t>
      </w:r>
      <w:r>
        <w:rPr>
          <w:color w:val="000000" w:themeColor="text1"/>
          <w:highlight w:val="none"/>
          <w14:textFill>
            <w14:solidFill>
              <w14:schemeClr w14:val="tx1"/>
            </w14:solidFill>
          </w14:textFill>
        </w:rPr>
        <w:t>对应项中的所有技术参数、性能和配置全部符合招标文件要求的才能填写“符合”；</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②</w:t>
      </w:r>
      <w:r>
        <w:rPr>
          <w:color w:val="000000" w:themeColor="text1"/>
          <w:highlight w:val="none"/>
          <w14:textFill>
            <w14:solidFill>
              <w14:schemeClr w14:val="tx1"/>
            </w14:solidFill>
          </w14:textFill>
        </w:rPr>
        <w:t>对应项中的所有技术参数、性能和配置全部符合招标文件要求并且其中有一个或以上指标优于招标文件要求的，可填写“正偏离”；</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③</w:t>
      </w:r>
      <w:r>
        <w:rPr>
          <w:color w:val="000000" w:themeColor="text1"/>
          <w:highlight w:val="none"/>
          <w14:textFill>
            <w14:solidFill>
              <w14:schemeClr w14:val="tx1"/>
            </w14:solidFill>
          </w14:textFill>
        </w:rPr>
        <w:t>对应项中的所有技术参数、性能和配置中有任何一项不能达到招标文件要求的，必须填写“负偏离”；</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④</w:t>
      </w:r>
      <w:r>
        <w:rPr>
          <w:color w:val="000000" w:themeColor="text1"/>
          <w:highlight w:val="none"/>
          <w14:textFill>
            <w14:solidFill>
              <w14:schemeClr w14:val="tx1"/>
            </w14:solidFill>
          </w14:textFill>
        </w:rPr>
        <w:t>“正偏离”、“负偏离”两者中偏离的情况必须在备注栏中说明对使用的影响。</w:t>
      </w:r>
    </w:p>
    <w:p>
      <w:pPr>
        <w:pStyle w:val="5"/>
        <w:spacing w:line="240" w:lineRule="auto"/>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⑤</w:t>
      </w:r>
      <w:r>
        <w:rPr>
          <w:color w:val="000000" w:themeColor="text1"/>
          <w:highlight w:val="none"/>
          <w14:textFill>
            <w14:solidFill>
              <w14:schemeClr w14:val="tx1"/>
            </w14:solidFill>
          </w14:textFill>
        </w:rPr>
        <w:t>投标响应的实际情况中涉及技术参数和性能指标具体数值的，供应商必须说明产品厂家达到该技术参数与性能指标所需测试条件、环境、样品等的要求及成功机率。不提供的，按照国家公认程序和标准及用户要求进行验收，未达到投标承诺的，视为不合格和虚假投标。</w:t>
      </w:r>
    </w:p>
    <w:p>
      <w:pPr>
        <w:pStyle w:val="7"/>
        <w:rPr>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33" w:name="_Toc102987798"/>
      <w:r>
        <w:rPr>
          <w:rFonts w:hint="eastAsia" w:ascii="宋体" w:hAnsi="宋体" w:eastAsia="宋体" w:cs="宋体"/>
          <w:color w:val="000000" w:themeColor="text1"/>
          <w:sz w:val="24"/>
          <w:szCs w:val="24"/>
          <w:highlight w:val="none"/>
          <w14:textFill>
            <w14:solidFill>
              <w14:schemeClr w14:val="tx1"/>
            </w14:solidFill>
          </w14:textFill>
        </w:rPr>
        <w:t>4.2安装调试验收方案</w:t>
      </w:r>
      <w:bookmarkEnd w:id="133"/>
      <w:r>
        <w:rPr>
          <w:rFonts w:hint="eastAsia" w:ascii="宋体" w:hAnsi="宋体" w:eastAsia="宋体" w:cs="宋体"/>
          <w:color w:val="000000" w:themeColor="text1"/>
          <w:sz w:val="24"/>
          <w:szCs w:val="24"/>
          <w:highlight w:val="none"/>
          <w14:textFill>
            <w14:solidFill>
              <w14:schemeClr w14:val="tx1"/>
            </w14:solidFill>
          </w14:textFill>
        </w:rPr>
        <w:t>（货物类项目适用）</w:t>
      </w:r>
    </w:p>
    <w:p>
      <w:pPr>
        <w:pStyle w:val="5"/>
        <w:spacing w:line="24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格式自拟，应根据医院的货物验收要求提供有针对性的以下方案：（1）货物的开箱清点方案，包括发生开箱异常情况的解决措预案等；（2）开箱后产品安装、调试方案，包括安装环境要求等内容；（3）产品技术质量验收的标准、方法等方案，包括提供出厂检测报告、出具第三方检测报告、现场检测的方案和预算等。方案内容应尽可能详细，流程清晰合理，应急预案可行。</w:t>
      </w:r>
    </w:p>
    <w:p>
      <w:pPr>
        <w:pStyle w:val="7"/>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34" w:name="_Toc102987799"/>
      <w:r>
        <w:rPr>
          <w:rFonts w:hint="eastAsia" w:ascii="宋体" w:hAnsi="宋体" w:eastAsia="宋体" w:cs="宋体"/>
          <w:color w:val="000000" w:themeColor="text1"/>
          <w:sz w:val="24"/>
          <w:szCs w:val="24"/>
          <w:highlight w:val="none"/>
          <w14:textFill>
            <w14:solidFill>
              <w14:schemeClr w14:val="tx1"/>
            </w14:solidFill>
          </w14:textFill>
        </w:rPr>
        <w:t>4.3其他材料</w:t>
      </w:r>
      <w:bookmarkEnd w:id="134"/>
      <w:r>
        <w:rPr>
          <w:rFonts w:hint="eastAsia" w:ascii="宋体" w:hAnsi="宋体" w:eastAsia="宋体" w:cs="宋体"/>
          <w:color w:val="000000" w:themeColor="text1"/>
          <w:sz w:val="24"/>
          <w:szCs w:val="24"/>
          <w:highlight w:val="none"/>
          <w14:textFill>
            <w14:solidFill>
              <w14:schemeClr w14:val="tx1"/>
            </w14:solidFill>
          </w14:textFill>
        </w:rPr>
        <w:t>（货物类项目适用，服务类项目选用）</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(一) 经营许可证或产品销售许可证复印件加盖法人印章（第二、三类医疗器械采购项目，投标人必须提供“医疗器械注册证书”“医疗器械生产许可证”或“医疗器械经营许可证”）</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 安全生产许可证复印件、产品代理资格证明文件复印件加盖法人印章</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 “特种设备制造许可证”复印件加盖法人印章（投标货物属于《特种设备目录》的采购项目必须提供）</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 “辐射安全许可证”复印件加盖法人印章（投标货物属于辐射仪器的采购项目必须提供）</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(五) 自主品牌、投标人的信誉、荣誉证书或文件复印件加盖法人印章</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(六) 投标人质量管理和环境认证体系等方面的资质证书或文件复印件加盖法人印章</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(七) 医疗器械注册证明及其附表（适用于医疗器械）复印件加盖法人印章</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(八) 报价成本的明细说明文件（格式自拟，如招标文件有要求时提供）</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(九) 产品出厂标准、质量检测报告及精度检测报告或数据（格式自拟）</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(十) 须提供列有技术参数且完整的厂家产品彩页（厂家官方网站公布的截图）和厂家产品说明书，以佐证所投产品的主要技术参数及功能，如上述资料未能体现招标需求的所有参数，投标人应出具经厂家确认的证明材料作为补充</w:t>
      </w:r>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(十一)投标人介绍及认为应提交或可以证明其能力或业绩的其他材料（格式自拟）</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注：以上材料由投标人根据项目实际情况自行选择提供，如因遗漏材料造成投标无效或影响评审得分的，其责任由投标人全部负责。</w:t>
      </w: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sectPr>
          <w:pgSz w:w="11906" w:h="16838"/>
          <w:pgMar w:top="1440" w:right="1690" w:bottom="1440" w:left="1690" w:header="851" w:footer="992" w:gutter="0"/>
          <w:pgNumType w:fmt="decimal"/>
          <w:cols w:space="720" w:num="1"/>
          <w:docGrid w:type="linesAndChars" w:linePitch="312" w:charSpace="0"/>
        </w:sectPr>
      </w:pPr>
    </w:p>
    <w:p>
      <w:pPr>
        <w:pStyle w:val="6"/>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5.承诺函模板</w:t>
      </w:r>
    </w:p>
    <w:p>
      <w:pPr>
        <w:pStyle w:val="7"/>
        <w:numPr>
          <w:ilvl w:val="1"/>
          <w:numId w:val="6"/>
        </w:numPr>
        <w:tabs>
          <w:tab w:val="left" w:pos="945"/>
        </w:tabs>
        <w:spacing w:before="0" w:after="0" w:line="360" w:lineRule="auto"/>
        <w:ind w:left="42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投标文件所有响应内容真实性负责承诺函</w:t>
      </w: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（采购人）/广东华伦招标有限公司：</w:t>
      </w:r>
    </w:p>
    <w:p>
      <w:pPr>
        <w:ind w:left="42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我司参加贵方组织的、招标文件编号为0809-24411GDG303014301的中山大学附属第三医院超高分辨共聚焦扫描显微镜维保服务采购项目采购活动。我司充分认识到诚实信用原则在本次采购活动的重要性，因此，我司作出如下承诺：</w:t>
      </w:r>
    </w:p>
    <w:p>
      <w:pPr>
        <w:ind w:left="42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自本项目投标截止时间起，当出现采购人或采购代理机构或评标委员会（如需复核或重评时）对投标人的投标文件响应的内容有疑问，或者出现质疑或投诉等情形时，我司承诺按采购人或采购代理机构或评标委员会的要求（要求的方式包括但不限于邮件方式、电话方式等），在要求发出之日起的5个工作日内无条件提供包括但不限于由货物制造商出具的相关证明材料，或者具有国家认可的认证机构出具的、处于有效期之内的质量检验检测报告等资料（含提供原件），以清晰明确证明其能够真实满足招标文件的要求。</w:t>
      </w:r>
    </w:p>
    <w:p>
      <w:pPr>
        <w:ind w:left="42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如未能在我司的投标文件内提供盖章签名的本项承诺函，我司无条件接受评标委员会评审时对我司投标文件作出“视为投标无效”的处理。</w:t>
      </w: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投标人名称（加盖公章）：</w:t>
      </w:r>
    </w:p>
    <w:p>
      <w:pPr>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投标人法定代表人或授权代表（签字或盖章）：</w:t>
      </w:r>
    </w:p>
    <w:p>
      <w:pPr>
        <w:ind w:left="420"/>
        <w:rPr>
          <w:color w:val="000000" w:themeColor="text1"/>
          <w:highlight w:val="none"/>
          <w14:textFill>
            <w14:solidFill>
              <w14:schemeClr w14:val="tx1"/>
            </w14:solidFill>
          </w14:textFill>
        </w:rPr>
        <w:sectPr>
          <w:pgSz w:w="11906" w:h="16838"/>
          <w:pgMar w:top="1134" w:right="1134" w:bottom="1134" w:left="1134" w:header="567" w:footer="737" w:gutter="454"/>
          <w:pgNumType w:fmt="decimal"/>
          <w:cols w:space="720" w:num="1"/>
          <w:docGrid w:type="linesAndChars" w:linePitch="312" w:charSpace="0"/>
        </w:sectPr>
      </w:pPr>
      <w:r>
        <w:rPr>
          <w:rFonts w:hint="eastAsia"/>
          <w:color w:val="000000" w:themeColor="text1"/>
          <w:highlight w:val="none"/>
          <w14:textFill>
            <w14:solidFill>
              <w14:schemeClr w14:val="tx1"/>
            </w14:solidFill>
          </w14:textFill>
        </w:rPr>
        <w:t>日期：        年    月    日</w:t>
      </w:r>
    </w:p>
    <w:p>
      <w:pPr>
        <w:pStyle w:val="7"/>
        <w:numPr>
          <w:ilvl w:val="1"/>
          <w:numId w:val="6"/>
        </w:numPr>
        <w:tabs>
          <w:tab w:val="left" w:pos="945"/>
        </w:tabs>
        <w:spacing w:before="0" w:after="0" w:line="360" w:lineRule="auto"/>
        <w:ind w:left="42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针对“技术要求”承诺条款的承诺函模板</w:t>
      </w: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（采购人）/广东华伦招标有限公司：</w:t>
      </w:r>
    </w:p>
    <w:p>
      <w:pPr>
        <w:wordWrap w:val="0"/>
        <w:ind w:left="42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我司参加贵方组织的、招标文件编号为0809-24411GDG303014301的中山大学附属第三医院超高分辨共聚焦扫描显微镜维保服务采购项目采购活动。针对招标文件第二部分“用户需求书”之“（二）技术商务要求”之“2.技术要求”中，要求投标人提供书面承诺的条款，我司现作出如下承诺：</w:t>
      </w:r>
    </w:p>
    <w:p>
      <w:pPr>
        <w:wordWrap w:val="0"/>
        <w:ind w:left="420"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我司充分理解本项目招标文件第二部分“用户需求书”之“（二）技术商务要求”之“2.技术要求”中要求投标人提供承诺的所有条款的真实意思及其所包含的责任和合同义务（如成功缔约）。通过盖章签署本承诺函，我司一并承诺对上述有关条款能够完全按照“用户需求书”的要求响应满足，并在合同履行过程中按承诺履约。</w:t>
      </w: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p>
    <w:p>
      <w:pPr>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投标人名称（加盖公章）：</w:t>
      </w:r>
    </w:p>
    <w:p>
      <w:pPr>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投标人法定代表人或授权代表（签字或盖章）：</w:t>
      </w:r>
    </w:p>
    <w:p>
      <w:pPr>
        <w:ind w:left="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日期：        年    月    日</w:t>
      </w:r>
    </w:p>
    <w:sectPr>
      <w:pgSz w:w="11906" w:h="16838"/>
      <w:pgMar w:top="1440" w:right="1690" w:bottom="1440" w:left="1690" w:header="851" w:footer="992" w:gutter="0"/>
      <w:pgNumType w:fmt="decimal"/>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长城仿宋">
    <w:altName w:val="黑体"/>
    <w:panose1 w:val="00000000000000000000"/>
    <w:charset w:val="00"/>
    <w:family w:val="moder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67310" cy="269875"/>
              <wp:effectExtent l="0" t="0" r="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7310" cy="269875"/>
                      </a:xfrm>
                      <a:prstGeom prst="rect">
                        <a:avLst/>
                      </a:prstGeom>
                      <a:noFill/>
                      <a:ln>
                        <a:noFill/>
                      </a:ln>
                    </wps:spPr>
                    <wps:txbx>
                      <w:txbxContent>
                        <w:p>
                          <w:r>
                            <w:t>*</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21.25pt;width:5.3pt;mso-position-horizontal:right;mso-position-horizontal-relative:margin;mso-wrap-style:none;z-index:251660288;mso-width-relative:page;mso-height-relative:page;" filled="f" stroked="f" coordsize="21600,21600" o:gfxdata="UEsDBAoAAAAAAIdO4kAAAAAAAAAAAAAAAAAEAAAAZHJzL1BLAwQUAAAACACHTuJAlj5D3tEAAAAD&#10;AQAADwAAAGRycy9kb3ducmV2LnhtbE2PwU7DMBBE70j8g7VI3KjdCkoV4vRQiQs3CkLqbRtv4wh7&#10;Hdlumvw9Lhe4rDSa0czbejt5J0aKqQ+sYblQIIjbYHruNHx+vD5sQKSMbNAFJg0zJdg2tzc1ViZc&#10;+J3Gfe5EKeFUoQab81BJmVpLHtMiDMTFO4XoMRcZO2kiXkq5d3Kl1Fp67LksWBxoZ6n93p+9hufp&#10;K9CQaEeH09hG288b9zZrfX+3VC8gMk35LwxX/IIOTWE6hjObJJyG8kj+vVdPrUEcNTyunkA2tfzP&#10;3vwAUEsDBBQAAAAIAIdO4kA7VY5GCAIAAAEEAAAOAAAAZHJzL2Uyb0RvYy54bWytU82O0zAQviPx&#10;DpbvNG0R3SVqulq2KkJafqSFB3Acp7GIPdbYbVIeAN6AExfuPFefg7HTlGW57IGLNbbH33zfN+Pl&#10;VW9atlfoNdiCzyZTzpSVUGm7Lfinj5tnl5z5IGwlWrCq4Afl+dXq6ZNl53I1hwbaSiEjEOvzzhW8&#10;CcHlWeZlo4zwE3DK0mUNaESgLW6zCkVH6KbN5tPpIusAK4cglfd0uh4u+QkRHwMIda2lWoPcGWXD&#10;gIqqFYEk+UY7z1eJbV0rGd7XtVeBtQUnpSGtVITiMq7ZainyLQrXaHmiIB5D4YEmI7SlomeotQiC&#10;7VD/A2W0RPBQh4kEkw1CkiOkYjZ94M1dI5xKWshq786m+/8HK9/tPyDTFU0CZ1YYavjx+7fjj1/H&#10;n1/Zi2hP53xOWXeO8kL/CvqYGqV6dwvys2cWbhpht+oaEbpGiYrozeLL7N7TAcdHkLJ7CxXVEbsA&#10;Caiv0URAcoMROrXmcG6N6gOTdLi4eD6jC0k388XLy4tELRP5+NahD68VGBaDgiM1PmGL/a0PkYvI&#10;x5RYysJGt21qfmv/OqDEeJK4R7oD8dCX/cmLEqoDqUAYZol+EgUN4BfOOpqjglv6Npy1byz5EEdu&#10;DHAMyjEQVtLDggfOhvAmDKO5c6i3DeGOTl+TVxudhERTBw4nljQZSd9piuPo3d+nrD8/d/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j5D3tEAAAADAQAADwAAAAAAAAABACAAAAAiAAAAZHJzL2Rv&#10;d25yZXYueG1sUEsBAhQAFAAAAAgAh07iQDtVjkYIAgAAAQQAAA4AAAAAAAAAAQAgAAAAIAEAAGRy&#10;cy9lMm9Eb2MueG1sUEsFBgAAAAAGAAYAWQEAAJoFAAAAAA==&#10;">
              <v:fill on="f" focussize="0,0"/>
              <v:stroke on="f"/>
              <v:imagedata o:title=""/>
              <o:lock v:ext="edit" aspectratio="f"/>
              <v:textbox inset="0mm,0mm,0mm,0mm" style="mso-fit-shape-to-text:t;">
                <w:txbxContent>
                  <w:p>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67310" cy="269875"/>
              <wp:effectExtent l="0" t="0" r="0" b="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7310" cy="269875"/>
                      </a:xfrm>
                      <a:prstGeom prst="rect">
                        <a:avLst/>
                      </a:prstGeom>
                      <a:noFill/>
                      <a:ln>
                        <a:noFill/>
                      </a:ln>
                    </wps:spPr>
                    <wps:txbx>
                      <w:txbxContent>
                        <w:p>
                          <w:r>
                            <w:t>*</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21.25pt;width:5.3pt;mso-position-horizontal:right;mso-position-horizontal-relative:margin;mso-wrap-style:none;z-index:251661312;mso-width-relative:page;mso-height-relative:page;" filled="f" stroked="f" coordsize="21600,21600" o:gfxdata="UEsDBAoAAAAAAIdO4kAAAAAAAAAAAAAAAAAEAAAAZHJzL1BLAwQUAAAACACHTuJAlj5D3tEAAAAD&#10;AQAADwAAAGRycy9kb3ducmV2LnhtbE2PwU7DMBBE70j8g7VI3KjdCkoV4vRQiQs3CkLqbRtv4wh7&#10;Hdlumvw9Lhe4rDSa0czbejt5J0aKqQ+sYblQIIjbYHruNHx+vD5sQKSMbNAFJg0zJdg2tzc1ViZc&#10;+J3Gfe5EKeFUoQab81BJmVpLHtMiDMTFO4XoMRcZO2kiXkq5d3Kl1Fp67LksWBxoZ6n93p+9hufp&#10;K9CQaEeH09hG288b9zZrfX+3VC8gMk35LwxX/IIOTWE6hjObJJyG8kj+vVdPrUEcNTyunkA2tfzP&#10;3vwAUEsDBBQAAAAIAIdO4kBEy3F6CQIAAAEEAAAOAAAAZHJzL2Uyb0RvYy54bWytU82O0zAQviPx&#10;DpbvNG0R3SVqulq2KkJafqSFB3Acp7GIPdbYbVIeAN6AExfuPFefg7HTlGW57IGLNbbH33zfN+Pl&#10;VW9atlfoNdiCzyZTzpSVUGm7Lfinj5tnl5z5IGwlWrCq4Afl+dXq6ZNl53I1hwbaSiEjEOvzzhW8&#10;CcHlWeZlo4zwE3DK0mUNaESgLW6zCkVH6KbN5tPpIusAK4cglfd0uh4u+QkRHwMIda2lWoPcGWXD&#10;gIqqFYEk+UY7z1eJbV0rGd7XtVeBtQUnpSGtVITiMq7ZainyLQrXaHmiIB5D4YEmI7SlomeotQiC&#10;7VD/A2W0RPBQh4kEkw1CkiOkYjZ94M1dI5xKWshq786m+/8HK9/tPyDTVcHnnFlhqOHH79+OP34d&#10;f35lL6I9nfM5Zd05ygv9K+hpaJJU725BfvbMwk0j7FZdI0LXKFERvVl8md17OuD4CFJ2b6GiOmIX&#10;IAH1NZroHbnBCJ1aczi3RvWBSTpcXDyf0YWkm/ni5eVFopaJfHzr0IfXCgyLQcGRGp+wxf7Wh8hF&#10;5GNKLGVho9s2Nb+1fx1QYjxJ3CPdgXjoy/7kRQnVgVQgDLNEP4mCBvALZx3NUcEtfRvO2jeWfIgj&#10;NwY4BuUYCCvpYcEDZ0N4E4bR3DnU24ZwR6evyauNTkKiqQOHE0uajKTvNMVx9O7vU9afn7v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Y+Q97RAAAAAwEAAA8AAAAAAAAAAQAgAAAAIgAAAGRycy9k&#10;b3ducmV2LnhtbFBLAQIUABQAAAAIAIdO4kBEy3F6CQIAAAEEAAAOAAAAAAAAAAEAIAAAACABAABk&#10;cnMvZTJvRG9jLnhtbFBLBQYAAAAABgAGAFkBAACbBQAAAAA=&#10;">
              <v:fill on="f" focussize="0,0"/>
              <v:stroke on="f"/>
              <v:imagedata o:title=""/>
              <o:lock v:ext="edit" aspectratio="f"/>
              <v:textbox inset="0mm,0mm,0mm,0mm" style="mso-fit-shape-to-text:t;">
                <w:txbxContent>
                  <w:p>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rPr>
      <w:t xml:space="preserve">       </w:t>
    </w:r>
    <w:r>
      <w:rPr>
        <w:rFonts w:hint="eastAsia" w:ascii="仿宋" w:hAnsi="仿宋" w:eastAsia="仿宋_GB2312" w:cs="仿宋"/>
        <w:color w:val="auto"/>
        <w:sz w:val="24"/>
        <w:u w:val="single"/>
      </w:rPr>
      <w:t xml:space="preserve">  中山大学附属第三医院采购文件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仿宋" w:hAnsi="仿宋" w:eastAsia="仿宋" w:cs="仿宋"/>
        <w:sz w:val="24"/>
        <w:szCs w:val="24"/>
      </w:rPr>
    </w:pPr>
    <w:r>
      <w:rPr>
        <w:rFonts w:hint="eastAsia" w:ascii="仿宋" w:hAnsi="仿宋" w:eastAsia="仿宋" w:cs="仿宋"/>
        <w:sz w:val="24"/>
        <w:szCs w:val="24"/>
      </w:rPr>
      <w:t xml:space="preserve">         中山大学附属第三医院采购文件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9FECE"/>
    <w:multiLevelType w:val="multilevel"/>
    <w:tmpl w:val="BE59FECE"/>
    <w:lvl w:ilvl="0" w:tentative="0">
      <w:start w:val="5"/>
      <w:numFmt w:val="decimal"/>
      <w:lvlText w:val="%1."/>
      <w:lvlJc w:val="left"/>
      <w:pPr>
        <w:ind w:left="1930" w:hanging="425"/>
      </w:pPr>
      <w:rPr>
        <w:rFonts w:hint="default"/>
      </w:rPr>
    </w:lvl>
    <w:lvl w:ilvl="1" w:tentative="0">
      <w:start w:val="1"/>
      <w:numFmt w:val="decimal"/>
      <w:lvlText w:val="%1.%2."/>
      <w:lvlJc w:val="left"/>
      <w:pPr>
        <w:ind w:left="2355" w:hanging="453"/>
      </w:pPr>
      <w:rPr>
        <w:rFonts w:hint="default"/>
      </w:rPr>
    </w:lvl>
    <w:lvl w:ilvl="2" w:tentative="0">
      <w:start w:val="1"/>
      <w:numFmt w:val="decimal"/>
      <w:lvlText w:val="%1.%2.%3."/>
      <w:lvlJc w:val="left"/>
      <w:pPr>
        <w:ind w:left="3013" w:hanging="708"/>
      </w:pPr>
      <w:rPr>
        <w:rFonts w:hint="default"/>
      </w:rPr>
    </w:lvl>
    <w:lvl w:ilvl="3" w:tentative="0">
      <w:start w:val="1"/>
      <w:numFmt w:val="decimal"/>
      <w:lvlText w:val="%1.%2.%3.%4."/>
      <w:lvlJc w:val="left"/>
      <w:pPr>
        <w:ind w:left="3558" w:hanging="853"/>
      </w:pPr>
      <w:rPr>
        <w:rFonts w:hint="default"/>
      </w:rPr>
    </w:lvl>
    <w:lvl w:ilvl="4" w:tentative="0">
      <w:start w:val="1"/>
      <w:numFmt w:val="decimal"/>
      <w:lvlText w:val="%1.%2.%3.%4.%5."/>
      <w:lvlJc w:val="left"/>
      <w:pPr>
        <w:ind w:left="4000" w:hanging="895"/>
      </w:pPr>
      <w:rPr>
        <w:rFonts w:hint="default"/>
      </w:rPr>
    </w:lvl>
    <w:lvl w:ilvl="5" w:tentative="0">
      <w:start w:val="1"/>
      <w:numFmt w:val="decimal"/>
      <w:lvlText w:val="%1.%2.%3.%4.%5.%6."/>
      <w:lvlJc w:val="left"/>
      <w:pPr>
        <w:ind w:left="4641" w:hanging="1136"/>
      </w:pPr>
      <w:rPr>
        <w:rFonts w:hint="default"/>
      </w:rPr>
    </w:lvl>
    <w:lvl w:ilvl="6" w:tentative="0">
      <w:start w:val="1"/>
      <w:numFmt w:val="decimal"/>
      <w:lvlText w:val="%1.%2.%3.%4.%5.%6.%7."/>
      <w:lvlJc w:val="left"/>
      <w:pPr>
        <w:ind w:left="5178" w:hanging="1273"/>
      </w:pPr>
      <w:rPr>
        <w:rFonts w:hint="default"/>
      </w:rPr>
    </w:lvl>
    <w:lvl w:ilvl="7" w:tentative="0">
      <w:start w:val="1"/>
      <w:numFmt w:val="decimal"/>
      <w:lvlText w:val="%1.%2.%3.%4.%5.%6.%7.%8."/>
      <w:lvlJc w:val="left"/>
      <w:pPr>
        <w:ind w:left="5723" w:hanging="1418"/>
      </w:pPr>
      <w:rPr>
        <w:rFonts w:hint="default"/>
      </w:rPr>
    </w:lvl>
    <w:lvl w:ilvl="8" w:tentative="0">
      <w:start w:val="1"/>
      <w:numFmt w:val="decimal"/>
      <w:lvlText w:val="%1.%2.%3.%4.%5.%6.%7.%8.%9."/>
      <w:lvlJc w:val="left"/>
      <w:pPr>
        <w:ind w:left="6153" w:hanging="1448"/>
      </w:pPr>
      <w:rPr>
        <w:rFonts w:hint="default"/>
      </w:rPr>
    </w:lvl>
  </w:abstractNum>
  <w:abstractNum w:abstractNumId="1">
    <w:nsid w:val="0000002A"/>
    <w:multiLevelType w:val="multilevel"/>
    <w:tmpl w:val="0000002A"/>
    <w:lvl w:ilvl="0" w:tentative="0">
      <w:start w:val="1"/>
      <w:numFmt w:val="decimal"/>
      <w:lvlText w:val="%1)"/>
      <w:lvlJc w:val="left"/>
      <w:pPr>
        <w:tabs>
          <w:tab w:val="left" w:pos="420"/>
        </w:tabs>
        <w:ind w:left="420" w:hanging="420"/>
      </w:pPr>
    </w:lvl>
    <w:lvl w:ilvl="1" w:tentative="0">
      <w:start w:val="1"/>
      <w:numFmt w:val="decimal"/>
      <w:pStyle w:val="4"/>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55"/>
    <w:multiLevelType w:val="multilevel"/>
    <w:tmpl w:val="00000055"/>
    <w:lvl w:ilvl="0" w:tentative="0">
      <w:start w:val="1"/>
      <w:numFmt w:val="decimal"/>
      <w:pStyle w:val="8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98C538F"/>
    <w:multiLevelType w:val="multilevel"/>
    <w:tmpl w:val="198C538F"/>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590DA2"/>
    <w:multiLevelType w:val="multilevel"/>
    <w:tmpl w:val="21590DA2"/>
    <w:lvl w:ilvl="0" w:tentative="0">
      <w:start w:val="1"/>
      <w:numFmt w:val="decimal"/>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5YjYxYmZlYzBjYTJlOTU4OTA4NGEyYTllOTVmMDgifQ=="/>
  </w:docVars>
  <w:rsids>
    <w:rsidRoot w:val="00172A27"/>
    <w:rsid w:val="00000504"/>
    <w:rsid w:val="00000531"/>
    <w:rsid w:val="00001EEF"/>
    <w:rsid w:val="00002199"/>
    <w:rsid w:val="00002EE8"/>
    <w:rsid w:val="00003BBE"/>
    <w:rsid w:val="00003DBE"/>
    <w:rsid w:val="0000418F"/>
    <w:rsid w:val="000041F1"/>
    <w:rsid w:val="00004BDE"/>
    <w:rsid w:val="00004F1B"/>
    <w:rsid w:val="0000536E"/>
    <w:rsid w:val="00005A1C"/>
    <w:rsid w:val="00005EC0"/>
    <w:rsid w:val="00006EBD"/>
    <w:rsid w:val="000070F8"/>
    <w:rsid w:val="00007BDB"/>
    <w:rsid w:val="00010630"/>
    <w:rsid w:val="00010C9B"/>
    <w:rsid w:val="00010F9F"/>
    <w:rsid w:val="000111BC"/>
    <w:rsid w:val="00011351"/>
    <w:rsid w:val="000118FC"/>
    <w:rsid w:val="00011A0A"/>
    <w:rsid w:val="00011CF4"/>
    <w:rsid w:val="00011F22"/>
    <w:rsid w:val="0001315C"/>
    <w:rsid w:val="000132C6"/>
    <w:rsid w:val="00013EB1"/>
    <w:rsid w:val="000146C7"/>
    <w:rsid w:val="000151A6"/>
    <w:rsid w:val="00016284"/>
    <w:rsid w:val="00016A33"/>
    <w:rsid w:val="00016B17"/>
    <w:rsid w:val="00016CB1"/>
    <w:rsid w:val="00017FF0"/>
    <w:rsid w:val="0002166A"/>
    <w:rsid w:val="00021A3E"/>
    <w:rsid w:val="00022B31"/>
    <w:rsid w:val="00022CA1"/>
    <w:rsid w:val="00022FB8"/>
    <w:rsid w:val="00023244"/>
    <w:rsid w:val="00023285"/>
    <w:rsid w:val="000238DD"/>
    <w:rsid w:val="00023C60"/>
    <w:rsid w:val="000244EE"/>
    <w:rsid w:val="00025407"/>
    <w:rsid w:val="00026080"/>
    <w:rsid w:val="0002608B"/>
    <w:rsid w:val="00027F12"/>
    <w:rsid w:val="00031648"/>
    <w:rsid w:val="00031831"/>
    <w:rsid w:val="000349C5"/>
    <w:rsid w:val="00035ED6"/>
    <w:rsid w:val="00036310"/>
    <w:rsid w:val="00036657"/>
    <w:rsid w:val="0003667E"/>
    <w:rsid w:val="000367E3"/>
    <w:rsid w:val="00036CC1"/>
    <w:rsid w:val="000372F3"/>
    <w:rsid w:val="00037A92"/>
    <w:rsid w:val="00037C1F"/>
    <w:rsid w:val="000413C7"/>
    <w:rsid w:val="00041F81"/>
    <w:rsid w:val="00042751"/>
    <w:rsid w:val="00042D1D"/>
    <w:rsid w:val="00043528"/>
    <w:rsid w:val="000440EC"/>
    <w:rsid w:val="0004451E"/>
    <w:rsid w:val="000447E7"/>
    <w:rsid w:val="00044BE6"/>
    <w:rsid w:val="00044C43"/>
    <w:rsid w:val="00044FA7"/>
    <w:rsid w:val="000450D7"/>
    <w:rsid w:val="00045ADD"/>
    <w:rsid w:val="00047525"/>
    <w:rsid w:val="00047B8F"/>
    <w:rsid w:val="00047F01"/>
    <w:rsid w:val="00047F65"/>
    <w:rsid w:val="0005009B"/>
    <w:rsid w:val="00050480"/>
    <w:rsid w:val="00050CF3"/>
    <w:rsid w:val="0005118E"/>
    <w:rsid w:val="000512B9"/>
    <w:rsid w:val="000512F0"/>
    <w:rsid w:val="00051CE7"/>
    <w:rsid w:val="000520C6"/>
    <w:rsid w:val="000526FF"/>
    <w:rsid w:val="00052758"/>
    <w:rsid w:val="00052BEE"/>
    <w:rsid w:val="00052D0C"/>
    <w:rsid w:val="00052F26"/>
    <w:rsid w:val="000538E9"/>
    <w:rsid w:val="00053B37"/>
    <w:rsid w:val="00053ED3"/>
    <w:rsid w:val="000541A2"/>
    <w:rsid w:val="0005447F"/>
    <w:rsid w:val="00056373"/>
    <w:rsid w:val="00056B14"/>
    <w:rsid w:val="00056C86"/>
    <w:rsid w:val="00057109"/>
    <w:rsid w:val="0005774A"/>
    <w:rsid w:val="00057ED3"/>
    <w:rsid w:val="00057EFB"/>
    <w:rsid w:val="0006014E"/>
    <w:rsid w:val="00060B00"/>
    <w:rsid w:val="000613D1"/>
    <w:rsid w:val="000618C7"/>
    <w:rsid w:val="00061F78"/>
    <w:rsid w:val="0006215F"/>
    <w:rsid w:val="0006222C"/>
    <w:rsid w:val="000623DF"/>
    <w:rsid w:val="000635A2"/>
    <w:rsid w:val="000639F4"/>
    <w:rsid w:val="00063D5D"/>
    <w:rsid w:val="00063DEC"/>
    <w:rsid w:val="00064E16"/>
    <w:rsid w:val="0006524B"/>
    <w:rsid w:val="0006576C"/>
    <w:rsid w:val="00065C00"/>
    <w:rsid w:val="0006631B"/>
    <w:rsid w:val="000664E4"/>
    <w:rsid w:val="00066716"/>
    <w:rsid w:val="00066906"/>
    <w:rsid w:val="00066C0D"/>
    <w:rsid w:val="00067454"/>
    <w:rsid w:val="00067E8D"/>
    <w:rsid w:val="00070393"/>
    <w:rsid w:val="000705C5"/>
    <w:rsid w:val="000708DA"/>
    <w:rsid w:val="00070BFD"/>
    <w:rsid w:val="0007145E"/>
    <w:rsid w:val="0007204F"/>
    <w:rsid w:val="00072A28"/>
    <w:rsid w:val="0007314A"/>
    <w:rsid w:val="000734D0"/>
    <w:rsid w:val="00074EDA"/>
    <w:rsid w:val="000759A1"/>
    <w:rsid w:val="000759DB"/>
    <w:rsid w:val="00075BA8"/>
    <w:rsid w:val="0007635E"/>
    <w:rsid w:val="00077500"/>
    <w:rsid w:val="000777AF"/>
    <w:rsid w:val="00077DA4"/>
    <w:rsid w:val="00077F3A"/>
    <w:rsid w:val="000802E4"/>
    <w:rsid w:val="000805AC"/>
    <w:rsid w:val="00080F9B"/>
    <w:rsid w:val="00082896"/>
    <w:rsid w:val="00082DA2"/>
    <w:rsid w:val="000836B7"/>
    <w:rsid w:val="000849BD"/>
    <w:rsid w:val="000856CE"/>
    <w:rsid w:val="00085A16"/>
    <w:rsid w:val="0008637A"/>
    <w:rsid w:val="000867F0"/>
    <w:rsid w:val="0008713E"/>
    <w:rsid w:val="00090553"/>
    <w:rsid w:val="00092B33"/>
    <w:rsid w:val="000937D4"/>
    <w:rsid w:val="00093BB7"/>
    <w:rsid w:val="00094A4B"/>
    <w:rsid w:val="00094DE3"/>
    <w:rsid w:val="0009515F"/>
    <w:rsid w:val="00095AEF"/>
    <w:rsid w:val="00095E8D"/>
    <w:rsid w:val="000974CB"/>
    <w:rsid w:val="00097BA4"/>
    <w:rsid w:val="00097EA2"/>
    <w:rsid w:val="000A04EF"/>
    <w:rsid w:val="000A07A7"/>
    <w:rsid w:val="000A08A7"/>
    <w:rsid w:val="000A0AC4"/>
    <w:rsid w:val="000A10CB"/>
    <w:rsid w:val="000A155A"/>
    <w:rsid w:val="000A16F2"/>
    <w:rsid w:val="000A210D"/>
    <w:rsid w:val="000A212B"/>
    <w:rsid w:val="000A2850"/>
    <w:rsid w:val="000A2C4D"/>
    <w:rsid w:val="000A3FBC"/>
    <w:rsid w:val="000A471D"/>
    <w:rsid w:val="000A534E"/>
    <w:rsid w:val="000A583A"/>
    <w:rsid w:val="000A5E39"/>
    <w:rsid w:val="000A5FFC"/>
    <w:rsid w:val="000A7158"/>
    <w:rsid w:val="000A747F"/>
    <w:rsid w:val="000A7587"/>
    <w:rsid w:val="000B0326"/>
    <w:rsid w:val="000B057D"/>
    <w:rsid w:val="000B14BB"/>
    <w:rsid w:val="000B171A"/>
    <w:rsid w:val="000B2093"/>
    <w:rsid w:val="000B2B2F"/>
    <w:rsid w:val="000B2DE6"/>
    <w:rsid w:val="000B3EC8"/>
    <w:rsid w:val="000B4940"/>
    <w:rsid w:val="000B4A2B"/>
    <w:rsid w:val="000B4DA7"/>
    <w:rsid w:val="000B4EF0"/>
    <w:rsid w:val="000B51B4"/>
    <w:rsid w:val="000B554B"/>
    <w:rsid w:val="000B57D8"/>
    <w:rsid w:val="000B626B"/>
    <w:rsid w:val="000B6ADB"/>
    <w:rsid w:val="000B6D35"/>
    <w:rsid w:val="000B7251"/>
    <w:rsid w:val="000B7BCF"/>
    <w:rsid w:val="000C01A2"/>
    <w:rsid w:val="000C14A5"/>
    <w:rsid w:val="000C2439"/>
    <w:rsid w:val="000C2972"/>
    <w:rsid w:val="000C2DA7"/>
    <w:rsid w:val="000C345F"/>
    <w:rsid w:val="000C357D"/>
    <w:rsid w:val="000C3A6D"/>
    <w:rsid w:val="000C3A9A"/>
    <w:rsid w:val="000C3C14"/>
    <w:rsid w:val="000C4CB7"/>
    <w:rsid w:val="000C72A6"/>
    <w:rsid w:val="000C752A"/>
    <w:rsid w:val="000C7665"/>
    <w:rsid w:val="000C7E64"/>
    <w:rsid w:val="000C7F02"/>
    <w:rsid w:val="000D1D80"/>
    <w:rsid w:val="000D25EC"/>
    <w:rsid w:val="000D2D7E"/>
    <w:rsid w:val="000D2E8C"/>
    <w:rsid w:val="000D3981"/>
    <w:rsid w:val="000D3A70"/>
    <w:rsid w:val="000D3C9A"/>
    <w:rsid w:val="000D3EFD"/>
    <w:rsid w:val="000D4A85"/>
    <w:rsid w:val="000D5D78"/>
    <w:rsid w:val="000D6243"/>
    <w:rsid w:val="000D649E"/>
    <w:rsid w:val="000D6714"/>
    <w:rsid w:val="000E0098"/>
    <w:rsid w:val="000E01AB"/>
    <w:rsid w:val="000E0556"/>
    <w:rsid w:val="000E0C30"/>
    <w:rsid w:val="000E0E52"/>
    <w:rsid w:val="000E1157"/>
    <w:rsid w:val="000E1350"/>
    <w:rsid w:val="000E24C3"/>
    <w:rsid w:val="000E2566"/>
    <w:rsid w:val="000E2EF9"/>
    <w:rsid w:val="000E3D95"/>
    <w:rsid w:val="000E445A"/>
    <w:rsid w:val="000E4D8E"/>
    <w:rsid w:val="000E4F2D"/>
    <w:rsid w:val="000E5141"/>
    <w:rsid w:val="000E53BD"/>
    <w:rsid w:val="000E5538"/>
    <w:rsid w:val="000E68D6"/>
    <w:rsid w:val="000E68EA"/>
    <w:rsid w:val="000E6EF0"/>
    <w:rsid w:val="000E7D2F"/>
    <w:rsid w:val="000F0002"/>
    <w:rsid w:val="000F061F"/>
    <w:rsid w:val="000F0921"/>
    <w:rsid w:val="000F1297"/>
    <w:rsid w:val="000F17BD"/>
    <w:rsid w:val="000F1E64"/>
    <w:rsid w:val="000F2293"/>
    <w:rsid w:val="000F23C7"/>
    <w:rsid w:val="000F2A61"/>
    <w:rsid w:val="000F2C48"/>
    <w:rsid w:val="000F32D7"/>
    <w:rsid w:val="000F3882"/>
    <w:rsid w:val="000F3DC0"/>
    <w:rsid w:val="000F582C"/>
    <w:rsid w:val="000F61C6"/>
    <w:rsid w:val="000F714A"/>
    <w:rsid w:val="000F7335"/>
    <w:rsid w:val="000F735F"/>
    <w:rsid w:val="000F77EA"/>
    <w:rsid w:val="00100462"/>
    <w:rsid w:val="001013B7"/>
    <w:rsid w:val="001018E5"/>
    <w:rsid w:val="0010193A"/>
    <w:rsid w:val="00102B97"/>
    <w:rsid w:val="0010346A"/>
    <w:rsid w:val="00103583"/>
    <w:rsid w:val="001036CB"/>
    <w:rsid w:val="0010417A"/>
    <w:rsid w:val="001046E8"/>
    <w:rsid w:val="00104C02"/>
    <w:rsid w:val="0010579B"/>
    <w:rsid w:val="00105CDF"/>
    <w:rsid w:val="00105E07"/>
    <w:rsid w:val="00106912"/>
    <w:rsid w:val="00106944"/>
    <w:rsid w:val="001071C3"/>
    <w:rsid w:val="00107844"/>
    <w:rsid w:val="00107FB6"/>
    <w:rsid w:val="001104E6"/>
    <w:rsid w:val="00111684"/>
    <w:rsid w:val="00112C51"/>
    <w:rsid w:val="00113006"/>
    <w:rsid w:val="00114265"/>
    <w:rsid w:val="0011543D"/>
    <w:rsid w:val="00116084"/>
    <w:rsid w:val="00116E8E"/>
    <w:rsid w:val="0011732B"/>
    <w:rsid w:val="0011738C"/>
    <w:rsid w:val="00117613"/>
    <w:rsid w:val="0012009C"/>
    <w:rsid w:val="00120B4C"/>
    <w:rsid w:val="00121670"/>
    <w:rsid w:val="001218E7"/>
    <w:rsid w:val="00121C5E"/>
    <w:rsid w:val="00121D75"/>
    <w:rsid w:val="00122223"/>
    <w:rsid w:val="0012313C"/>
    <w:rsid w:val="00123D0D"/>
    <w:rsid w:val="00123F87"/>
    <w:rsid w:val="00124A88"/>
    <w:rsid w:val="00124CBB"/>
    <w:rsid w:val="00124DE8"/>
    <w:rsid w:val="00125785"/>
    <w:rsid w:val="001257B9"/>
    <w:rsid w:val="00125E0D"/>
    <w:rsid w:val="00126DAA"/>
    <w:rsid w:val="001308A7"/>
    <w:rsid w:val="00130CB1"/>
    <w:rsid w:val="001311CC"/>
    <w:rsid w:val="00132294"/>
    <w:rsid w:val="001336D7"/>
    <w:rsid w:val="001338BC"/>
    <w:rsid w:val="001339EA"/>
    <w:rsid w:val="00133E68"/>
    <w:rsid w:val="0013449E"/>
    <w:rsid w:val="001347B6"/>
    <w:rsid w:val="00134F04"/>
    <w:rsid w:val="0013568F"/>
    <w:rsid w:val="0013627D"/>
    <w:rsid w:val="00136B69"/>
    <w:rsid w:val="00136FC8"/>
    <w:rsid w:val="0013734B"/>
    <w:rsid w:val="00140824"/>
    <w:rsid w:val="00140A80"/>
    <w:rsid w:val="0014132B"/>
    <w:rsid w:val="00141997"/>
    <w:rsid w:val="00142B54"/>
    <w:rsid w:val="00142CDE"/>
    <w:rsid w:val="001434CA"/>
    <w:rsid w:val="0014431B"/>
    <w:rsid w:val="0014479C"/>
    <w:rsid w:val="001460C4"/>
    <w:rsid w:val="0014616F"/>
    <w:rsid w:val="001465AA"/>
    <w:rsid w:val="00147933"/>
    <w:rsid w:val="00147B82"/>
    <w:rsid w:val="00151F34"/>
    <w:rsid w:val="00153316"/>
    <w:rsid w:val="00153332"/>
    <w:rsid w:val="00153420"/>
    <w:rsid w:val="0015358F"/>
    <w:rsid w:val="00153E74"/>
    <w:rsid w:val="0015432E"/>
    <w:rsid w:val="00154DA8"/>
    <w:rsid w:val="00154EB4"/>
    <w:rsid w:val="00155871"/>
    <w:rsid w:val="001567FD"/>
    <w:rsid w:val="00156A1A"/>
    <w:rsid w:val="001571F6"/>
    <w:rsid w:val="00157238"/>
    <w:rsid w:val="001575C7"/>
    <w:rsid w:val="001601C3"/>
    <w:rsid w:val="001612B5"/>
    <w:rsid w:val="001613E3"/>
    <w:rsid w:val="0016383C"/>
    <w:rsid w:val="00163C81"/>
    <w:rsid w:val="0016420C"/>
    <w:rsid w:val="0016516E"/>
    <w:rsid w:val="001651C5"/>
    <w:rsid w:val="00165605"/>
    <w:rsid w:val="001657EF"/>
    <w:rsid w:val="00165C85"/>
    <w:rsid w:val="00167611"/>
    <w:rsid w:val="001703A0"/>
    <w:rsid w:val="0017127B"/>
    <w:rsid w:val="0017140E"/>
    <w:rsid w:val="00172263"/>
    <w:rsid w:val="00172844"/>
    <w:rsid w:val="001728FB"/>
    <w:rsid w:val="00172948"/>
    <w:rsid w:val="001729DD"/>
    <w:rsid w:val="00172A27"/>
    <w:rsid w:val="00172F21"/>
    <w:rsid w:val="001737C7"/>
    <w:rsid w:val="00173B56"/>
    <w:rsid w:val="001757A2"/>
    <w:rsid w:val="00175B73"/>
    <w:rsid w:val="00175D56"/>
    <w:rsid w:val="00175F19"/>
    <w:rsid w:val="001778C1"/>
    <w:rsid w:val="001806AC"/>
    <w:rsid w:val="001817AF"/>
    <w:rsid w:val="00181FD6"/>
    <w:rsid w:val="00182145"/>
    <w:rsid w:val="0018277A"/>
    <w:rsid w:val="001828D3"/>
    <w:rsid w:val="001829C4"/>
    <w:rsid w:val="00184017"/>
    <w:rsid w:val="00184196"/>
    <w:rsid w:val="00184778"/>
    <w:rsid w:val="001866AF"/>
    <w:rsid w:val="00186BB5"/>
    <w:rsid w:val="00186FEC"/>
    <w:rsid w:val="0019121C"/>
    <w:rsid w:val="001915C3"/>
    <w:rsid w:val="0019169E"/>
    <w:rsid w:val="0019175D"/>
    <w:rsid w:val="00191A70"/>
    <w:rsid w:val="00191C40"/>
    <w:rsid w:val="00191FBA"/>
    <w:rsid w:val="0019277A"/>
    <w:rsid w:val="00193A72"/>
    <w:rsid w:val="00193AB5"/>
    <w:rsid w:val="00193D63"/>
    <w:rsid w:val="00193E1C"/>
    <w:rsid w:val="0019500D"/>
    <w:rsid w:val="001950C7"/>
    <w:rsid w:val="00196036"/>
    <w:rsid w:val="0019605F"/>
    <w:rsid w:val="001960B1"/>
    <w:rsid w:val="00196406"/>
    <w:rsid w:val="0019650B"/>
    <w:rsid w:val="00196CEA"/>
    <w:rsid w:val="0019754C"/>
    <w:rsid w:val="00197638"/>
    <w:rsid w:val="001976BE"/>
    <w:rsid w:val="00197956"/>
    <w:rsid w:val="00197BA3"/>
    <w:rsid w:val="00197E31"/>
    <w:rsid w:val="00197F92"/>
    <w:rsid w:val="00197FAC"/>
    <w:rsid w:val="001A002C"/>
    <w:rsid w:val="001A06FB"/>
    <w:rsid w:val="001A0E4D"/>
    <w:rsid w:val="001A10E6"/>
    <w:rsid w:val="001A1854"/>
    <w:rsid w:val="001A1E7C"/>
    <w:rsid w:val="001A2156"/>
    <w:rsid w:val="001A30F0"/>
    <w:rsid w:val="001A38BA"/>
    <w:rsid w:val="001A484E"/>
    <w:rsid w:val="001A4B3D"/>
    <w:rsid w:val="001A51D9"/>
    <w:rsid w:val="001A62FE"/>
    <w:rsid w:val="001B09EA"/>
    <w:rsid w:val="001B0C50"/>
    <w:rsid w:val="001B132A"/>
    <w:rsid w:val="001B1711"/>
    <w:rsid w:val="001B1777"/>
    <w:rsid w:val="001B1CC3"/>
    <w:rsid w:val="001B1D5B"/>
    <w:rsid w:val="001B1E63"/>
    <w:rsid w:val="001B1F1E"/>
    <w:rsid w:val="001B3608"/>
    <w:rsid w:val="001B3775"/>
    <w:rsid w:val="001B3ABC"/>
    <w:rsid w:val="001B3D57"/>
    <w:rsid w:val="001B462A"/>
    <w:rsid w:val="001B48FF"/>
    <w:rsid w:val="001B494C"/>
    <w:rsid w:val="001B53C3"/>
    <w:rsid w:val="001B59E2"/>
    <w:rsid w:val="001B5AA4"/>
    <w:rsid w:val="001B5B87"/>
    <w:rsid w:val="001B5E20"/>
    <w:rsid w:val="001B6576"/>
    <w:rsid w:val="001B6963"/>
    <w:rsid w:val="001B69EC"/>
    <w:rsid w:val="001B6AA9"/>
    <w:rsid w:val="001B78B2"/>
    <w:rsid w:val="001B79C6"/>
    <w:rsid w:val="001B7EEA"/>
    <w:rsid w:val="001C0801"/>
    <w:rsid w:val="001C11F2"/>
    <w:rsid w:val="001C13CC"/>
    <w:rsid w:val="001C189E"/>
    <w:rsid w:val="001C1CBF"/>
    <w:rsid w:val="001C1CFB"/>
    <w:rsid w:val="001C2049"/>
    <w:rsid w:val="001C2835"/>
    <w:rsid w:val="001C352C"/>
    <w:rsid w:val="001C4564"/>
    <w:rsid w:val="001C609F"/>
    <w:rsid w:val="001C6441"/>
    <w:rsid w:val="001C6AF0"/>
    <w:rsid w:val="001C6EE3"/>
    <w:rsid w:val="001C74E3"/>
    <w:rsid w:val="001C7EF0"/>
    <w:rsid w:val="001C7F7B"/>
    <w:rsid w:val="001D0530"/>
    <w:rsid w:val="001D0981"/>
    <w:rsid w:val="001D0ECE"/>
    <w:rsid w:val="001D19E0"/>
    <w:rsid w:val="001D1C0A"/>
    <w:rsid w:val="001D237F"/>
    <w:rsid w:val="001D26B3"/>
    <w:rsid w:val="001D28A7"/>
    <w:rsid w:val="001D3136"/>
    <w:rsid w:val="001D3179"/>
    <w:rsid w:val="001D3A59"/>
    <w:rsid w:val="001D409C"/>
    <w:rsid w:val="001D426B"/>
    <w:rsid w:val="001D4575"/>
    <w:rsid w:val="001D4B1D"/>
    <w:rsid w:val="001D557D"/>
    <w:rsid w:val="001D5DDD"/>
    <w:rsid w:val="001D6680"/>
    <w:rsid w:val="001D6EA1"/>
    <w:rsid w:val="001D77A0"/>
    <w:rsid w:val="001D7CC5"/>
    <w:rsid w:val="001E024C"/>
    <w:rsid w:val="001E1A31"/>
    <w:rsid w:val="001E2C92"/>
    <w:rsid w:val="001E4526"/>
    <w:rsid w:val="001E4936"/>
    <w:rsid w:val="001E52A9"/>
    <w:rsid w:val="001E5500"/>
    <w:rsid w:val="001E577D"/>
    <w:rsid w:val="001E5E65"/>
    <w:rsid w:val="001E642F"/>
    <w:rsid w:val="001E6A19"/>
    <w:rsid w:val="001E6FD2"/>
    <w:rsid w:val="001E70C7"/>
    <w:rsid w:val="001E77B1"/>
    <w:rsid w:val="001F037D"/>
    <w:rsid w:val="001F0466"/>
    <w:rsid w:val="001F0E00"/>
    <w:rsid w:val="001F11D4"/>
    <w:rsid w:val="001F223D"/>
    <w:rsid w:val="001F29AE"/>
    <w:rsid w:val="001F32F3"/>
    <w:rsid w:val="001F4B67"/>
    <w:rsid w:val="001F5337"/>
    <w:rsid w:val="001F5F0F"/>
    <w:rsid w:val="001F6582"/>
    <w:rsid w:val="00201204"/>
    <w:rsid w:val="00201A6B"/>
    <w:rsid w:val="00201C38"/>
    <w:rsid w:val="00201FA0"/>
    <w:rsid w:val="00202DAA"/>
    <w:rsid w:val="002038B7"/>
    <w:rsid w:val="002042C7"/>
    <w:rsid w:val="00204771"/>
    <w:rsid w:val="002053E9"/>
    <w:rsid w:val="00205564"/>
    <w:rsid w:val="00205CF3"/>
    <w:rsid w:val="00207E09"/>
    <w:rsid w:val="00210D77"/>
    <w:rsid w:val="0021171E"/>
    <w:rsid w:val="00213650"/>
    <w:rsid w:val="00213C48"/>
    <w:rsid w:val="00213D4E"/>
    <w:rsid w:val="00213EF6"/>
    <w:rsid w:val="00215494"/>
    <w:rsid w:val="002158C8"/>
    <w:rsid w:val="002163FA"/>
    <w:rsid w:val="002165CD"/>
    <w:rsid w:val="00216DCF"/>
    <w:rsid w:val="00216F5C"/>
    <w:rsid w:val="0021705F"/>
    <w:rsid w:val="00217404"/>
    <w:rsid w:val="00217641"/>
    <w:rsid w:val="00220FBE"/>
    <w:rsid w:val="002229B7"/>
    <w:rsid w:val="00222AEA"/>
    <w:rsid w:val="00222DF6"/>
    <w:rsid w:val="00223056"/>
    <w:rsid w:val="002231B0"/>
    <w:rsid w:val="00223A01"/>
    <w:rsid w:val="00223B32"/>
    <w:rsid w:val="00224BBC"/>
    <w:rsid w:val="0022527E"/>
    <w:rsid w:val="00225C2C"/>
    <w:rsid w:val="002274BD"/>
    <w:rsid w:val="00227855"/>
    <w:rsid w:val="002278E0"/>
    <w:rsid w:val="00227BFC"/>
    <w:rsid w:val="0023016C"/>
    <w:rsid w:val="00230246"/>
    <w:rsid w:val="00230539"/>
    <w:rsid w:val="00230750"/>
    <w:rsid w:val="00230C05"/>
    <w:rsid w:val="00231772"/>
    <w:rsid w:val="00231C34"/>
    <w:rsid w:val="00231EDF"/>
    <w:rsid w:val="00232D8A"/>
    <w:rsid w:val="00234883"/>
    <w:rsid w:val="00234982"/>
    <w:rsid w:val="002349EC"/>
    <w:rsid w:val="00235069"/>
    <w:rsid w:val="00235148"/>
    <w:rsid w:val="00236C0F"/>
    <w:rsid w:val="002376F0"/>
    <w:rsid w:val="00237746"/>
    <w:rsid w:val="00240A4B"/>
    <w:rsid w:val="00240C95"/>
    <w:rsid w:val="00240CE1"/>
    <w:rsid w:val="00240EA3"/>
    <w:rsid w:val="00241325"/>
    <w:rsid w:val="002418AC"/>
    <w:rsid w:val="002418F5"/>
    <w:rsid w:val="00243B0A"/>
    <w:rsid w:val="00244563"/>
    <w:rsid w:val="00244ABA"/>
    <w:rsid w:val="00244BD3"/>
    <w:rsid w:val="00244E31"/>
    <w:rsid w:val="002455B3"/>
    <w:rsid w:val="00245751"/>
    <w:rsid w:val="002466E5"/>
    <w:rsid w:val="002469D8"/>
    <w:rsid w:val="00247832"/>
    <w:rsid w:val="0025004F"/>
    <w:rsid w:val="0025019E"/>
    <w:rsid w:val="00251968"/>
    <w:rsid w:val="00251CAA"/>
    <w:rsid w:val="0025281E"/>
    <w:rsid w:val="002534CD"/>
    <w:rsid w:val="00253ACA"/>
    <w:rsid w:val="00254C9C"/>
    <w:rsid w:val="00254D8C"/>
    <w:rsid w:val="00255AD4"/>
    <w:rsid w:val="00256FB4"/>
    <w:rsid w:val="00257C14"/>
    <w:rsid w:val="00257D28"/>
    <w:rsid w:val="002601CF"/>
    <w:rsid w:val="00260540"/>
    <w:rsid w:val="00261AEC"/>
    <w:rsid w:val="0026264B"/>
    <w:rsid w:val="00263C2F"/>
    <w:rsid w:val="002641E6"/>
    <w:rsid w:val="00264B0A"/>
    <w:rsid w:val="00264EF9"/>
    <w:rsid w:val="00265377"/>
    <w:rsid w:val="002675B8"/>
    <w:rsid w:val="0027012B"/>
    <w:rsid w:val="002710EE"/>
    <w:rsid w:val="00271DB3"/>
    <w:rsid w:val="0027237C"/>
    <w:rsid w:val="00273955"/>
    <w:rsid w:val="00273B25"/>
    <w:rsid w:val="00273DC3"/>
    <w:rsid w:val="00274081"/>
    <w:rsid w:val="00275637"/>
    <w:rsid w:val="00275CE4"/>
    <w:rsid w:val="00275E0C"/>
    <w:rsid w:val="002800DE"/>
    <w:rsid w:val="002805CA"/>
    <w:rsid w:val="002817B0"/>
    <w:rsid w:val="002819D3"/>
    <w:rsid w:val="00281AFC"/>
    <w:rsid w:val="00282A23"/>
    <w:rsid w:val="00282CCB"/>
    <w:rsid w:val="002830DC"/>
    <w:rsid w:val="00283578"/>
    <w:rsid w:val="0028374F"/>
    <w:rsid w:val="002838C1"/>
    <w:rsid w:val="00283970"/>
    <w:rsid w:val="002840AD"/>
    <w:rsid w:val="002844C9"/>
    <w:rsid w:val="00284BCD"/>
    <w:rsid w:val="0028696D"/>
    <w:rsid w:val="002869CB"/>
    <w:rsid w:val="00286C42"/>
    <w:rsid w:val="00286E75"/>
    <w:rsid w:val="00287A97"/>
    <w:rsid w:val="0029062D"/>
    <w:rsid w:val="00293939"/>
    <w:rsid w:val="0029430B"/>
    <w:rsid w:val="002943B1"/>
    <w:rsid w:val="00294417"/>
    <w:rsid w:val="002962B0"/>
    <w:rsid w:val="00297514"/>
    <w:rsid w:val="00297783"/>
    <w:rsid w:val="00297958"/>
    <w:rsid w:val="00297ADC"/>
    <w:rsid w:val="002A0190"/>
    <w:rsid w:val="002A03B6"/>
    <w:rsid w:val="002A0918"/>
    <w:rsid w:val="002A0F9C"/>
    <w:rsid w:val="002A15FE"/>
    <w:rsid w:val="002A16DD"/>
    <w:rsid w:val="002A1AE2"/>
    <w:rsid w:val="002A200E"/>
    <w:rsid w:val="002A239F"/>
    <w:rsid w:val="002A246E"/>
    <w:rsid w:val="002A2981"/>
    <w:rsid w:val="002A2999"/>
    <w:rsid w:val="002A2AA2"/>
    <w:rsid w:val="002A2AFA"/>
    <w:rsid w:val="002A2CA2"/>
    <w:rsid w:val="002A2CDC"/>
    <w:rsid w:val="002A305E"/>
    <w:rsid w:val="002A3396"/>
    <w:rsid w:val="002A4868"/>
    <w:rsid w:val="002A4971"/>
    <w:rsid w:val="002A49B6"/>
    <w:rsid w:val="002A49ED"/>
    <w:rsid w:val="002A4FA2"/>
    <w:rsid w:val="002A5C46"/>
    <w:rsid w:val="002A6328"/>
    <w:rsid w:val="002A6774"/>
    <w:rsid w:val="002A6991"/>
    <w:rsid w:val="002A72DB"/>
    <w:rsid w:val="002A796C"/>
    <w:rsid w:val="002B059F"/>
    <w:rsid w:val="002B19C7"/>
    <w:rsid w:val="002B1B0C"/>
    <w:rsid w:val="002B2512"/>
    <w:rsid w:val="002B3654"/>
    <w:rsid w:val="002B448A"/>
    <w:rsid w:val="002B457D"/>
    <w:rsid w:val="002B521A"/>
    <w:rsid w:val="002B5513"/>
    <w:rsid w:val="002B64E1"/>
    <w:rsid w:val="002B64EA"/>
    <w:rsid w:val="002B6C6D"/>
    <w:rsid w:val="002C06BD"/>
    <w:rsid w:val="002C092D"/>
    <w:rsid w:val="002C0D86"/>
    <w:rsid w:val="002C122D"/>
    <w:rsid w:val="002C2315"/>
    <w:rsid w:val="002C2429"/>
    <w:rsid w:val="002C273E"/>
    <w:rsid w:val="002C275E"/>
    <w:rsid w:val="002C5DFD"/>
    <w:rsid w:val="002C70BF"/>
    <w:rsid w:val="002C757E"/>
    <w:rsid w:val="002D04C7"/>
    <w:rsid w:val="002D0CD2"/>
    <w:rsid w:val="002D156A"/>
    <w:rsid w:val="002D2666"/>
    <w:rsid w:val="002D2857"/>
    <w:rsid w:val="002D2A28"/>
    <w:rsid w:val="002D34BD"/>
    <w:rsid w:val="002D48C1"/>
    <w:rsid w:val="002D4A7A"/>
    <w:rsid w:val="002D5CBF"/>
    <w:rsid w:val="002D5E9A"/>
    <w:rsid w:val="002D6709"/>
    <w:rsid w:val="002D672B"/>
    <w:rsid w:val="002D7A4C"/>
    <w:rsid w:val="002E000E"/>
    <w:rsid w:val="002E12ED"/>
    <w:rsid w:val="002E170D"/>
    <w:rsid w:val="002E1C77"/>
    <w:rsid w:val="002E3CB7"/>
    <w:rsid w:val="002E4CE8"/>
    <w:rsid w:val="002E4D97"/>
    <w:rsid w:val="002E5895"/>
    <w:rsid w:val="002E58F0"/>
    <w:rsid w:val="002E5CDB"/>
    <w:rsid w:val="002E71F7"/>
    <w:rsid w:val="002E781A"/>
    <w:rsid w:val="002E791D"/>
    <w:rsid w:val="002F0213"/>
    <w:rsid w:val="002F0F4B"/>
    <w:rsid w:val="002F1B2C"/>
    <w:rsid w:val="002F1EBC"/>
    <w:rsid w:val="002F2233"/>
    <w:rsid w:val="002F24C7"/>
    <w:rsid w:val="002F2734"/>
    <w:rsid w:val="002F4128"/>
    <w:rsid w:val="002F47D7"/>
    <w:rsid w:val="002F483F"/>
    <w:rsid w:val="002F4C00"/>
    <w:rsid w:val="002F4C0D"/>
    <w:rsid w:val="002F58CF"/>
    <w:rsid w:val="002F5CAB"/>
    <w:rsid w:val="002F62B3"/>
    <w:rsid w:val="002F6645"/>
    <w:rsid w:val="002F669A"/>
    <w:rsid w:val="00300465"/>
    <w:rsid w:val="0030063F"/>
    <w:rsid w:val="003008FB"/>
    <w:rsid w:val="003009A3"/>
    <w:rsid w:val="00301032"/>
    <w:rsid w:val="00301541"/>
    <w:rsid w:val="00302774"/>
    <w:rsid w:val="003031C4"/>
    <w:rsid w:val="003033F7"/>
    <w:rsid w:val="00303CD0"/>
    <w:rsid w:val="003047C5"/>
    <w:rsid w:val="00304893"/>
    <w:rsid w:val="00304C83"/>
    <w:rsid w:val="00304CBD"/>
    <w:rsid w:val="0030550F"/>
    <w:rsid w:val="0030594E"/>
    <w:rsid w:val="00306034"/>
    <w:rsid w:val="003060E6"/>
    <w:rsid w:val="00306F31"/>
    <w:rsid w:val="003076F5"/>
    <w:rsid w:val="00307D61"/>
    <w:rsid w:val="00307E88"/>
    <w:rsid w:val="00310888"/>
    <w:rsid w:val="00310F62"/>
    <w:rsid w:val="00311414"/>
    <w:rsid w:val="00311491"/>
    <w:rsid w:val="00311B50"/>
    <w:rsid w:val="00313F44"/>
    <w:rsid w:val="0031417B"/>
    <w:rsid w:val="00314FEC"/>
    <w:rsid w:val="003151D2"/>
    <w:rsid w:val="00316751"/>
    <w:rsid w:val="0031715D"/>
    <w:rsid w:val="00317275"/>
    <w:rsid w:val="0031786F"/>
    <w:rsid w:val="00317A5A"/>
    <w:rsid w:val="00317B29"/>
    <w:rsid w:val="00317C76"/>
    <w:rsid w:val="00320FB5"/>
    <w:rsid w:val="00321198"/>
    <w:rsid w:val="0032150C"/>
    <w:rsid w:val="00321D62"/>
    <w:rsid w:val="003227B0"/>
    <w:rsid w:val="003227CE"/>
    <w:rsid w:val="00322D4D"/>
    <w:rsid w:val="00322D96"/>
    <w:rsid w:val="003235FC"/>
    <w:rsid w:val="00323CEB"/>
    <w:rsid w:val="00324693"/>
    <w:rsid w:val="00324C3C"/>
    <w:rsid w:val="00324FED"/>
    <w:rsid w:val="00325D6C"/>
    <w:rsid w:val="0033048C"/>
    <w:rsid w:val="00330551"/>
    <w:rsid w:val="00330579"/>
    <w:rsid w:val="00330729"/>
    <w:rsid w:val="00330F31"/>
    <w:rsid w:val="00331BCD"/>
    <w:rsid w:val="003328A7"/>
    <w:rsid w:val="00333468"/>
    <w:rsid w:val="003335E9"/>
    <w:rsid w:val="0033408D"/>
    <w:rsid w:val="00334185"/>
    <w:rsid w:val="00334408"/>
    <w:rsid w:val="0033449A"/>
    <w:rsid w:val="003345FC"/>
    <w:rsid w:val="003353D0"/>
    <w:rsid w:val="00335A26"/>
    <w:rsid w:val="003363CA"/>
    <w:rsid w:val="00336BCF"/>
    <w:rsid w:val="00337679"/>
    <w:rsid w:val="00337BF3"/>
    <w:rsid w:val="00337FE5"/>
    <w:rsid w:val="003407DD"/>
    <w:rsid w:val="00341C02"/>
    <w:rsid w:val="003426A8"/>
    <w:rsid w:val="00342A72"/>
    <w:rsid w:val="00343699"/>
    <w:rsid w:val="00345AA4"/>
    <w:rsid w:val="00347E91"/>
    <w:rsid w:val="0035055F"/>
    <w:rsid w:val="00350B3B"/>
    <w:rsid w:val="003511FA"/>
    <w:rsid w:val="00351761"/>
    <w:rsid w:val="0035180A"/>
    <w:rsid w:val="0035244F"/>
    <w:rsid w:val="00353EB3"/>
    <w:rsid w:val="00353EF7"/>
    <w:rsid w:val="00355146"/>
    <w:rsid w:val="0035528C"/>
    <w:rsid w:val="00355BCB"/>
    <w:rsid w:val="00356034"/>
    <w:rsid w:val="00356172"/>
    <w:rsid w:val="00356344"/>
    <w:rsid w:val="00356E0D"/>
    <w:rsid w:val="003570C5"/>
    <w:rsid w:val="00357A70"/>
    <w:rsid w:val="003601C5"/>
    <w:rsid w:val="00360400"/>
    <w:rsid w:val="00360EBB"/>
    <w:rsid w:val="00361296"/>
    <w:rsid w:val="00361339"/>
    <w:rsid w:val="00361362"/>
    <w:rsid w:val="003619D3"/>
    <w:rsid w:val="003636D0"/>
    <w:rsid w:val="00365315"/>
    <w:rsid w:val="00366120"/>
    <w:rsid w:val="00366830"/>
    <w:rsid w:val="00367147"/>
    <w:rsid w:val="0037145E"/>
    <w:rsid w:val="00371D53"/>
    <w:rsid w:val="003726D4"/>
    <w:rsid w:val="00372F27"/>
    <w:rsid w:val="00373475"/>
    <w:rsid w:val="00373F66"/>
    <w:rsid w:val="00374B5C"/>
    <w:rsid w:val="003759BA"/>
    <w:rsid w:val="00375C42"/>
    <w:rsid w:val="00375CDF"/>
    <w:rsid w:val="0037636A"/>
    <w:rsid w:val="00376D15"/>
    <w:rsid w:val="00377C22"/>
    <w:rsid w:val="00380601"/>
    <w:rsid w:val="00380C88"/>
    <w:rsid w:val="00381A1A"/>
    <w:rsid w:val="00381D06"/>
    <w:rsid w:val="003828A9"/>
    <w:rsid w:val="003830EE"/>
    <w:rsid w:val="00383790"/>
    <w:rsid w:val="0038443F"/>
    <w:rsid w:val="00384514"/>
    <w:rsid w:val="0038452A"/>
    <w:rsid w:val="00385584"/>
    <w:rsid w:val="0038572E"/>
    <w:rsid w:val="003858D7"/>
    <w:rsid w:val="003865EA"/>
    <w:rsid w:val="00386969"/>
    <w:rsid w:val="00386B94"/>
    <w:rsid w:val="003877AA"/>
    <w:rsid w:val="0039073B"/>
    <w:rsid w:val="003920FB"/>
    <w:rsid w:val="00392896"/>
    <w:rsid w:val="0039291B"/>
    <w:rsid w:val="00393496"/>
    <w:rsid w:val="00393911"/>
    <w:rsid w:val="00393B15"/>
    <w:rsid w:val="00393BC3"/>
    <w:rsid w:val="00393E9A"/>
    <w:rsid w:val="00393F75"/>
    <w:rsid w:val="003954CA"/>
    <w:rsid w:val="00395777"/>
    <w:rsid w:val="00395D4C"/>
    <w:rsid w:val="0039633D"/>
    <w:rsid w:val="00396A6D"/>
    <w:rsid w:val="00396B9E"/>
    <w:rsid w:val="00396C33"/>
    <w:rsid w:val="00396F78"/>
    <w:rsid w:val="00397342"/>
    <w:rsid w:val="00397B71"/>
    <w:rsid w:val="003A04E2"/>
    <w:rsid w:val="003A0C88"/>
    <w:rsid w:val="003A1319"/>
    <w:rsid w:val="003A1F6D"/>
    <w:rsid w:val="003A269D"/>
    <w:rsid w:val="003A2D68"/>
    <w:rsid w:val="003A34DA"/>
    <w:rsid w:val="003A3557"/>
    <w:rsid w:val="003A39E9"/>
    <w:rsid w:val="003A3C0D"/>
    <w:rsid w:val="003A3DF2"/>
    <w:rsid w:val="003A401E"/>
    <w:rsid w:val="003A4F5B"/>
    <w:rsid w:val="003A54EB"/>
    <w:rsid w:val="003A555E"/>
    <w:rsid w:val="003A5840"/>
    <w:rsid w:val="003A677E"/>
    <w:rsid w:val="003A67A0"/>
    <w:rsid w:val="003A70A1"/>
    <w:rsid w:val="003A70A6"/>
    <w:rsid w:val="003A76F1"/>
    <w:rsid w:val="003B08A5"/>
    <w:rsid w:val="003B093C"/>
    <w:rsid w:val="003B14A0"/>
    <w:rsid w:val="003B1619"/>
    <w:rsid w:val="003B194F"/>
    <w:rsid w:val="003B1B06"/>
    <w:rsid w:val="003B1CC2"/>
    <w:rsid w:val="003B2A9C"/>
    <w:rsid w:val="003B38A1"/>
    <w:rsid w:val="003B5653"/>
    <w:rsid w:val="003B5B43"/>
    <w:rsid w:val="003B5C5D"/>
    <w:rsid w:val="003B69C4"/>
    <w:rsid w:val="003B73C1"/>
    <w:rsid w:val="003B76F2"/>
    <w:rsid w:val="003C02D6"/>
    <w:rsid w:val="003C0CFD"/>
    <w:rsid w:val="003C1516"/>
    <w:rsid w:val="003C1735"/>
    <w:rsid w:val="003C1FAB"/>
    <w:rsid w:val="003C28A0"/>
    <w:rsid w:val="003C3778"/>
    <w:rsid w:val="003C4130"/>
    <w:rsid w:val="003C4403"/>
    <w:rsid w:val="003C4616"/>
    <w:rsid w:val="003C4AFB"/>
    <w:rsid w:val="003C5278"/>
    <w:rsid w:val="003C54A1"/>
    <w:rsid w:val="003C7333"/>
    <w:rsid w:val="003C775F"/>
    <w:rsid w:val="003D10B2"/>
    <w:rsid w:val="003D1662"/>
    <w:rsid w:val="003D2E48"/>
    <w:rsid w:val="003D4298"/>
    <w:rsid w:val="003D4916"/>
    <w:rsid w:val="003D4FFF"/>
    <w:rsid w:val="003D5363"/>
    <w:rsid w:val="003D544E"/>
    <w:rsid w:val="003D638F"/>
    <w:rsid w:val="003D6F99"/>
    <w:rsid w:val="003E00E2"/>
    <w:rsid w:val="003E0129"/>
    <w:rsid w:val="003E127B"/>
    <w:rsid w:val="003E1AE1"/>
    <w:rsid w:val="003E1D21"/>
    <w:rsid w:val="003E4B85"/>
    <w:rsid w:val="003E567D"/>
    <w:rsid w:val="003E6845"/>
    <w:rsid w:val="003E6A1A"/>
    <w:rsid w:val="003E7101"/>
    <w:rsid w:val="003E7C11"/>
    <w:rsid w:val="003F0661"/>
    <w:rsid w:val="003F20E1"/>
    <w:rsid w:val="003F225C"/>
    <w:rsid w:val="003F2503"/>
    <w:rsid w:val="003F26FA"/>
    <w:rsid w:val="003F354F"/>
    <w:rsid w:val="003F3ABB"/>
    <w:rsid w:val="003F4067"/>
    <w:rsid w:val="003F4274"/>
    <w:rsid w:val="003F4504"/>
    <w:rsid w:val="003F46D8"/>
    <w:rsid w:val="003F4AFF"/>
    <w:rsid w:val="003F4D37"/>
    <w:rsid w:val="003F52B2"/>
    <w:rsid w:val="003F5FD5"/>
    <w:rsid w:val="003F6305"/>
    <w:rsid w:val="003F65EC"/>
    <w:rsid w:val="003F70A4"/>
    <w:rsid w:val="00401012"/>
    <w:rsid w:val="00401131"/>
    <w:rsid w:val="004015DE"/>
    <w:rsid w:val="004015FA"/>
    <w:rsid w:val="0040284F"/>
    <w:rsid w:val="0040292D"/>
    <w:rsid w:val="00402AA5"/>
    <w:rsid w:val="0040399C"/>
    <w:rsid w:val="004041D7"/>
    <w:rsid w:val="00404653"/>
    <w:rsid w:val="004047FC"/>
    <w:rsid w:val="00404D9E"/>
    <w:rsid w:val="00404E0F"/>
    <w:rsid w:val="00404F1D"/>
    <w:rsid w:val="00405D5A"/>
    <w:rsid w:val="00405F19"/>
    <w:rsid w:val="00406E3F"/>
    <w:rsid w:val="00407D9D"/>
    <w:rsid w:val="00407DAB"/>
    <w:rsid w:val="00407FDE"/>
    <w:rsid w:val="00410016"/>
    <w:rsid w:val="00412312"/>
    <w:rsid w:val="004123AE"/>
    <w:rsid w:val="004124AF"/>
    <w:rsid w:val="00412553"/>
    <w:rsid w:val="00412A55"/>
    <w:rsid w:val="00412B0B"/>
    <w:rsid w:val="00413262"/>
    <w:rsid w:val="00413471"/>
    <w:rsid w:val="00413974"/>
    <w:rsid w:val="00415841"/>
    <w:rsid w:val="00415941"/>
    <w:rsid w:val="00415AFC"/>
    <w:rsid w:val="004160BD"/>
    <w:rsid w:val="004162C8"/>
    <w:rsid w:val="004169E5"/>
    <w:rsid w:val="00416B84"/>
    <w:rsid w:val="00416C1D"/>
    <w:rsid w:val="00416F59"/>
    <w:rsid w:val="00417584"/>
    <w:rsid w:val="00417A9B"/>
    <w:rsid w:val="004202E9"/>
    <w:rsid w:val="00420871"/>
    <w:rsid w:val="00421144"/>
    <w:rsid w:val="004211F7"/>
    <w:rsid w:val="00421399"/>
    <w:rsid w:val="00421615"/>
    <w:rsid w:val="0042188D"/>
    <w:rsid w:val="00421DF1"/>
    <w:rsid w:val="004234A5"/>
    <w:rsid w:val="0042385C"/>
    <w:rsid w:val="00425199"/>
    <w:rsid w:val="00425A21"/>
    <w:rsid w:val="00426B54"/>
    <w:rsid w:val="00426BBA"/>
    <w:rsid w:val="00427740"/>
    <w:rsid w:val="004300E6"/>
    <w:rsid w:val="00430487"/>
    <w:rsid w:val="004309C7"/>
    <w:rsid w:val="004309FC"/>
    <w:rsid w:val="00431E1C"/>
    <w:rsid w:val="0043225A"/>
    <w:rsid w:val="0043403D"/>
    <w:rsid w:val="0043435E"/>
    <w:rsid w:val="00434682"/>
    <w:rsid w:val="0043533D"/>
    <w:rsid w:val="004359AD"/>
    <w:rsid w:val="00435DFB"/>
    <w:rsid w:val="00436302"/>
    <w:rsid w:val="00436415"/>
    <w:rsid w:val="00436D24"/>
    <w:rsid w:val="004370DC"/>
    <w:rsid w:val="004373B1"/>
    <w:rsid w:val="0044031B"/>
    <w:rsid w:val="00440539"/>
    <w:rsid w:val="00444DF9"/>
    <w:rsid w:val="0044594D"/>
    <w:rsid w:val="00445E6E"/>
    <w:rsid w:val="00446408"/>
    <w:rsid w:val="00446901"/>
    <w:rsid w:val="0044710A"/>
    <w:rsid w:val="0045006E"/>
    <w:rsid w:val="00451DE3"/>
    <w:rsid w:val="004524E9"/>
    <w:rsid w:val="0045268B"/>
    <w:rsid w:val="004531B4"/>
    <w:rsid w:val="0045384B"/>
    <w:rsid w:val="00453F46"/>
    <w:rsid w:val="00453F59"/>
    <w:rsid w:val="004565A9"/>
    <w:rsid w:val="004566CA"/>
    <w:rsid w:val="00456AE2"/>
    <w:rsid w:val="0045784D"/>
    <w:rsid w:val="00457F2D"/>
    <w:rsid w:val="004610AB"/>
    <w:rsid w:val="00461400"/>
    <w:rsid w:val="00461C5C"/>
    <w:rsid w:val="00462591"/>
    <w:rsid w:val="004628BC"/>
    <w:rsid w:val="00463A32"/>
    <w:rsid w:val="00464D01"/>
    <w:rsid w:val="0046544B"/>
    <w:rsid w:val="0046621A"/>
    <w:rsid w:val="00466380"/>
    <w:rsid w:val="00466454"/>
    <w:rsid w:val="00466A28"/>
    <w:rsid w:val="00466BE1"/>
    <w:rsid w:val="004705C8"/>
    <w:rsid w:val="0047086B"/>
    <w:rsid w:val="0047139B"/>
    <w:rsid w:val="00471CCA"/>
    <w:rsid w:val="004725A1"/>
    <w:rsid w:val="00472CE3"/>
    <w:rsid w:val="00474BF6"/>
    <w:rsid w:val="00474CBD"/>
    <w:rsid w:val="004750F2"/>
    <w:rsid w:val="00475E30"/>
    <w:rsid w:val="00475F92"/>
    <w:rsid w:val="00476D27"/>
    <w:rsid w:val="004770BF"/>
    <w:rsid w:val="00477230"/>
    <w:rsid w:val="00480003"/>
    <w:rsid w:val="004807B9"/>
    <w:rsid w:val="0048142B"/>
    <w:rsid w:val="00481B56"/>
    <w:rsid w:val="00481D7A"/>
    <w:rsid w:val="004834B9"/>
    <w:rsid w:val="00483FCC"/>
    <w:rsid w:val="0048481C"/>
    <w:rsid w:val="004850FA"/>
    <w:rsid w:val="004857AF"/>
    <w:rsid w:val="00485BE0"/>
    <w:rsid w:val="00485BFF"/>
    <w:rsid w:val="00485D96"/>
    <w:rsid w:val="0048645B"/>
    <w:rsid w:val="00486B69"/>
    <w:rsid w:val="0048744F"/>
    <w:rsid w:val="004875C6"/>
    <w:rsid w:val="00487E81"/>
    <w:rsid w:val="00490024"/>
    <w:rsid w:val="0049047B"/>
    <w:rsid w:val="0049096D"/>
    <w:rsid w:val="00491A40"/>
    <w:rsid w:val="00491CFC"/>
    <w:rsid w:val="00491EDF"/>
    <w:rsid w:val="00492740"/>
    <w:rsid w:val="00492D34"/>
    <w:rsid w:val="004930D7"/>
    <w:rsid w:val="004934B4"/>
    <w:rsid w:val="00494BBC"/>
    <w:rsid w:val="00495364"/>
    <w:rsid w:val="00495621"/>
    <w:rsid w:val="00496A60"/>
    <w:rsid w:val="00497B8C"/>
    <w:rsid w:val="004A0502"/>
    <w:rsid w:val="004A185E"/>
    <w:rsid w:val="004A1F9F"/>
    <w:rsid w:val="004A269A"/>
    <w:rsid w:val="004A3440"/>
    <w:rsid w:val="004A393E"/>
    <w:rsid w:val="004A409A"/>
    <w:rsid w:val="004A4B54"/>
    <w:rsid w:val="004A59B2"/>
    <w:rsid w:val="004A61AB"/>
    <w:rsid w:val="004A6522"/>
    <w:rsid w:val="004A6828"/>
    <w:rsid w:val="004A7145"/>
    <w:rsid w:val="004A7917"/>
    <w:rsid w:val="004B010C"/>
    <w:rsid w:val="004B03C9"/>
    <w:rsid w:val="004B0C68"/>
    <w:rsid w:val="004B1F6C"/>
    <w:rsid w:val="004B2977"/>
    <w:rsid w:val="004B3280"/>
    <w:rsid w:val="004B3BB0"/>
    <w:rsid w:val="004B3BDB"/>
    <w:rsid w:val="004B439E"/>
    <w:rsid w:val="004B48C8"/>
    <w:rsid w:val="004B6236"/>
    <w:rsid w:val="004B671E"/>
    <w:rsid w:val="004B6BFC"/>
    <w:rsid w:val="004B7053"/>
    <w:rsid w:val="004B7400"/>
    <w:rsid w:val="004B7558"/>
    <w:rsid w:val="004B79D5"/>
    <w:rsid w:val="004B7DBC"/>
    <w:rsid w:val="004C0B64"/>
    <w:rsid w:val="004C0B92"/>
    <w:rsid w:val="004C1DD5"/>
    <w:rsid w:val="004C2F43"/>
    <w:rsid w:val="004C309A"/>
    <w:rsid w:val="004C35B3"/>
    <w:rsid w:val="004C3767"/>
    <w:rsid w:val="004C4FE2"/>
    <w:rsid w:val="004C5001"/>
    <w:rsid w:val="004C515F"/>
    <w:rsid w:val="004C6960"/>
    <w:rsid w:val="004C7174"/>
    <w:rsid w:val="004C74FC"/>
    <w:rsid w:val="004C7DED"/>
    <w:rsid w:val="004D07D6"/>
    <w:rsid w:val="004D0A06"/>
    <w:rsid w:val="004D0C11"/>
    <w:rsid w:val="004D128B"/>
    <w:rsid w:val="004D1BE6"/>
    <w:rsid w:val="004D24CB"/>
    <w:rsid w:val="004D32B5"/>
    <w:rsid w:val="004D4207"/>
    <w:rsid w:val="004D4399"/>
    <w:rsid w:val="004D43B0"/>
    <w:rsid w:val="004D46BD"/>
    <w:rsid w:val="004D4BF6"/>
    <w:rsid w:val="004D4EE0"/>
    <w:rsid w:val="004D50CA"/>
    <w:rsid w:val="004D5618"/>
    <w:rsid w:val="004D57BB"/>
    <w:rsid w:val="004D5D05"/>
    <w:rsid w:val="004D5D4C"/>
    <w:rsid w:val="004D6DF0"/>
    <w:rsid w:val="004D74A9"/>
    <w:rsid w:val="004D796B"/>
    <w:rsid w:val="004D7C3F"/>
    <w:rsid w:val="004D7D34"/>
    <w:rsid w:val="004E0395"/>
    <w:rsid w:val="004E05AC"/>
    <w:rsid w:val="004E0943"/>
    <w:rsid w:val="004E0DA3"/>
    <w:rsid w:val="004E0E5C"/>
    <w:rsid w:val="004E0F55"/>
    <w:rsid w:val="004E167D"/>
    <w:rsid w:val="004E3713"/>
    <w:rsid w:val="004E3A8E"/>
    <w:rsid w:val="004E4219"/>
    <w:rsid w:val="004E4444"/>
    <w:rsid w:val="004E507E"/>
    <w:rsid w:val="004E51F6"/>
    <w:rsid w:val="004E5510"/>
    <w:rsid w:val="004E57FE"/>
    <w:rsid w:val="004E5826"/>
    <w:rsid w:val="004E60C3"/>
    <w:rsid w:val="004E6CE9"/>
    <w:rsid w:val="004E707B"/>
    <w:rsid w:val="004E7B5E"/>
    <w:rsid w:val="004F0C7C"/>
    <w:rsid w:val="004F134D"/>
    <w:rsid w:val="004F1412"/>
    <w:rsid w:val="004F2340"/>
    <w:rsid w:val="004F2863"/>
    <w:rsid w:val="004F2C57"/>
    <w:rsid w:val="004F3753"/>
    <w:rsid w:val="004F4862"/>
    <w:rsid w:val="004F4CD6"/>
    <w:rsid w:val="004F598F"/>
    <w:rsid w:val="004F5EEB"/>
    <w:rsid w:val="004F6210"/>
    <w:rsid w:val="004F6E41"/>
    <w:rsid w:val="005001D1"/>
    <w:rsid w:val="00500390"/>
    <w:rsid w:val="005005F5"/>
    <w:rsid w:val="005013D3"/>
    <w:rsid w:val="0050212C"/>
    <w:rsid w:val="005024BF"/>
    <w:rsid w:val="005038FF"/>
    <w:rsid w:val="00503B8C"/>
    <w:rsid w:val="00504AAC"/>
    <w:rsid w:val="0050633A"/>
    <w:rsid w:val="0051005E"/>
    <w:rsid w:val="00510160"/>
    <w:rsid w:val="0051020C"/>
    <w:rsid w:val="00511058"/>
    <w:rsid w:val="00511C4E"/>
    <w:rsid w:val="005121F8"/>
    <w:rsid w:val="005129EA"/>
    <w:rsid w:val="00513DD9"/>
    <w:rsid w:val="00514456"/>
    <w:rsid w:val="00514A7E"/>
    <w:rsid w:val="005153D2"/>
    <w:rsid w:val="005155EA"/>
    <w:rsid w:val="005168C9"/>
    <w:rsid w:val="00517390"/>
    <w:rsid w:val="0052026A"/>
    <w:rsid w:val="00521377"/>
    <w:rsid w:val="00521736"/>
    <w:rsid w:val="00521F20"/>
    <w:rsid w:val="0052264C"/>
    <w:rsid w:val="0052281C"/>
    <w:rsid w:val="00522BD7"/>
    <w:rsid w:val="00522BF7"/>
    <w:rsid w:val="00523061"/>
    <w:rsid w:val="0052356C"/>
    <w:rsid w:val="005235E9"/>
    <w:rsid w:val="00524AEB"/>
    <w:rsid w:val="00525CCC"/>
    <w:rsid w:val="00525F3F"/>
    <w:rsid w:val="0052742A"/>
    <w:rsid w:val="005278A6"/>
    <w:rsid w:val="00527DAB"/>
    <w:rsid w:val="005303D8"/>
    <w:rsid w:val="005308E7"/>
    <w:rsid w:val="0053093B"/>
    <w:rsid w:val="005312A2"/>
    <w:rsid w:val="00531C0C"/>
    <w:rsid w:val="00531DFC"/>
    <w:rsid w:val="00531F8E"/>
    <w:rsid w:val="005323C9"/>
    <w:rsid w:val="00532447"/>
    <w:rsid w:val="00532C84"/>
    <w:rsid w:val="005336AB"/>
    <w:rsid w:val="00533876"/>
    <w:rsid w:val="005347FE"/>
    <w:rsid w:val="00534A26"/>
    <w:rsid w:val="00534A78"/>
    <w:rsid w:val="00534E28"/>
    <w:rsid w:val="00535852"/>
    <w:rsid w:val="00535B30"/>
    <w:rsid w:val="00535BCA"/>
    <w:rsid w:val="00535FCE"/>
    <w:rsid w:val="00536537"/>
    <w:rsid w:val="00540840"/>
    <w:rsid w:val="0054163D"/>
    <w:rsid w:val="00542123"/>
    <w:rsid w:val="00542270"/>
    <w:rsid w:val="00544690"/>
    <w:rsid w:val="005463C2"/>
    <w:rsid w:val="0054799C"/>
    <w:rsid w:val="0055021E"/>
    <w:rsid w:val="0055024F"/>
    <w:rsid w:val="005508AB"/>
    <w:rsid w:val="00550C02"/>
    <w:rsid w:val="00551CEF"/>
    <w:rsid w:val="00552E03"/>
    <w:rsid w:val="0055417A"/>
    <w:rsid w:val="00554566"/>
    <w:rsid w:val="00554763"/>
    <w:rsid w:val="00554A5F"/>
    <w:rsid w:val="005563D1"/>
    <w:rsid w:val="005568BA"/>
    <w:rsid w:val="005569C3"/>
    <w:rsid w:val="0055775B"/>
    <w:rsid w:val="00557AB4"/>
    <w:rsid w:val="00557AC9"/>
    <w:rsid w:val="005604F5"/>
    <w:rsid w:val="00561143"/>
    <w:rsid w:val="00562824"/>
    <w:rsid w:val="005642B2"/>
    <w:rsid w:val="00564C3E"/>
    <w:rsid w:val="0056546E"/>
    <w:rsid w:val="00565A36"/>
    <w:rsid w:val="00565B76"/>
    <w:rsid w:val="00566597"/>
    <w:rsid w:val="0056674B"/>
    <w:rsid w:val="005667FC"/>
    <w:rsid w:val="00566D6C"/>
    <w:rsid w:val="00566F86"/>
    <w:rsid w:val="005679C6"/>
    <w:rsid w:val="00570234"/>
    <w:rsid w:val="00570691"/>
    <w:rsid w:val="00570AE5"/>
    <w:rsid w:val="00571BAA"/>
    <w:rsid w:val="0057279F"/>
    <w:rsid w:val="005731C6"/>
    <w:rsid w:val="00573307"/>
    <w:rsid w:val="00574EF2"/>
    <w:rsid w:val="0057539A"/>
    <w:rsid w:val="00575737"/>
    <w:rsid w:val="005762BA"/>
    <w:rsid w:val="005772C3"/>
    <w:rsid w:val="00577ABE"/>
    <w:rsid w:val="00580821"/>
    <w:rsid w:val="00581FD3"/>
    <w:rsid w:val="0058206C"/>
    <w:rsid w:val="0058218A"/>
    <w:rsid w:val="00582882"/>
    <w:rsid w:val="00582FCE"/>
    <w:rsid w:val="0058315B"/>
    <w:rsid w:val="00583D7E"/>
    <w:rsid w:val="00584110"/>
    <w:rsid w:val="005842BC"/>
    <w:rsid w:val="0058439B"/>
    <w:rsid w:val="005852C3"/>
    <w:rsid w:val="00585B79"/>
    <w:rsid w:val="00585FD7"/>
    <w:rsid w:val="005861EC"/>
    <w:rsid w:val="005863B3"/>
    <w:rsid w:val="00586784"/>
    <w:rsid w:val="00586A2A"/>
    <w:rsid w:val="00587590"/>
    <w:rsid w:val="00587AAE"/>
    <w:rsid w:val="00591355"/>
    <w:rsid w:val="0059136A"/>
    <w:rsid w:val="005914AF"/>
    <w:rsid w:val="00591BE2"/>
    <w:rsid w:val="0059203B"/>
    <w:rsid w:val="005923FE"/>
    <w:rsid w:val="00592EA3"/>
    <w:rsid w:val="005931EF"/>
    <w:rsid w:val="005936FA"/>
    <w:rsid w:val="005937A9"/>
    <w:rsid w:val="005937D5"/>
    <w:rsid w:val="00593C74"/>
    <w:rsid w:val="00594515"/>
    <w:rsid w:val="005951F2"/>
    <w:rsid w:val="00596490"/>
    <w:rsid w:val="0059695B"/>
    <w:rsid w:val="00597328"/>
    <w:rsid w:val="00597622"/>
    <w:rsid w:val="005979F1"/>
    <w:rsid w:val="00597F6C"/>
    <w:rsid w:val="005A08F1"/>
    <w:rsid w:val="005A11AE"/>
    <w:rsid w:val="005A1937"/>
    <w:rsid w:val="005A2F62"/>
    <w:rsid w:val="005A32D6"/>
    <w:rsid w:val="005A3E02"/>
    <w:rsid w:val="005A3FCA"/>
    <w:rsid w:val="005A45EE"/>
    <w:rsid w:val="005A4A7A"/>
    <w:rsid w:val="005A63B2"/>
    <w:rsid w:val="005A71CB"/>
    <w:rsid w:val="005B061C"/>
    <w:rsid w:val="005B1D8F"/>
    <w:rsid w:val="005B210C"/>
    <w:rsid w:val="005B2967"/>
    <w:rsid w:val="005B2DA7"/>
    <w:rsid w:val="005B2FC4"/>
    <w:rsid w:val="005B34AC"/>
    <w:rsid w:val="005B37DF"/>
    <w:rsid w:val="005B3A08"/>
    <w:rsid w:val="005B40AF"/>
    <w:rsid w:val="005B4F5B"/>
    <w:rsid w:val="005B569E"/>
    <w:rsid w:val="005B5F1F"/>
    <w:rsid w:val="005B6D32"/>
    <w:rsid w:val="005B6E37"/>
    <w:rsid w:val="005B6FD6"/>
    <w:rsid w:val="005B7715"/>
    <w:rsid w:val="005B7731"/>
    <w:rsid w:val="005B7A57"/>
    <w:rsid w:val="005B7EC5"/>
    <w:rsid w:val="005C01DA"/>
    <w:rsid w:val="005C078A"/>
    <w:rsid w:val="005C0BEE"/>
    <w:rsid w:val="005C0D81"/>
    <w:rsid w:val="005C24F0"/>
    <w:rsid w:val="005C2D04"/>
    <w:rsid w:val="005C4310"/>
    <w:rsid w:val="005C628C"/>
    <w:rsid w:val="005C64C8"/>
    <w:rsid w:val="005D099F"/>
    <w:rsid w:val="005D0D9B"/>
    <w:rsid w:val="005D0E1C"/>
    <w:rsid w:val="005D0FEF"/>
    <w:rsid w:val="005D1F06"/>
    <w:rsid w:val="005D2722"/>
    <w:rsid w:val="005D3A00"/>
    <w:rsid w:val="005D4585"/>
    <w:rsid w:val="005D478F"/>
    <w:rsid w:val="005D47CE"/>
    <w:rsid w:val="005D4830"/>
    <w:rsid w:val="005D611F"/>
    <w:rsid w:val="005D618D"/>
    <w:rsid w:val="005D63B9"/>
    <w:rsid w:val="005D6A37"/>
    <w:rsid w:val="005D6A53"/>
    <w:rsid w:val="005D6E33"/>
    <w:rsid w:val="005D73DA"/>
    <w:rsid w:val="005D74F6"/>
    <w:rsid w:val="005D757E"/>
    <w:rsid w:val="005D7C53"/>
    <w:rsid w:val="005E016F"/>
    <w:rsid w:val="005E09B7"/>
    <w:rsid w:val="005E0AD1"/>
    <w:rsid w:val="005E10E2"/>
    <w:rsid w:val="005E1423"/>
    <w:rsid w:val="005E19BE"/>
    <w:rsid w:val="005E1DA1"/>
    <w:rsid w:val="005E20D2"/>
    <w:rsid w:val="005E235F"/>
    <w:rsid w:val="005E249E"/>
    <w:rsid w:val="005E2BF0"/>
    <w:rsid w:val="005E2C95"/>
    <w:rsid w:val="005E3619"/>
    <w:rsid w:val="005E361F"/>
    <w:rsid w:val="005E3A0F"/>
    <w:rsid w:val="005E3C90"/>
    <w:rsid w:val="005E3EA5"/>
    <w:rsid w:val="005E42EB"/>
    <w:rsid w:val="005E4E24"/>
    <w:rsid w:val="005E5D41"/>
    <w:rsid w:val="005E7C25"/>
    <w:rsid w:val="005E7D4C"/>
    <w:rsid w:val="005F07A6"/>
    <w:rsid w:val="005F0845"/>
    <w:rsid w:val="005F0F60"/>
    <w:rsid w:val="005F1419"/>
    <w:rsid w:val="005F154C"/>
    <w:rsid w:val="005F24BC"/>
    <w:rsid w:val="005F2D8D"/>
    <w:rsid w:val="005F37BF"/>
    <w:rsid w:val="005F43E5"/>
    <w:rsid w:val="005F4BFB"/>
    <w:rsid w:val="005F5B38"/>
    <w:rsid w:val="005F5B6C"/>
    <w:rsid w:val="005F5F65"/>
    <w:rsid w:val="005F6EB6"/>
    <w:rsid w:val="005F7C7D"/>
    <w:rsid w:val="0060141E"/>
    <w:rsid w:val="00601859"/>
    <w:rsid w:val="00601B32"/>
    <w:rsid w:val="00602153"/>
    <w:rsid w:val="0060268D"/>
    <w:rsid w:val="0060274A"/>
    <w:rsid w:val="0060301A"/>
    <w:rsid w:val="0060339D"/>
    <w:rsid w:val="006033EB"/>
    <w:rsid w:val="00603F84"/>
    <w:rsid w:val="00604124"/>
    <w:rsid w:val="0060481F"/>
    <w:rsid w:val="00604B08"/>
    <w:rsid w:val="00604DC8"/>
    <w:rsid w:val="006054C4"/>
    <w:rsid w:val="0060555F"/>
    <w:rsid w:val="00605E37"/>
    <w:rsid w:val="00605F23"/>
    <w:rsid w:val="006075AD"/>
    <w:rsid w:val="0060790C"/>
    <w:rsid w:val="00610006"/>
    <w:rsid w:val="006107E3"/>
    <w:rsid w:val="00610C97"/>
    <w:rsid w:val="00610CFE"/>
    <w:rsid w:val="006118F7"/>
    <w:rsid w:val="006129A3"/>
    <w:rsid w:val="00613CEE"/>
    <w:rsid w:val="00614F85"/>
    <w:rsid w:val="00615452"/>
    <w:rsid w:val="006161C4"/>
    <w:rsid w:val="00616491"/>
    <w:rsid w:val="0061680B"/>
    <w:rsid w:val="006179A8"/>
    <w:rsid w:val="00617B70"/>
    <w:rsid w:val="00620161"/>
    <w:rsid w:val="00620773"/>
    <w:rsid w:val="006209FF"/>
    <w:rsid w:val="00621210"/>
    <w:rsid w:val="0062133C"/>
    <w:rsid w:val="00622051"/>
    <w:rsid w:val="00623A48"/>
    <w:rsid w:val="00624518"/>
    <w:rsid w:val="006253F2"/>
    <w:rsid w:val="0062555A"/>
    <w:rsid w:val="00625670"/>
    <w:rsid w:val="006260A5"/>
    <w:rsid w:val="006264A2"/>
    <w:rsid w:val="00626654"/>
    <w:rsid w:val="00626963"/>
    <w:rsid w:val="00626B65"/>
    <w:rsid w:val="0062749D"/>
    <w:rsid w:val="00627BB8"/>
    <w:rsid w:val="00630E0E"/>
    <w:rsid w:val="00632E6B"/>
    <w:rsid w:val="00633423"/>
    <w:rsid w:val="006334B7"/>
    <w:rsid w:val="00633B87"/>
    <w:rsid w:val="006344AE"/>
    <w:rsid w:val="006345C1"/>
    <w:rsid w:val="00634917"/>
    <w:rsid w:val="00634F0A"/>
    <w:rsid w:val="00635070"/>
    <w:rsid w:val="0063547F"/>
    <w:rsid w:val="00635800"/>
    <w:rsid w:val="00635C9B"/>
    <w:rsid w:val="00635EB5"/>
    <w:rsid w:val="006366AC"/>
    <w:rsid w:val="00637619"/>
    <w:rsid w:val="00637CAF"/>
    <w:rsid w:val="00640039"/>
    <w:rsid w:val="00640162"/>
    <w:rsid w:val="006411B1"/>
    <w:rsid w:val="006412CE"/>
    <w:rsid w:val="00642158"/>
    <w:rsid w:val="00642494"/>
    <w:rsid w:val="00642B5F"/>
    <w:rsid w:val="00645446"/>
    <w:rsid w:val="00647AA6"/>
    <w:rsid w:val="00650B1D"/>
    <w:rsid w:val="00650E1F"/>
    <w:rsid w:val="00651A76"/>
    <w:rsid w:val="00652D66"/>
    <w:rsid w:val="00652F33"/>
    <w:rsid w:val="00653196"/>
    <w:rsid w:val="006541D6"/>
    <w:rsid w:val="00654DBB"/>
    <w:rsid w:val="00655528"/>
    <w:rsid w:val="00655BF8"/>
    <w:rsid w:val="00656012"/>
    <w:rsid w:val="006562AB"/>
    <w:rsid w:val="0065644E"/>
    <w:rsid w:val="00656632"/>
    <w:rsid w:val="00656ECF"/>
    <w:rsid w:val="006579BD"/>
    <w:rsid w:val="00657C74"/>
    <w:rsid w:val="00657E15"/>
    <w:rsid w:val="00660B28"/>
    <w:rsid w:val="00661139"/>
    <w:rsid w:val="00661DC2"/>
    <w:rsid w:val="00661FA5"/>
    <w:rsid w:val="00662355"/>
    <w:rsid w:val="006625FC"/>
    <w:rsid w:val="006626BB"/>
    <w:rsid w:val="00663FAB"/>
    <w:rsid w:val="006640A9"/>
    <w:rsid w:val="00664353"/>
    <w:rsid w:val="00664C40"/>
    <w:rsid w:val="00664FE6"/>
    <w:rsid w:val="006650F5"/>
    <w:rsid w:val="00665DD4"/>
    <w:rsid w:val="0066645F"/>
    <w:rsid w:val="00666F3F"/>
    <w:rsid w:val="00667AB1"/>
    <w:rsid w:val="0067075E"/>
    <w:rsid w:val="00670930"/>
    <w:rsid w:val="00670DC2"/>
    <w:rsid w:val="00671801"/>
    <w:rsid w:val="006719F9"/>
    <w:rsid w:val="006726AF"/>
    <w:rsid w:val="006735C9"/>
    <w:rsid w:val="00673659"/>
    <w:rsid w:val="00674038"/>
    <w:rsid w:val="006750D0"/>
    <w:rsid w:val="00675178"/>
    <w:rsid w:val="00675D61"/>
    <w:rsid w:val="0067684A"/>
    <w:rsid w:val="00677FC4"/>
    <w:rsid w:val="006804AE"/>
    <w:rsid w:val="0068059F"/>
    <w:rsid w:val="00680A62"/>
    <w:rsid w:val="00681E8A"/>
    <w:rsid w:val="006820C8"/>
    <w:rsid w:val="00682531"/>
    <w:rsid w:val="0068270D"/>
    <w:rsid w:val="006830BB"/>
    <w:rsid w:val="00683EEB"/>
    <w:rsid w:val="00684290"/>
    <w:rsid w:val="006850A6"/>
    <w:rsid w:val="006854BA"/>
    <w:rsid w:val="00685B0C"/>
    <w:rsid w:val="006866A6"/>
    <w:rsid w:val="00686C38"/>
    <w:rsid w:val="00686FFC"/>
    <w:rsid w:val="0068717F"/>
    <w:rsid w:val="0068733F"/>
    <w:rsid w:val="006900A8"/>
    <w:rsid w:val="00690BF8"/>
    <w:rsid w:val="00690E4E"/>
    <w:rsid w:val="00690E4F"/>
    <w:rsid w:val="00692908"/>
    <w:rsid w:val="0069342C"/>
    <w:rsid w:val="00693C54"/>
    <w:rsid w:val="00694061"/>
    <w:rsid w:val="00694CD2"/>
    <w:rsid w:val="00694D7E"/>
    <w:rsid w:val="00695458"/>
    <w:rsid w:val="00695506"/>
    <w:rsid w:val="006957E1"/>
    <w:rsid w:val="00695812"/>
    <w:rsid w:val="00696667"/>
    <w:rsid w:val="00696B21"/>
    <w:rsid w:val="00696D43"/>
    <w:rsid w:val="00696DEF"/>
    <w:rsid w:val="00697E2F"/>
    <w:rsid w:val="00697F78"/>
    <w:rsid w:val="006A02FB"/>
    <w:rsid w:val="006A030F"/>
    <w:rsid w:val="006A0AF1"/>
    <w:rsid w:val="006A0E16"/>
    <w:rsid w:val="006A13FB"/>
    <w:rsid w:val="006A2164"/>
    <w:rsid w:val="006A2808"/>
    <w:rsid w:val="006A2809"/>
    <w:rsid w:val="006A31ED"/>
    <w:rsid w:val="006A4F46"/>
    <w:rsid w:val="006A6071"/>
    <w:rsid w:val="006A67D2"/>
    <w:rsid w:val="006A6A4F"/>
    <w:rsid w:val="006A6E4A"/>
    <w:rsid w:val="006A7388"/>
    <w:rsid w:val="006A74A0"/>
    <w:rsid w:val="006A79D8"/>
    <w:rsid w:val="006A7E4B"/>
    <w:rsid w:val="006B0074"/>
    <w:rsid w:val="006B3085"/>
    <w:rsid w:val="006B31C9"/>
    <w:rsid w:val="006B37DB"/>
    <w:rsid w:val="006B41E0"/>
    <w:rsid w:val="006B4ADF"/>
    <w:rsid w:val="006B4DAF"/>
    <w:rsid w:val="006B50C6"/>
    <w:rsid w:val="006B63D8"/>
    <w:rsid w:val="006B65E8"/>
    <w:rsid w:val="006B7574"/>
    <w:rsid w:val="006C06CF"/>
    <w:rsid w:val="006C1218"/>
    <w:rsid w:val="006C1537"/>
    <w:rsid w:val="006C2026"/>
    <w:rsid w:val="006C2557"/>
    <w:rsid w:val="006C2C5C"/>
    <w:rsid w:val="006C3008"/>
    <w:rsid w:val="006C3545"/>
    <w:rsid w:val="006C45A1"/>
    <w:rsid w:val="006C4648"/>
    <w:rsid w:val="006C49C5"/>
    <w:rsid w:val="006C5B87"/>
    <w:rsid w:val="006C64AF"/>
    <w:rsid w:val="006C67DD"/>
    <w:rsid w:val="006C6E90"/>
    <w:rsid w:val="006C7059"/>
    <w:rsid w:val="006C7644"/>
    <w:rsid w:val="006C7862"/>
    <w:rsid w:val="006C791C"/>
    <w:rsid w:val="006C7F90"/>
    <w:rsid w:val="006D02E2"/>
    <w:rsid w:val="006D04FA"/>
    <w:rsid w:val="006D1974"/>
    <w:rsid w:val="006D1B88"/>
    <w:rsid w:val="006D28FE"/>
    <w:rsid w:val="006D2D1F"/>
    <w:rsid w:val="006D3A76"/>
    <w:rsid w:val="006D3FFE"/>
    <w:rsid w:val="006D4120"/>
    <w:rsid w:val="006D4691"/>
    <w:rsid w:val="006D4983"/>
    <w:rsid w:val="006D4DAE"/>
    <w:rsid w:val="006D4F08"/>
    <w:rsid w:val="006D5513"/>
    <w:rsid w:val="006D5B9D"/>
    <w:rsid w:val="006D62EB"/>
    <w:rsid w:val="006D690B"/>
    <w:rsid w:val="006D6B1D"/>
    <w:rsid w:val="006D6E2D"/>
    <w:rsid w:val="006D7436"/>
    <w:rsid w:val="006E015B"/>
    <w:rsid w:val="006E430A"/>
    <w:rsid w:val="006E4840"/>
    <w:rsid w:val="006E5BBC"/>
    <w:rsid w:val="006E6381"/>
    <w:rsid w:val="006E654C"/>
    <w:rsid w:val="006E6F04"/>
    <w:rsid w:val="006E768A"/>
    <w:rsid w:val="006F0B09"/>
    <w:rsid w:val="006F1A1C"/>
    <w:rsid w:val="006F1A25"/>
    <w:rsid w:val="006F2C55"/>
    <w:rsid w:val="006F36B5"/>
    <w:rsid w:val="006F3A9B"/>
    <w:rsid w:val="006F4210"/>
    <w:rsid w:val="006F4275"/>
    <w:rsid w:val="006F4B80"/>
    <w:rsid w:val="006F5415"/>
    <w:rsid w:val="006F5816"/>
    <w:rsid w:val="006F6C94"/>
    <w:rsid w:val="006F6FBA"/>
    <w:rsid w:val="006F71E3"/>
    <w:rsid w:val="006F7499"/>
    <w:rsid w:val="006F7B0F"/>
    <w:rsid w:val="006F7B34"/>
    <w:rsid w:val="0070009A"/>
    <w:rsid w:val="0070080B"/>
    <w:rsid w:val="00701F55"/>
    <w:rsid w:val="00702938"/>
    <w:rsid w:val="00702A69"/>
    <w:rsid w:val="00702C6E"/>
    <w:rsid w:val="007030C9"/>
    <w:rsid w:val="007049A7"/>
    <w:rsid w:val="00704C5F"/>
    <w:rsid w:val="00704EEF"/>
    <w:rsid w:val="00705295"/>
    <w:rsid w:val="0070585A"/>
    <w:rsid w:val="0070659B"/>
    <w:rsid w:val="007065C1"/>
    <w:rsid w:val="0070669E"/>
    <w:rsid w:val="00706867"/>
    <w:rsid w:val="00711038"/>
    <w:rsid w:val="00711C95"/>
    <w:rsid w:val="00712048"/>
    <w:rsid w:val="00712862"/>
    <w:rsid w:val="00713A6D"/>
    <w:rsid w:val="00713E91"/>
    <w:rsid w:val="0071420D"/>
    <w:rsid w:val="007142CF"/>
    <w:rsid w:val="0071438E"/>
    <w:rsid w:val="007148B8"/>
    <w:rsid w:val="00714D07"/>
    <w:rsid w:val="007201FA"/>
    <w:rsid w:val="00720485"/>
    <w:rsid w:val="007208D1"/>
    <w:rsid w:val="00721AF3"/>
    <w:rsid w:val="00721BF9"/>
    <w:rsid w:val="00721C0B"/>
    <w:rsid w:val="00721C49"/>
    <w:rsid w:val="00722530"/>
    <w:rsid w:val="00722AF9"/>
    <w:rsid w:val="00722BD7"/>
    <w:rsid w:val="00722FAE"/>
    <w:rsid w:val="00723B54"/>
    <w:rsid w:val="00725A77"/>
    <w:rsid w:val="00726256"/>
    <w:rsid w:val="00726613"/>
    <w:rsid w:val="00726BB4"/>
    <w:rsid w:val="00726C77"/>
    <w:rsid w:val="00726D78"/>
    <w:rsid w:val="007273B2"/>
    <w:rsid w:val="007274DA"/>
    <w:rsid w:val="00727AB4"/>
    <w:rsid w:val="007300EE"/>
    <w:rsid w:val="007312B2"/>
    <w:rsid w:val="00731780"/>
    <w:rsid w:val="007318BC"/>
    <w:rsid w:val="00732E71"/>
    <w:rsid w:val="00733314"/>
    <w:rsid w:val="00733638"/>
    <w:rsid w:val="00733765"/>
    <w:rsid w:val="00733EBD"/>
    <w:rsid w:val="00735316"/>
    <w:rsid w:val="00737549"/>
    <w:rsid w:val="007377AE"/>
    <w:rsid w:val="00737862"/>
    <w:rsid w:val="00737AB2"/>
    <w:rsid w:val="00740092"/>
    <w:rsid w:val="0074086E"/>
    <w:rsid w:val="00740BBD"/>
    <w:rsid w:val="00740EE2"/>
    <w:rsid w:val="00741242"/>
    <w:rsid w:val="007412B3"/>
    <w:rsid w:val="00741EDF"/>
    <w:rsid w:val="007425C7"/>
    <w:rsid w:val="00742866"/>
    <w:rsid w:val="0074298F"/>
    <w:rsid w:val="00742A37"/>
    <w:rsid w:val="00743F36"/>
    <w:rsid w:val="00745E1B"/>
    <w:rsid w:val="007461E0"/>
    <w:rsid w:val="00746BF5"/>
    <w:rsid w:val="00747B97"/>
    <w:rsid w:val="007504E3"/>
    <w:rsid w:val="0075119A"/>
    <w:rsid w:val="00752754"/>
    <w:rsid w:val="007529E2"/>
    <w:rsid w:val="007530D7"/>
    <w:rsid w:val="00753119"/>
    <w:rsid w:val="00753A78"/>
    <w:rsid w:val="00753BD2"/>
    <w:rsid w:val="00754350"/>
    <w:rsid w:val="007545E2"/>
    <w:rsid w:val="00754739"/>
    <w:rsid w:val="00754831"/>
    <w:rsid w:val="00755047"/>
    <w:rsid w:val="00755A85"/>
    <w:rsid w:val="00755E74"/>
    <w:rsid w:val="00755F2D"/>
    <w:rsid w:val="00756A2F"/>
    <w:rsid w:val="0075780F"/>
    <w:rsid w:val="007579C7"/>
    <w:rsid w:val="00760F96"/>
    <w:rsid w:val="007611C0"/>
    <w:rsid w:val="0076166C"/>
    <w:rsid w:val="0076168F"/>
    <w:rsid w:val="0076299B"/>
    <w:rsid w:val="00762BB9"/>
    <w:rsid w:val="00763753"/>
    <w:rsid w:val="00764195"/>
    <w:rsid w:val="00764A5E"/>
    <w:rsid w:val="00764A77"/>
    <w:rsid w:val="00764DC8"/>
    <w:rsid w:val="007650FF"/>
    <w:rsid w:val="007651EF"/>
    <w:rsid w:val="00765861"/>
    <w:rsid w:val="007666EB"/>
    <w:rsid w:val="007674B4"/>
    <w:rsid w:val="0076753F"/>
    <w:rsid w:val="007677B1"/>
    <w:rsid w:val="00767EDF"/>
    <w:rsid w:val="00770A4C"/>
    <w:rsid w:val="00771E9D"/>
    <w:rsid w:val="00772232"/>
    <w:rsid w:val="00773226"/>
    <w:rsid w:val="007734F5"/>
    <w:rsid w:val="007736B4"/>
    <w:rsid w:val="00773702"/>
    <w:rsid w:val="00774437"/>
    <w:rsid w:val="0077520E"/>
    <w:rsid w:val="00775751"/>
    <w:rsid w:val="007758E3"/>
    <w:rsid w:val="00775A3B"/>
    <w:rsid w:val="0077677E"/>
    <w:rsid w:val="00777ABA"/>
    <w:rsid w:val="00780473"/>
    <w:rsid w:val="00780965"/>
    <w:rsid w:val="00781007"/>
    <w:rsid w:val="007815B4"/>
    <w:rsid w:val="00781AC1"/>
    <w:rsid w:val="00781BD7"/>
    <w:rsid w:val="007846C9"/>
    <w:rsid w:val="00784861"/>
    <w:rsid w:val="00785749"/>
    <w:rsid w:val="007857DA"/>
    <w:rsid w:val="00785B2F"/>
    <w:rsid w:val="00785F88"/>
    <w:rsid w:val="00787147"/>
    <w:rsid w:val="007905C1"/>
    <w:rsid w:val="0079069B"/>
    <w:rsid w:val="00791E06"/>
    <w:rsid w:val="0079263E"/>
    <w:rsid w:val="00792B43"/>
    <w:rsid w:val="00792B45"/>
    <w:rsid w:val="00793C3E"/>
    <w:rsid w:val="007948EE"/>
    <w:rsid w:val="00794B1E"/>
    <w:rsid w:val="00794FBE"/>
    <w:rsid w:val="00795329"/>
    <w:rsid w:val="00796372"/>
    <w:rsid w:val="00796617"/>
    <w:rsid w:val="007971D3"/>
    <w:rsid w:val="00797F90"/>
    <w:rsid w:val="007A0A56"/>
    <w:rsid w:val="007A12CD"/>
    <w:rsid w:val="007A15FD"/>
    <w:rsid w:val="007A1F8F"/>
    <w:rsid w:val="007A283D"/>
    <w:rsid w:val="007A301B"/>
    <w:rsid w:val="007A35C1"/>
    <w:rsid w:val="007A37A0"/>
    <w:rsid w:val="007A5143"/>
    <w:rsid w:val="007A518E"/>
    <w:rsid w:val="007A5AF0"/>
    <w:rsid w:val="007A5DFB"/>
    <w:rsid w:val="007A6D49"/>
    <w:rsid w:val="007A6F1A"/>
    <w:rsid w:val="007A7183"/>
    <w:rsid w:val="007A7E66"/>
    <w:rsid w:val="007A7F29"/>
    <w:rsid w:val="007B0654"/>
    <w:rsid w:val="007B0AC9"/>
    <w:rsid w:val="007B0B15"/>
    <w:rsid w:val="007B0B1E"/>
    <w:rsid w:val="007B0B5A"/>
    <w:rsid w:val="007B13AC"/>
    <w:rsid w:val="007B27A2"/>
    <w:rsid w:val="007B2A9C"/>
    <w:rsid w:val="007B3141"/>
    <w:rsid w:val="007B3430"/>
    <w:rsid w:val="007B348E"/>
    <w:rsid w:val="007B420A"/>
    <w:rsid w:val="007B4D0E"/>
    <w:rsid w:val="007B5A46"/>
    <w:rsid w:val="007B605A"/>
    <w:rsid w:val="007B72A9"/>
    <w:rsid w:val="007B7738"/>
    <w:rsid w:val="007B77B4"/>
    <w:rsid w:val="007B7BB7"/>
    <w:rsid w:val="007B7F36"/>
    <w:rsid w:val="007C01C0"/>
    <w:rsid w:val="007C17BC"/>
    <w:rsid w:val="007C20C3"/>
    <w:rsid w:val="007C2502"/>
    <w:rsid w:val="007C2D4C"/>
    <w:rsid w:val="007C3854"/>
    <w:rsid w:val="007C4857"/>
    <w:rsid w:val="007C4FB4"/>
    <w:rsid w:val="007C57A7"/>
    <w:rsid w:val="007C68F1"/>
    <w:rsid w:val="007C6B27"/>
    <w:rsid w:val="007D05C6"/>
    <w:rsid w:val="007D05C7"/>
    <w:rsid w:val="007D12AD"/>
    <w:rsid w:val="007D1919"/>
    <w:rsid w:val="007D1B11"/>
    <w:rsid w:val="007D33CE"/>
    <w:rsid w:val="007D3A5E"/>
    <w:rsid w:val="007D51A1"/>
    <w:rsid w:val="007D51C7"/>
    <w:rsid w:val="007D573A"/>
    <w:rsid w:val="007D5835"/>
    <w:rsid w:val="007D616B"/>
    <w:rsid w:val="007D675C"/>
    <w:rsid w:val="007D6C94"/>
    <w:rsid w:val="007D7379"/>
    <w:rsid w:val="007D7D28"/>
    <w:rsid w:val="007E00AE"/>
    <w:rsid w:val="007E1444"/>
    <w:rsid w:val="007E145F"/>
    <w:rsid w:val="007E2D55"/>
    <w:rsid w:val="007E31B5"/>
    <w:rsid w:val="007E3222"/>
    <w:rsid w:val="007E327F"/>
    <w:rsid w:val="007E3417"/>
    <w:rsid w:val="007E46E2"/>
    <w:rsid w:val="007E5404"/>
    <w:rsid w:val="007E558E"/>
    <w:rsid w:val="007E5B3A"/>
    <w:rsid w:val="007E679B"/>
    <w:rsid w:val="007E6FF7"/>
    <w:rsid w:val="007E7667"/>
    <w:rsid w:val="007F0BC7"/>
    <w:rsid w:val="007F0F4D"/>
    <w:rsid w:val="007F1D76"/>
    <w:rsid w:val="007F2251"/>
    <w:rsid w:val="007F29C5"/>
    <w:rsid w:val="007F44F5"/>
    <w:rsid w:val="007F48CA"/>
    <w:rsid w:val="007F48F4"/>
    <w:rsid w:val="007F589D"/>
    <w:rsid w:val="007F61A1"/>
    <w:rsid w:val="007F678A"/>
    <w:rsid w:val="007F6801"/>
    <w:rsid w:val="007F6847"/>
    <w:rsid w:val="007F6FAD"/>
    <w:rsid w:val="007F7411"/>
    <w:rsid w:val="007F74B0"/>
    <w:rsid w:val="007F79C5"/>
    <w:rsid w:val="007F7D7A"/>
    <w:rsid w:val="008004AF"/>
    <w:rsid w:val="0080061F"/>
    <w:rsid w:val="00800E89"/>
    <w:rsid w:val="008011F8"/>
    <w:rsid w:val="00801FCC"/>
    <w:rsid w:val="00802254"/>
    <w:rsid w:val="00802955"/>
    <w:rsid w:val="008029DB"/>
    <w:rsid w:val="00802D3C"/>
    <w:rsid w:val="008030D8"/>
    <w:rsid w:val="00803F9E"/>
    <w:rsid w:val="008040C0"/>
    <w:rsid w:val="00805DAE"/>
    <w:rsid w:val="00806031"/>
    <w:rsid w:val="0080632D"/>
    <w:rsid w:val="00806D2F"/>
    <w:rsid w:val="00806F55"/>
    <w:rsid w:val="008079F3"/>
    <w:rsid w:val="00807BBD"/>
    <w:rsid w:val="008100CF"/>
    <w:rsid w:val="00810D34"/>
    <w:rsid w:val="00810E72"/>
    <w:rsid w:val="00811A70"/>
    <w:rsid w:val="008120DD"/>
    <w:rsid w:val="00813E20"/>
    <w:rsid w:val="00815181"/>
    <w:rsid w:val="00815556"/>
    <w:rsid w:val="0081572F"/>
    <w:rsid w:val="0081619B"/>
    <w:rsid w:val="008171C2"/>
    <w:rsid w:val="00820094"/>
    <w:rsid w:val="008209A7"/>
    <w:rsid w:val="00820A31"/>
    <w:rsid w:val="00820A4B"/>
    <w:rsid w:val="00821793"/>
    <w:rsid w:val="008217BD"/>
    <w:rsid w:val="0082187B"/>
    <w:rsid w:val="00823241"/>
    <w:rsid w:val="0082329C"/>
    <w:rsid w:val="00823A3E"/>
    <w:rsid w:val="0082467E"/>
    <w:rsid w:val="00824B2C"/>
    <w:rsid w:val="00824CA0"/>
    <w:rsid w:val="00824DA1"/>
    <w:rsid w:val="00824DCE"/>
    <w:rsid w:val="0082529B"/>
    <w:rsid w:val="00825772"/>
    <w:rsid w:val="0082611F"/>
    <w:rsid w:val="00826FED"/>
    <w:rsid w:val="00827334"/>
    <w:rsid w:val="00827543"/>
    <w:rsid w:val="0082768A"/>
    <w:rsid w:val="00827CA0"/>
    <w:rsid w:val="0083082B"/>
    <w:rsid w:val="00831E62"/>
    <w:rsid w:val="0083241C"/>
    <w:rsid w:val="0083271A"/>
    <w:rsid w:val="008327F7"/>
    <w:rsid w:val="00832A6D"/>
    <w:rsid w:val="00833293"/>
    <w:rsid w:val="00834893"/>
    <w:rsid w:val="008348F6"/>
    <w:rsid w:val="00834B01"/>
    <w:rsid w:val="00834E2E"/>
    <w:rsid w:val="00834FFF"/>
    <w:rsid w:val="00836085"/>
    <w:rsid w:val="008360CA"/>
    <w:rsid w:val="00836D2B"/>
    <w:rsid w:val="00836FE5"/>
    <w:rsid w:val="0083723B"/>
    <w:rsid w:val="00841352"/>
    <w:rsid w:val="008420F9"/>
    <w:rsid w:val="00842796"/>
    <w:rsid w:val="0084297D"/>
    <w:rsid w:val="00842B89"/>
    <w:rsid w:val="0084317E"/>
    <w:rsid w:val="00843784"/>
    <w:rsid w:val="008437BC"/>
    <w:rsid w:val="00843869"/>
    <w:rsid w:val="00845340"/>
    <w:rsid w:val="00845F9C"/>
    <w:rsid w:val="00846C11"/>
    <w:rsid w:val="00846F9E"/>
    <w:rsid w:val="0084770F"/>
    <w:rsid w:val="00847B4C"/>
    <w:rsid w:val="00847CB1"/>
    <w:rsid w:val="00850637"/>
    <w:rsid w:val="00851337"/>
    <w:rsid w:val="008518F4"/>
    <w:rsid w:val="008522FC"/>
    <w:rsid w:val="00852D9B"/>
    <w:rsid w:val="008539A0"/>
    <w:rsid w:val="00853CE0"/>
    <w:rsid w:val="00854D88"/>
    <w:rsid w:val="00855138"/>
    <w:rsid w:val="00855297"/>
    <w:rsid w:val="008559BB"/>
    <w:rsid w:val="00857382"/>
    <w:rsid w:val="0085764B"/>
    <w:rsid w:val="008576FA"/>
    <w:rsid w:val="00857BF3"/>
    <w:rsid w:val="00857C16"/>
    <w:rsid w:val="00857D97"/>
    <w:rsid w:val="00857FD9"/>
    <w:rsid w:val="0086054D"/>
    <w:rsid w:val="00860D7C"/>
    <w:rsid w:val="00861628"/>
    <w:rsid w:val="00861CE3"/>
    <w:rsid w:val="0086272C"/>
    <w:rsid w:val="00863ABD"/>
    <w:rsid w:val="0086408B"/>
    <w:rsid w:val="008640E9"/>
    <w:rsid w:val="00864908"/>
    <w:rsid w:val="008649B5"/>
    <w:rsid w:val="00864AA9"/>
    <w:rsid w:val="00864BC1"/>
    <w:rsid w:val="00865756"/>
    <w:rsid w:val="00866352"/>
    <w:rsid w:val="00866367"/>
    <w:rsid w:val="00866672"/>
    <w:rsid w:val="00866CF8"/>
    <w:rsid w:val="00867906"/>
    <w:rsid w:val="008708EB"/>
    <w:rsid w:val="00872785"/>
    <w:rsid w:val="008727EA"/>
    <w:rsid w:val="00872D53"/>
    <w:rsid w:val="0087394C"/>
    <w:rsid w:val="008739D5"/>
    <w:rsid w:val="00873BE6"/>
    <w:rsid w:val="008741A4"/>
    <w:rsid w:val="00874692"/>
    <w:rsid w:val="00874B05"/>
    <w:rsid w:val="00875A60"/>
    <w:rsid w:val="008764E0"/>
    <w:rsid w:val="0087652C"/>
    <w:rsid w:val="00876C74"/>
    <w:rsid w:val="008774A5"/>
    <w:rsid w:val="00877AE9"/>
    <w:rsid w:val="00881203"/>
    <w:rsid w:val="00881C20"/>
    <w:rsid w:val="008824C7"/>
    <w:rsid w:val="00882B35"/>
    <w:rsid w:val="0088338B"/>
    <w:rsid w:val="00883BAF"/>
    <w:rsid w:val="00884740"/>
    <w:rsid w:val="00884885"/>
    <w:rsid w:val="0088557E"/>
    <w:rsid w:val="00885891"/>
    <w:rsid w:val="00885937"/>
    <w:rsid w:val="00886600"/>
    <w:rsid w:val="00887F21"/>
    <w:rsid w:val="00890689"/>
    <w:rsid w:val="00890B5D"/>
    <w:rsid w:val="00890D34"/>
    <w:rsid w:val="00890E50"/>
    <w:rsid w:val="008910A9"/>
    <w:rsid w:val="00891142"/>
    <w:rsid w:val="00891997"/>
    <w:rsid w:val="00892F6B"/>
    <w:rsid w:val="00893531"/>
    <w:rsid w:val="00893CCB"/>
    <w:rsid w:val="0089453B"/>
    <w:rsid w:val="00895186"/>
    <w:rsid w:val="0089584A"/>
    <w:rsid w:val="00896F0A"/>
    <w:rsid w:val="00896FF4"/>
    <w:rsid w:val="00897629"/>
    <w:rsid w:val="008A00E6"/>
    <w:rsid w:val="008A2199"/>
    <w:rsid w:val="008A2807"/>
    <w:rsid w:val="008A363D"/>
    <w:rsid w:val="008A4073"/>
    <w:rsid w:val="008A49E3"/>
    <w:rsid w:val="008A59D5"/>
    <w:rsid w:val="008A6671"/>
    <w:rsid w:val="008A6BF8"/>
    <w:rsid w:val="008A6F0E"/>
    <w:rsid w:val="008A716D"/>
    <w:rsid w:val="008B07A7"/>
    <w:rsid w:val="008B0A10"/>
    <w:rsid w:val="008B0AD9"/>
    <w:rsid w:val="008B0FB7"/>
    <w:rsid w:val="008B1714"/>
    <w:rsid w:val="008B18CC"/>
    <w:rsid w:val="008B246F"/>
    <w:rsid w:val="008B2DA5"/>
    <w:rsid w:val="008B3619"/>
    <w:rsid w:val="008B3743"/>
    <w:rsid w:val="008B3817"/>
    <w:rsid w:val="008B4195"/>
    <w:rsid w:val="008B5068"/>
    <w:rsid w:val="008B582A"/>
    <w:rsid w:val="008B60A0"/>
    <w:rsid w:val="008B61B1"/>
    <w:rsid w:val="008B7213"/>
    <w:rsid w:val="008B792B"/>
    <w:rsid w:val="008B7C52"/>
    <w:rsid w:val="008B7C54"/>
    <w:rsid w:val="008B7EFE"/>
    <w:rsid w:val="008C10E9"/>
    <w:rsid w:val="008C2191"/>
    <w:rsid w:val="008C2469"/>
    <w:rsid w:val="008C253D"/>
    <w:rsid w:val="008C2F5F"/>
    <w:rsid w:val="008C306E"/>
    <w:rsid w:val="008C32E9"/>
    <w:rsid w:val="008C4A0F"/>
    <w:rsid w:val="008C5248"/>
    <w:rsid w:val="008C561C"/>
    <w:rsid w:val="008C59BE"/>
    <w:rsid w:val="008C6F7A"/>
    <w:rsid w:val="008C6FC0"/>
    <w:rsid w:val="008C7207"/>
    <w:rsid w:val="008C7AB3"/>
    <w:rsid w:val="008D0AA1"/>
    <w:rsid w:val="008D0ABA"/>
    <w:rsid w:val="008D0D66"/>
    <w:rsid w:val="008D1201"/>
    <w:rsid w:val="008D1959"/>
    <w:rsid w:val="008D31F0"/>
    <w:rsid w:val="008D335C"/>
    <w:rsid w:val="008D35E3"/>
    <w:rsid w:val="008D3E7F"/>
    <w:rsid w:val="008D401D"/>
    <w:rsid w:val="008D4022"/>
    <w:rsid w:val="008D4B66"/>
    <w:rsid w:val="008D535B"/>
    <w:rsid w:val="008D5390"/>
    <w:rsid w:val="008D565F"/>
    <w:rsid w:val="008D5BF9"/>
    <w:rsid w:val="008D6C87"/>
    <w:rsid w:val="008D6EC7"/>
    <w:rsid w:val="008D6F58"/>
    <w:rsid w:val="008D7106"/>
    <w:rsid w:val="008D7164"/>
    <w:rsid w:val="008D738E"/>
    <w:rsid w:val="008E030B"/>
    <w:rsid w:val="008E0C0E"/>
    <w:rsid w:val="008E1547"/>
    <w:rsid w:val="008E17AD"/>
    <w:rsid w:val="008E2200"/>
    <w:rsid w:val="008E2ABD"/>
    <w:rsid w:val="008E30DF"/>
    <w:rsid w:val="008E32D4"/>
    <w:rsid w:val="008E3708"/>
    <w:rsid w:val="008E439A"/>
    <w:rsid w:val="008E449A"/>
    <w:rsid w:val="008E5D35"/>
    <w:rsid w:val="008E5E22"/>
    <w:rsid w:val="008E5EEB"/>
    <w:rsid w:val="008E602C"/>
    <w:rsid w:val="008E6872"/>
    <w:rsid w:val="008E769C"/>
    <w:rsid w:val="008E7F94"/>
    <w:rsid w:val="008F03BF"/>
    <w:rsid w:val="008F05E1"/>
    <w:rsid w:val="008F07E3"/>
    <w:rsid w:val="008F2148"/>
    <w:rsid w:val="008F2193"/>
    <w:rsid w:val="008F26E9"/>
    <w:rsid w:val="008F2F98"/>
    <w:rsid w:val="008F2FC1"/>
    <w:rsid w:val="008F3015"/>
    <w:rsid w:val="008F3904"/>
    <w:rsid w:val="008F3E06"/>
    <w:rsid w:val="008F3E4C"/>
    <w:rsid w:val="008F4057"/>
    <w:rsid w:val="008F4D28"/>
    <w:rsid w:val="008F62A5"/>
    <w:rsid w:val="008F6571"/>
    <w:rsid w:val="008F6995"/>
    <w:rsid w:val="008F6A1C"/>
    <w:rsid w:val="008F71F3"/>
    <w:rsid w:val="008F7231"/>
    <w:rsid w:val="008F7813"/>
    <w:rsid w:val="008F78B5"/>
    <w:rsid w:val="008F7BDC"/>
    <w:rsid w:val="008F7D9B"/>
    <w:rsid w:val="00900CCC"/>
    <w:rsid w:val="0090129F"/>
    <w:rsid w:val="009017AF"/>
    <w:rsid w:val="00901BF0"/>
    <w:rsid w:val="00901D56"/>
    <w:rsid w:val="00902892"/>
    <w:rsid w:val="00902A52"/>
    <w:rsid w:val="00902E7A"/>
    <w:rsid w:val="00903898"/>
    <w:rsid w:val="00904175"/>
    <w:rsid w:val="00904311"/>
    <w:rsid w:val="009061B2"/>
    <w:rsid w:val="00906BC4"/>
    <w:rsid w:val="009078BA"/>
    <w:rsid w:val="00910252"/>
    <w:rsid w:val="00911731"/>
    <w:rsid w:val="0091210D"/>
    <w:rsid w:val="00912135"/>
    <w:rsid w:val="0091281D"/>
    <w:rsid w:val="00912A5D"/>
    <w:rsid w:val="00912CD8"/>
    <w:rsid w:val="00913194"/>
    <w:rsid w:val="009133DB"/>
    <w:rsid w:val="00913773"/>
    <w:rsid w:val="00913D28"/>
    <w:rsid w:val="00913E34"/>
    <w:rsid w:val="00913F37"/>
    <w:rsid w:val="00915012"/>
    <w:rsid w:val="0091557A"/>
    <w:rsid w:val="00915D87"/>
    <w:rsid w:val="0091619C"/>
    <w:rsid w:val="009161C8"/>
    <w:rsid w:val="009163F3"/>
    <w:rsid w:val="00916474"/>
    <w:rsid w:val="00916C6C"/>
    <w:rsid w:val="009206A0"/>
    <w:rsid w:val="00920AEA"/>
    <w:rsid w:val="00920E68"/>
    <w:rsid w:val="00920F99"/>
    <w:rsid w:val="0092187D"/>
    <w:rsid w:val="0092211D"/>
    <w:rsid w:val="00922120"/>
    <w:rsid w:val="009226EC"/>
    <w:rsid w:val="00923246"/>
    <w:rsid w:val="0092419E"/>
    <w:rsid w:val="00924449"/>
    <w:rsid w:val="0092465E"/>
    <w:rsid w:val="00924DC5"/>
    <w:rsid w:val="0092525F"/>
    <w:rsid w:val="009255D6"/>
    <w:rsid w:val="009258B8"/>
    <w:rsid w:val="00926A18"/>
    <w:rsid w:val="00930971"/>
    <w:rsid w:val="009313ED"/>
    <w:rsid w:val="0093251E"/>
    <w:rsid w:val="00933336"/>
    <w:rsid w:val="00933967"/>
    <w:rsid w:val="00934F07"/>
    <w:rsid w:val="00935112"/>
    <w:rsid w:val="009351ED"/>
    <w:rsid w:val="00935B1A"/>
    <w:rsid w:val="00936693"/>
    <w:rsid w:val="00937D8F"/>
    <w:rsid w:val="00940CF8"/>
    <w:rsid w:val="0094109C"/>
    <w:rsid w:val="009414DB"/>
    <w:rsid w:val="009414F4"/>
    <w:rsid w:val="00941B16"/>
    <w:rsid w:val="00942028"/>
    <w:rsid w:val="00942561"/>
    <w:rsid w:val="00942D70"/>
    <w:rsid w:val="0094322C"/>
    <w:rsid w:val="00943484"/>
    <w:rsid w:val="00943916"/>
    <w:rsid w:val="00943FCD"/>
    <w:rsid w:val="009449A2"/>
    <w:rsid w:val="00944DAD"/>
    <w:rsid w:val="00945597"/>
    <w:rsid w:val="009455B2"/>
    <w:rsid w:val="00945897"/>
    <w:rsid w:val="009459A2"/>
    <w:rsid w:val="00945D85"/>
    <w:rsid w:val="0094674D"/>
    <w:rsid w:val="00946A9E"/>
    <w:rsid w:val="009471FD"/>
    <w:rsid w:val="00947886"/>
    <w:rsid w:val="009506FB"/>
    <w:rsid w:val="00950BDD"/>
    <w:rsid w:val="00951122"/>
    <w:rsid w:val="00951739"/>
    <w:rsid w:val="00953197"/>
    <w:rsid w:val="00954C17"/>
    <w:rsid w:val="00954DFE"/>
    <w:rsid w:val="009552D3"/>
    <w:rsid w:val="009564DF"/>
    <w:rsid w:val="00956D66"/>
    <w:rsid w:val="00956F3D"/>
    <w:rsid w:val="009570E5"/>
    <w:rsid w:val="0095720B"/>
    <w:rsid w:val="00957412"/>
    <w:rsid w:val="00960286"/>
    <w:rsid w:val="009605FB"/>
    <w:rsid w:val="00960803"/>
    <w:rsid w:val="009608C7"/>
    <w:rsid w:val="00960A93"/>
    <w:rsid w:val="00961672"/>
    <w:rsid w:val="00961AEB"/>
    <w:rsid w:val="0096237B"/>
    <w:rsid w:val="009624B4"/>
    <w:rsid w:val="0096260A"/>
    <w:rsid w:val="00964480"/>
    <w:rsid w:val="009644FA"/>
    <w:rsid w:val="00964ACD"/>
    <w:rsid w:val="0096551C"/>
    <w:rsid w:val="00965910"/>
    <w:rsid w:val="00965D30"/>
    <w:rsid w:val="00966799"/>
    <w:rsid w:val="009672DB"/>
    <w:rsid w:val="00967434"/>
    <w:rsid w:val="00970E08"/>
    <w:rsid w:val="00971220"/>
    <w:rsid w:val="00971DE6"/>
    <w:rsid w:val="00972E25"/>
    <w:rsid w:val="009734F6"/>
    <w:rsid w:val="00973C14"/>
    <w:rsid w:val="00973DC7"/>
    <w:rsid w:val="00974823"/>
    <w:rsid w:val="00975A77"/>
    <w:rsid w:val="00976DEA"/>
    <w:rsid w:val="00977CD9"/>
    <w:rsid w:val="00980E55"/>
    <w:rsid w:val="009810E3"/>
    <w:rsid w:val="00981728"/>
    <w:rsid w:val="00981F41"/>
    <w:rsid w:val="0098351E"/>
    <w:rsid w:val="00983603"/>
    <w:rsid w:val="00983959"/>
    <w:rsid w:val="0098442D"/>
    <w:rsid w:val="00984AA6"/>
    <w:rsid w:val="00985B32"/>
    <w:rsid w:val="00985BB0"/>
    <w:rsid w:val="00985FC3"/>
    <w:rsid w:val="0098633E"/>
    <w:rsid w:val="0098640F"/>
    <w:rsid w:val="00986462"/>
    <w:rsid w:val="00986537"/>
    <w:rsid w:val="00986816"/>
    <w:rsid w:val="0098735B"/>
    <w:rsid w:val="00987626"/>
    <w:rsid w:val="00987729"/>
    <w:rsid w:val="009908A1"/>
    <w:rsid w:val="009926A1"/>
    <w:rsid w:val="0099284B"/>
    <w:rsid w:val="00993C6C"/>
    <w:rsid w:val="009941D8"/>
    <w:rsid w:val="00995221"/>
    <w:rsid w:val="009953A9"/>
    <w:rsid w:val="00995C10"/>
    <w:rsid w:val="00995FD6"/>
    <w:rsid w:val="00996055"/>
    <w:rsid w:val="00996876"/>
    <w:rsid w:val="009A09C6"/>
    <w:rsid w:val="009A09C7"/>
    <w:rsid w:val="009A0DAB"/>
    <w:rsid w:val="009A17E7"/>
    <w:rsid w:val="009A2192"/>
    <w:rsid w:val="009A2AEA"/>
    <w:rsid w:val="009A347E"/>
    <w:rsid w:val="009A3B41"/>
    <w:rsid w:val="009A4B3B"/>
    <w:rsid w:val="009A4DEF"/>
    <w:rsid w:val="009A4EE8"/>
    <w:rsid w:val="009A77A8"/>
    <w:rsid w:val="009B1072"/>
    <w:rsid w:val="009B14CC"/>
    <w:rsid w:val="009B2B2B"/>
    <w:rsid w:val="009B31F4"/>
    <w:rsid w:val="009B382E"/>
    <w:rsid w:val="009B43EF"/>
    <w:rsid w:val="009B507D"/>
    <w:rsid w:val="009B509E"/>
    <w:rsid w:val="009B5521"/>
    <w:rsid w:val="009B572C"/>
    <w:rsid w:val="009B58BA"/>
    <w:rsid w:val="009B5A7A"/>
    <w:rsid w:val="009B6990"/>
    <w:rsid w:val="009B7175"/>
    <w:rsid w:val="009B73CD"/>
    <w:rsid w:val="009B7486"/>
    <w:rsid w:val="009C1A09"/>
    <w:rsid w:val="009C1C24"/>
    <w:rsid w:val="009C3474"/>
    <w:rsid w:val="009C368F"/>
    <w:rsid w:val="009C3EF7"/>
    <w:rsid w:val="009C42E1"/>
    <w:rsid w:val="009C4913"/>
    <w:rsid w:val="009C5C06"/>
    <w:rsid w:val="009C5FEF"/>
    <w:rsid w:val="009C6449"/>
    <w:rsid w:val="009C68DA"/>
    <w:rsid w:val="009C73C2"/>
    <w:rsid w:val="009C75DE"/>
    <w:rsid w:val="009C7D45"/>
    <w:rsid w:val="009D0179"/>
    <w:rsid w:val="009D04B9"/>
    <w:rsid w:val="009D1235"/>
    <w:rsid w:val="009D1837"/>
    <w:rsid w:val="009D193B"/>
    <w:rsid w:val="009D2866"/>
    <w:rsid w:val="009D34E4"/>
    <w:rsid w:val="009D3848"/>
    <w:rsid w:val="009D3BE2"/>
    <w:rsid w:val="009D3EF5"/>
    <w:rsid w:val="009D40E8"/>
    <w:rsid w:val="009D415F"/>
    <w:rsid w:val="009D4CFA"/>
    <w:rsid w:val="009D4D2B"/>
    <w:rsid w:val="009D666D"/>
    <w:rsid w:val="009E049A"/>
    <w:rsid w:val="009E081B"/>
    <w:rsid w:val="009E0E50"/>
    <w:rsid w:val="009E14D1"/>
    <w:rsid w:val="009E184B"/>
    <w:rsid w:val="009E1C70"/>
    <w:rsid w:val="009E23B1"/>
    <w:rsid w:val="009E295F"/>
    <w:rsid w:val="009E2A1C"/>
    <w:rsid w:val="009E40E5"/>
    <w:rsid w:val="009E45BE"/>
    <w:rsid w:val="009E48E3"/>
    <w:rsid w:val="009E4AFC"/>
    <w:rsid w:val="009E4CB7"/>
    <w:rsid w:val="009E4E1C"/>
    <w:rsid w:val="009E54D8"/>
    <w:rsid w:val="009E57B6"/>
    <w:rsid w:val="009E5AD8"/>
    <w:rsid w:val="009E5D7B"/>
    <w:rsid w:val="009E6124"/>
    <w:rsid w:val="009E74DB"/>
    <w:rsid w:val="009E75FC"/>
    <w:rsid w:val="009E7874"/>
    <w:rsid w:val="009E7FB5"/>
    <w:rsid w:val="009F1459"/>
    <w:rsid w:val="009F14D7"/>
    <w:rsid w:val="009F1A54"/>
    <w:rsid w:val="009F2D9F"/>
    <w:rsid w:val="009F36FD"/>
    <w:rsid w:val="009F417D"/>
    <w:rsid w:val="009F44BD"/>
    <w:rsid w:val="009F4ACC"/>
    <w:rsid w:val="009F5F77"/>
    <w:rsid w:val="009F60BE"/>
    <w:rsid w:val="009F61E9"/>
    <w:rsid w:val="009F639A"/>
    <w:rsid w:val="009F6839"/>
    <w:rsid w:val="009F7838"/>
    <w:rsid w:val="009F79FD"/>
    <w:rsid w:val="00A010D0"/>
    <w:rsid w:val="00A0179E"/>
    <w:rsid w:val="00A01A39"/>
    <w:rsid w:val="00A01BB8"/>
    <w:rsid w:val="00A0228D"/>
    <w:rsid w:val="00A0258A"/>
    <w:rsid w:val="00A02A52"/>
    <w:rsid w:val="00A03667"/>
    <w:rsid w:val="00A04547"/>
    <w:rsid w:val="00A05277"/>
    <w:rsid w:val="00A05301"/>
    <w:rsid w:val="00A055D3"/>
    <w:rsid w:val="00A075EA"/>
    <w:rsid w:val="00A07D73"/>
    <w:rsid w:val="00A1078E"/>
    <w:rsid w:val="00A109C7"/>
    <w:rsid w:val="00A10A78"/>
    <w:rsid w:val="00A11375"/>
    <w:rsid w:val="00A1139E"/>
    <w:rsid w:val="00A12142"/>
    <w:rsid w:val="00A12297"/>
    <w:rsid w:val="00A12692"/>
    <w:rsid w:val="00A1349E"/>
    <w:rsid w:val="00A13798"/>
    <w:rsid w:val="00A137BA"/>
    <w:rsid w:val="00A13F19"/>
    <w:rsid w:val="00A15528"/>
    <w:rsid w:val="00A16BBD"/>
    <w:rsid w:val="00A17B8E"/>
    <w:rsid w:val="00A17D59"/>
    <w:rsid w:val="00A20CA3"/>
    <w:rsid w:val="00A210F0"/>
    <w:rsid w:val="00A21BCD"/>
    <w:rsid w:val="00A222D3"/>
    <w:rsid w:val="00A22746"/>
    <w:rsid w:val="00A22FBC"/>
    <w:rsid w:val="00A23489"/>
    <w:rsid w:val="00A23789"/>
    <w:rsid w:val="00A24248"/>
    <w:rsid w:val="00A24999"/>
    <w:rsid w:val="00A254AC"/>
    <w:rsid w:val="00A266B2"/>
    <w:rsid w:val="00A26A65"/>
    <w:rsid w:val="00A27577"/>
    <w:rsid w:val="00A30336"/>
    <w:rsid w:val="00A309A9"/>
    <w:rsid w:val="00A312E8"/>
    <w:rsid w:val="00A31857"/>
    <w:rsid w:val="00A31A98"/>
    <w:rsid w:val="00A321AB"/>
    <w:rsid w:val="00A32D91"/>
    <w:rsid w:val="00A33D88"/>
    <w:rsid w:val="00A35060"/>
    <w:rsid w:val="00A36673"/>
    <w:rsid w:val="00A37813"/>
    <w:rsid w:val="00A37B65"/>
    <w:rsid w:val="00A37B94"/>
    <w:rsid w:val="00A37F1E"/>
    <w:rsid w:val="00A40845"/>
    <w:rsid w:val="00A40C3C"/>
    <w:rsid w:val="00A4238B"/>
    <w:rsid w:val="00A424C9"/>
    <w:rsid w:val="00A425BC"/>
    <w:rsid w:val="00A42971"/>
    <w:rsid w:val="00A4388A"/>
    <w:rsid w:val="00A43B5C"/>
    <w:rsid w:val="00A442E3"/>
    <w:rsid w:val="00A44D31"/>
    <w:rsid w:val="00A44E1D"/>
    <w:rsid w:val="00A4597F"/>
    <w:rsid w:val="00A5102C"/>
    <w:rsid w:val="00A510BC"/>
    <w:rsid w:val="00A51651"/>
    <w:rsid w:val="00A51990"/>
    <w:rsid w:val="00A5235B"/>
    <w:rsid w:val="00A52656"/>
    <w:rsid w:val="00A535B4"/>
    <w:rsid w:val="00A538E4"/>
    <w:rsid w:val="00A539B4"/>
    <w:rsid w:val="00A53FD0"/>
    <w:rsid w:val="00A545DD"/>
    <w:rsid w:val="00A55469"/>
    <w:rsid w:val="00A55DCF"/>
    <w:rsid w:val="00A5645A"/>
    <w:rsid w:val="00A57F18"/>
    <w:rsid w:val="00A600F3"/>
    <w:rsid w:val="00A601C7"/>
    <w:rsid w:val="00A6079B"/>
    <w:rsid w:val="00A61099"/>
    <w:rsid w:val="00A61AD2"/>
    <w:rsid w:val="00A61F2E"/>
    <w:rsid w:val="00A61FC1"/>
    <w:rsid w:val="00A622E3"/>
    <w:rsid w:val="00A6241B"/>
    <w:rsid w:val="00A6253D"/>
    <w:rsid w:val="00A627DA"/>
    <w:rsid w:val="00A644AE"/>
    <w:rsid w:val="00A64550"/>
    <w:rsid w:val="00A64CB9"/>
    <w:rsid w:val="00A6551E"/>
    <w:rsid w:val="00A65C1D"/>
    <w:rsid w:val="00A65F55"/>
    <w:rsid w:val="00A65FFA"/>
    <w:rsid w:val="00A67998"/>
    <w:rsid w:val="00A7019C"/>
    <w:rsid w:val="00A701D6"/>
    <w:rsid w:val="00A7042A"/>
    <w:rsid w:val="00A70942"/>
    <w:rsid w:val="00A7173D"/>
    <w:rsid w:val="00A725A0"/>
    <w:rsid w:val="00A731C1"/>
    <w:rsid w:val="00A74360"/>
    <w:rsid w:val="00A74745"/>
    <w:rsid w:val="00A749DB"/>
    <w:rsid w:val="00A74CE7"/>
    <w:rsid w:val="00A74D69"/>
    <w:rsid w:val="00A751F5"/>
    <w:rsid w:val="00A753CB"/>
    <w:rsid w:val="00A759C4"/>
    <w:rsid w:val="00A7690F"/>
    <w:rsid w:val="00A7740F"/>
    <w:rsid w:val="00A77A58"/>
    <w:rsid w:val="00A80280"/>
    <w:rsid w:val="00A80546"/>
    <w:rsid w:val="00A80ED6"/>
    <w:rsid w:val="00A8153A"/>
    <w:rsid w:val="00A81956"/>
    <w:rsid w:val="00A81F15"/>
    <w:rsid w:val="00A821B9"/>
    <w:rsid w:val="00A83143"/>
    <w:rsid w:val="00A836D4"/>
    <w:rsid w:val="00A8398D"/>
    <w:rsid w:val="00A83D25"/>
    <w:rsid w:val="00A84E8F"/>
    <w:rsid w:val="00A84FF7"/>
    <w:rsid w:val="00A85E26"/>
    <w:rsid w:val="00A8621A"/>
    <w:rsid w:val="00A864A8"/>
    <w:rsid w:val="00A869AA"/>
    <w:rsid w:val="00A8703A"/>
    <w:rsid w:val="00A87096"/>
    <w:rsid w:val="00A9002A"/>
    <w:rsid w:val="00A915D9"/>
    <w:rsid w:val="00A91871"/>
    <w:rsid w:val="00A91B77"/>
    <w:rsid w:val="00A91FE7"/>
    <w:rsid w:val="00A920F6"/>
    <w:rsid w:val="00A9229C"/>
    <w:rsid w:val="00A922B4"/>
    <w:rsid w:val="00A93E09"/>
    <w:rsid w:val="00A93F06"/>
    <w:rsid w:val="00A9412F"/>
    <w:rsid w:val="00A941DD"/>
    <w:rsid w:val="00A94DE5"/>
    <w:rsid w:val="00A9642A"/>
    <w:rsid w:val="00A967E0"/>
    <w:rsid w:val="00A969A7"/>
    <w:rsid w:val="00A97655"/>
    <w:rsid w:val="00A97C71"/>
    <w:rsid w:val="00AA012A"/>
    <w:rsid w:val="00AA035B"/>
    <w:rsid w:val="00AA11F2"/>
    <w:rsid w:val="00AA262B"/>
    <w:rsid w:val="00AA2AC7"/>
    <w:rsid w:val="00AA2EA0"/>
    <w:rsid w:val="00AA339D"/>
    <w:rsid w:val="00AA47D5"/>
    <w:rsid w:val="00AA4BA9"/>
    <w:rsid w:val="00AA4DC1"/>
    <w:rsid w:val="00AA5286"/>
    <w:rsid w:val="00AA6193"/>
    <w:rsid w:val="00AA6420"/>
    <w:rsid w:val="00AA67A3"/>
    <w:rsid w:val="00AA6EC7"/>
    <w:rsid w:val="00AA7CDA"/>
    <w:rsid w:val="00AA7D35"/>
    <w:rsid w:val="00AB09E2"/>
    <w:rsid w:val="00AB0A54"/>
    <w:rsid w:val="00AB0CFE"/>
    <w:rsid w:val="00AB1343"/>
    <w:rsid w:val="00AB24B6"/>
    <w:rsid w:val="00AB2916"/>
    <w:rsid w:val="00AB2AB4"/>
    <w:rsid w:val="00AB2D5B"/>
    <w:rsid w:val="00AB368B"/>
    <w:rsid w:val="00AB392A"/>
    <w:rsid w:val="00AB44D1"/>
    <w:rsid w:val="00AB49B1"/>
    <w:rsid w:val="00AB4AC5"/>
    <w:rsid w:val="00AB528C"/>
    <w:rsid w:val="00AB5D7B"/>
    <w:rsid w:val="00AB6A27"/>
    <w:rsid w:val="00AB6AA7"/>
    <w:rsid w:val="00AB798E"/>
    <w:rsid w:val="00AC0D69"/>
    <w:rsid w:val="00AC1ED1"/>
    <w:rsid w:val="00AC3410"/>
    <w:rsid w:val="00AC3C35"/>
    <w:rsid w:val="00AC3EFF"/>
    <w:rsid w:val="00AC3FC5"/>
    <w:rsid w:val="00AC4B29"/>
    <w:rsid w:val="00AC532C"/>
    <w:rsid w:val="00AC5836"/>
    <w:rsid w:val="00AC6527"/>
    <w:rsid w:val="00AC73E0"/>
    <w:rsid w:val="00AC74FB"/>
    <w:rsid w:val="00AC7E9E"/>
    <w:rsid w:val="00AD08B8"/>
    <w:rsid w:val="00AD2BA9"/>
    <w:rsid w:val="00AD2EBD"/>
    <w:rsid w:val="00AD2FE9"/>
    <w:rsid w:val="00AD38C8"/>
    <w:rsid w:val="00AD3C97"/>
    <w:rsid w:val="00AD53D2"/>
    <w:rsid w:val="00AD578B"/>
    <w:rsid w:val="00AD5DEC"/>
    <w:rsid w:val="00AD64F1"/>
    <w:rsid w:val="00AD6695"/>
    <w:rsid w:val="00AD7107"/>
    <w:rsid w:val="00AD76F1"/>
    <w:rsid w:val="00AE06E4"/>
    <w:rsid w:val="00AE09C1"/>
    <w:rsid w:val="00AE0DB7"/>
    <w:rsid w:val="00AE0FC7"/>
    <w:rsid w:val="00AE221A"/>
    <w:rsid w:val="00AE2A5E"/>
    <w:rsid w:val="00AE2CFC"/>
    <w:rsid w:val="00AE2D83"/>
    <w:rsid w:val="00AE4066"/>
    <w:rsid w:val="00AE4535"/>
    <w:rsid w:val="00AE4A28"/>
    <w:rsid w:val="00AE51AA"/>
    <w:rsid w:val="00AE6A80"/>
    <w:rsid w:val="00AE6DDF"/>
    <w:rsid w:val="00AE6ED8"/>
    <w:rsid w:val="00AE70BE"/>
    <w:rsid w:val="00AE7749"/>
    <w:rsid w:val="00AF0157"/>
    <w:rsid w:val="00AF0AA3"/>
    <w:rsid w:val="00AF1F8F"/>
    <w:rsid w:val="00AF2A06"/>
    <w:rsid w:val="00AF2AD9"/>
    <w:rsid w:val="00AF2D58"/>
    <w:rsid w:val="00AF30C9"/>
    <w:rsid w:val="00AF3903"/>
    <w:rsid w:val="00AF3DC9"/>
    <w:rsid w:val="00AF3E6A"/>
    <w:rsid w:val="00AF5342"/>
    <w:rsid w:val="00AF5AE6"/>
    <w:rsid w:val="00AF5BF1"/>
    <w:rsid w:val="00AF5C99"/>
    <w:rsid w:val="00AF5FAF"/>
    <w:rsid w:val="00AF63B5"/>
    <w:rsid w:val="00AF6CF6"/>
    <w:rsid w:val="00AF6E7A"/>
    <w:rsid w:val="00AF6FEF"/>
    <w:rsid w:val="00AF7321"/>
    <w:rsid w:val="00B01525"/>
    <w:rsid w:val="00B01AD4"/>
    <w:rsid w:val="00B02132"/>
    <w:rsid w:val="00B0254D"/>
    <w:rsid w:val="00B02E66"/>
    <w:rsid w:val="00B02F20"/>
    <w:rsid w:val="00B03131"/>
    <w:rsid w:val="00B0409E"/>
    <w:rsid w:val="00B059EA"/>
    <w:rsid w:val="00B05D86"/>
    <w:rsid w:val="00B06CD1"/>
    <w:rsid w:val="00B06D03"/>
    <w:rsid w:val="00B1001A"/>
    <w:rsid w:val="00B1008A"/>
    <w:rsid w:val="00B106B7"/>
    <w:rsid w:val="00B10C46"/>
    <w:rsid w:val="00B10FF4"/>
    <w:rsid w:val="00B124D9"/>
    <w:rsid w:val="00B1254B"/>
    <w:rsid w:val="00B1286F"/>
    <w:rsid w:val="00B12AD4"/>
    <w:rsid w:val="00B12E1B"/>
    <w:rsid w:val="00B13527"/>
    <w:rsid w:val="00B14A16"/>
    <w:rsid w:val="00B14D42"/>
    <w:rsid w:val="00B14F25"/>
    <w:rsid w:val="00B16690"/>
    <w:rsid w:val="00B16E09"/>
    <w:rsid w:val="00B170B5"/>
    <w:rsid w:val="00B172A6"/>
    <w:rsid w:val="00B177A4"/>
    <w:rsid w:val="00B178DD"/>
    <w:rsid w:val="00B17D63"/>
    <w:rsid w:val="00B20B46"/>
    <w:rsid w:val="00B213AB"/>
    <w:rsid w:val="00B217C0"/>
    <w:rsid w:val="00B21E4E"/>
    <w:rsid w:val="00B21FAB"/>
    <w:rsid w:val="00B23C04"/>
    <w:rsid w:val="00B24361"/>
    <w:rsid w:val="00B26331"/>
    <w:rsid w:val="00B267D6"/>
    <w:rsid w:val="00B26EB4"/>
    <w:rsid w:val="00B27135"/>
    <w:rsid w:val="00B27AC4"/>
    <w:rsid w:val="00B27C3C"/>
    <w:rsid w:val="00B30A37"/>
    <w:rsid w:val="00B30EB2"/>
    <w:rsid w:val="00B31B50"/>
    <w:rsid w:val="00B32564"/>
    <w:rsid w:val="00B32BC4"/>
    <w:rsid w:val="00B32BFC"/>
    <w:rsid w:val="00B3311E"/>
    <w:rsid w:val="00B337F9"/>
    <w:rsid w:val="00B340A0"/>
    <w:rsid w:val="00B3420F"/>
    <w:rsid w:val="00B36064"/>
    <w:rsid w:val="00B36FD6"/>
    <w:rsid w:val="00B3795E"/>
    <w:rsid w:val="00B37CC1"/>
    <w:rsid w:val="00B409F5"/>
    <w:rsid w:val="00B416A5"/>
    <w:rsid w:val="00B41B49"/>
    <w:rsid w:val="00B42877"/>
    <w:rsid w:val="00B44200"/>
    <w:rsid w:val="00B44265"/>
    <w:rsid w:val="00B446BA"/>
    <w:rsid w:val="00B44729"/>
    <w:rsid w:val="00B4543B"/>
    <w:rsid w:val="00B45B22"/>
    <w:rsid w:val="00B45E37"/>
    <w:rsid w:val="00B46341"/>
    <w:rsid w:val="00B4687A"/>
    <w:rsid w:val="00B470DF"/>
    <w:rsid w:val="00B472A9"/>
    <w:rsid w:val="00B473B4"/>
    <w:rsid w:val="00B475C0"/>
    <w:rsid w:val="00B5013E"/>
    <w:rsid w:val="00B511F9"/>
    <w:rsid w:val="00B512BB"/>
    <w:rsid w:val="00B512C1"/>
    <w:rsid w:val="00B51930"/>
    <w:rsid w:val="00B51967"/>
    <w:rsid w:val="00B52686"/>
    <w:rsid w:val="00B528B2"/>
    <w:rsid w:val="00B54B23"/>
    <w:rsid w:val="00B55F9A"/>
    <w:rsid w:val="00B563FA"/>
    <w:rsid w:val="00B5656B"/>
    <w:rsid w:val="00B56E7A"/>
    <w:rsid w:val="00B56F03"/>
    <w:rsid w:val="00B5765E"/>
    <w:rsid w:val="00B577EC"/>
    <w:rsid w:val="00B60606"/>
    <w:rsid w:val="00B60A59"/>
    <w:rsid w:val="00B61445"/>
    <w:rsid w:val="00B6161B"/>
    <w:rsid w:val="00B6190F"/>
    <w:rsid w:val="00B61BED"/>
    <w:rsid w:val="00B61DB9"/>
    <w:rsid w:val="00B62AF0"/>
    <w:rsid w:val="00B63363"/>
    <w:rsid w:val="00B649DD"/>
    <w:rsid w:val="00B64BD2"/>
    <w:rsid w:val="00B64F72"/>
    <w:rsid w:val="00B65DA6"/>
    <w:rsid w:val="00B66372"/>
    <w:rsid w:val="00B67187"/>
    <w:rsid w:val="00B704CC"/>
    <w:rsid w:val="00B70B1C"/>
    <w:rsid w:val="00B7125C"/>
    <w:rsid w:val="00B71506"/>
    <w:rsid w:val="00B71988"/>
    <w:rsid w:val="00B72030"/>
    <w:rsid w:val="00B720B8"/>
    <w:rsid w:val="00B734F5"/>
    <w:rsid w:val="00B7508C"/>
    <w:rsid w:val="00B7519A"/>
    <w:rsid w:val="00B76BE9"/>
    <w:rsid w:val="00B773DC"/>
    <w:rsid w:val="00B7798D"/>
    <w:rsid w:val="00B77B56"/>
    <w:rsid w:val="00B80D29"/>
    <w:rsid w:val="00B8117C"/>
    <w:rsid w:val="00B811CB"/>
    <w:rsid w:val="00B82544"/>
    <w:rsid w:val="00B838D9"/>
    <w:rsid w:val="00B84A65"/>
    <w:rsid w:val="00B8513C"/>
    <w:rsid w:val="00B853F6"/>
    <w:rsid w:val="00B85677"/>
    <w:rsid w:val="00B860CD"/>
    <w:rsid w:val="00B86EF8"/>
    <w:rsid w:val="00B872CB"/>
    <w:rsid w:val="00B878D2"/>
    <w:rsid w:val="00B902B7"/>
    <w:rsid w:val="00B917AA"/>
    <w:rsid w:val="00B91E1B"/>
    <w:rsid w:val="00B9260C"/>
    <w:rsid w:val="00B929AB"/>
    <w:rsid w:val="00B93366"/>
    <w:rsid w:val="00B93BD1"/>
    <w:rsid w:val="00B94224"/>
    <w:rsid w:val="00B94EA9"/>
    <w:rsid w:val="00B9680F"/>
    <w:rsid w:val="00B977FA"/>
    <w:rsid w:val="00BA06E9"/>
    <w:rsid w:val="00BA09FB"/>
    <w:rsid w:val="00BA0A85"/>
    <w:rsid w:val="00BA197C"/>
    <w:rsid w:val="00BA2414"/>
    <w:rsid w:val="00BA2AC0"/>
    <w:rsid w:val="00BA2EBE"/>
    <w:rsid w:val="00BA31DC"/>
    <w:rsid w:val="00BA32B2"/>
    <w:rsid w:val="00BA32F0"/>
    <w:rsid w:val="00BA447D"/>
    <w:rsid w:val="00BA47EB"/>
    <w:rsid w:val="00BA4C5E"/>
    <w:rsid w:val="00BA60E0"/>
    <w:rsid w:val="00BA671A"/>
    <w:rsid w:val="00BA684B"/>
    <w:rsid w:val="00BA6C34"/>
    <w:rsid w:val="00BA796F"/>
    <w:rsid w:val="00BA7B53"/>
    <w:rsid w:val="00BB02DC"/>
    <w:rsid w:val="00BB0A74"/>
    <w:rsid w:val="00BB0C1C"/>
    <w:rsid w:val="00BB0D28"/>
    <w:rsid w:val="00BB0F39"/>
    <w:rsid w:val="00BB0F7D"/>
    <w:rsid w:val="00BB10A1"/>
    <w:rsid w:val="00BB115B"/>
    <w:rsid w:val="00BB16C7"/>
    <w:rsid w:val="00BB1A15"/>
    <w:rsid w:val="00BB1A17"/>
    <w:rsid w:val="00BB1B09"/>
    <w:rsid w:val="00BB1D92"/>
    <w:rsid w:val="00BB1EB2"/>
    <w:rsid w:val="00BB2117"/>
    <w:rsid w:val="00BB2376"/>
    <w:rsid w:val="00BB2A48"/>
    <w:rsid w:val="00BB3A6D"/>
    <w:rsid w:val="00BB4408"/>
    <w:rsid w:val="00BB49AB"/>
    <w:rsid w:val="00BB5306"/>
    <w:rsid w:val="00BB5AAB"/>
    <w:rsid w:val="00BB6488"/>
    <w:rsid w:val="00BB6875"/>
    <w:rsid w:val="00BB6987"/>
    <w:rsid w:val="00BC0A29"/>
    <w:rsid w:val="00BC0AC1"/>
    <w:rsid w:val="00BC0D5B"/>
    <w:rsid w:val="00BC11B0"/>
    <w:rsid w:val="00BC15AD"/>
    <w:rsid w:val="00BC1869"/>
    <w:rsid w:val="00BC1B55"/>
    <w:rsid w:val="00BC1D7A"/>
    <w:rsid w:val="00BC2D92"/>
    <w:rsid w:val="00BC3541"/>
    <w:rsid w:val="00BC4308"/>
    <w:rsid w:val="00BC62DA"/>
    <w:rsid w:val="00BD09D8"/>
    <w:rsid w:val="00BD1256"/>
    <w:rsid w:val="00BD151D"/>
    <w:rsid w:val="00BD186C"/>
    <w:rsid w:val="00BD245D"/>
    <w:rsid w:val="00BD28ED"/>
    <w:rsid w:val="00BD2F25"/>
    <w:rsid w:val="00BD324C"/>
    <w:rsid w:val="00BD34BB"/>
    <w:rsid w:val="00BD429E"/>
    <w:rsid w:val="00BD5147"/>
    <w:rsid w:val="00BD61A0"/>
    <w:rsid w:val="00BD7123"/>
    <w:rsid w:val="00BD7714"/>
    <w:rsid w:val="00BD792D"/>
    <w:rsid w:val="00BD7EF1"/>
    <w:rsid w:val="00BE0F65"/>
    <w:rsid w:val="00BE1C8F"/>
    <w:rsid w:val="00BE25BE"/>
    <w:rsid w:val="00BE2636"/>
    <w:rsid w:val="00BE34F0"/>
    <w:rsid w:val="00BE3EE3"/>
    <w:rsid w:val="00BE44CA"/>
    <w:rsid w:val="00BE514E"/>
    <w:rsid w:val="00BE53A0"/>
    <w:rsid w:val="00BE6C08"/>
    <w:rsid w:val="00BE6DAC"/>
    <w:rsid w:val="00BE6DF7"/>
    <w:rsid w:val="00BE7255"/>
    <w:rsid w:val="00BE76C7"/>
    <w:rsid w:val="00BF03A2"/>
    <w:rsid w:val="00BF1293"/>
    <w:rsid w:val="00BF12A5"/>
    <w:rsid w:val="00BF238A"/>
    <w:rsid w:val="00BF3460"/>
    <w:rsid w:val="00BF35A0"/>
    <w:rsid w:val="00BF4104"/>
    <w:rsid w:val="00BF4A92"/>
    <w:rsid w:val="00BF562F"/>
    <w:rsid w:val="00BF5E3E"/>
    <w:rsid w:val="00BF5ED6"/>
    <w:rsid w:val="00BF6601"/>
    <w:rsid w:val="00BF784D"/>
    <w:rsid w:val="00BF790A"/>
    <w:rsid w:val="00BF7A56"/>
    <w:rsid w:val="00C00176"/>
    <w:rsid w:val="00C00DF3"/>
    <w:rsid w:val="00C00DFC"/>
    <w:rsid w:val="00C0217C"/>
    <w:rsid w:val="00C02C76"/>
    <w:rsid w:val="00C02E98"/>
    <w:rsid w:val="00C02F9E"/>
    <w:rsid w:val="00C03035"/>
    <w:rsid w:val="00C035F7"/>
    <w:rsid w:val="00C03A9B"/>
    <w:rsid w:val="00C03E8A"/>
    <w:rsid w:val="00C04120"/>
    <w:rsid w:val="00C0658F"/>
    <w:rsid w:val="00C06775"/>
    <w:rsid w:val="00C06848"/>
    <w:rsid w:val="00C0757C"/>
    <w:rsid w:val="00C07686"/>
    <w:rsid w:val="00C07AF5"/>
    <w:rsid w:val="00C07B5E"/>
    <w:rsid w:val="00C116D6"/>
    <w:rsid w:val="00C124C0"/>
    <w:rsid w:val="00C126F7"/>
    <w:rsid w:val="00C13AB8"/>
    <w:rsid w:val="00C16540"/>
    <w:rsid w:val="00C17775"/>
    <w:rsid w:val="00C20A1A"/>
    <w:rsid w:val="00C20C4D"/>
    <w:rsid w:val="00C219B3"/>
    <w:rsid w:val="00C21F5F"/>
    <w:rsid w:val="00C22089"/>
    <w:rsid w:val="00C221D0"/>
    <w:rsid w:val="00C22A50"/>
    <w:rsid w:val="00C22E41"/>
    <w:rsid w:val="00C24CB4"/>
    <w:rsid w:val="00C25BF2"/>
    <w:rsid w:val="00C26525"/>
    <w:rsid w:val="00C2719A"/>
    <w:rsid w:val="00C2724F"/>
    <w:rsid w:val="00C27C40"/>
    <w:rsid w:val="00C27FB1"/>
    <w:rsid w:val="00C27FD0"/>
    <w:rsid w:val="00C30E5D"/>
    <w:rsid w:val="00C31367"/>
    <w:rsid w:val="00C32518"/>
    <w:rsid w:val="00C3253D"/>
    <w:rsid w:val="00C3263A"/>
    <w:rsid w:val="00C330EB"/>
    <w:rsid w:val="00C3342C"/>
    <w:rsid w:val="00C33992"/>
    <w:rsid w:val="00C339CC"/>
    <w:rsid w:val="00C33F2E"/>
    <w:rsid w:val="00C347F0"/>
    <w:rsid w:val="00C349CA"/>
    <w:rsid w:val="00C34BBA"/>
    <w:rsid w:val="00C366E6"/>
    <w:rsid w:val="00C36B2A"/>
    <w:rsid w:val="00C37435"/>
    <w:rsid w:val="00C37E76"/>
    <w:rsid w:val="00C40078"/>
    <w:rsid w:val="00C40927"/>
    <w:rsid w:val="00C40D2E"/>
    <w:rsid w:val="00C4144B"/>
    <w:rsid w:val="00C41517"/>
    <w:rsid w:val="00C417CE"/>
    <w:rsid w:val="00C41978"/>
    <w:rsid w:val="00C41EF4"/>
    <w:rsid w:val="00C4220B"/>
    <w:rsid w:val="00C425A8"/>
    <w:rsid w:val="00C42B3F"/>
    <w:rsid w:val="00C42C81"/>
    <w:rsid w:val="00C42DDE"/>
    <w:rsid w:val="00C43290"/>
    <w:rsid w:val="00C43A97"/>
    <w:rsid w:val="00C44078"/>
    <w:rsid w:val="00C4408F"/>
    <w:rsid w:val="00C4430D"/>
    <w:rsid w:val="00C44637"/>
    <w:rsid w:val="00C4496E"/>
    <w:rsid w:val="00C45D67"/>
    <w:rsid w:val="00C46C8C"/>
    <w:rsid w:val="00C46E72"/>
    <w:rsid w:val="00C47B13"/>
    <w:rsid w:val="00C50D82"/>
    <w:rsid w:val="00C522C8"/>
    <w:rsid w:val="00C5243B"/>
    <w:rsid w:val="00C52741"/>
    <w:rsid w:val="00C52BE5"/>
    <w:rsid w:val="00C55580"/>
    <w:rsid w:val="00C555AE"/>
    <w:rsid w:val="00C5616F"/>
    <w:rsid w:val="00C56211"/>
    <w:rsid w:val="00C56387"/>
    <w:rsid w:val="00C56B03"/>
    <w:rsid w:val="00C572CA"/>
    <w:rsid w:val="00C57844"/>
    <w:rsid w:val="00C57F66"/>
    <w:rsid w:val="00C601E8"/>
    <w:rsid w:val="00C6032D"/>
    <w:rsid w:val="00C60CA3"/>
    <w:rsid w:val="00C614D3"/>
    <w:rsid w:val="00C6160F"/>
    <w:rsid w:val="00C616CE"/>
    <w:rsid w:val="00C62A1E"/>
    <w:rsid w:val="00C62B2A"/>
    <w:rsid w:val="00C63645"/>
    <w:rsid w:val="00C63DAF"/>
    <w:rsid w:val="00C640FE"/>
    <w:rsid w:val="00C64432"/>
    <w:rsid w:val="00C652D7"/>
    <w:rsid w:val="00C657DB"/>
    <w:rsid w:val="00C65831"/>
    <w:rsid w:val="00C6613E"/>
    <w:rsid w:val="00C66992"/>
    <w:rsid w:val="00C66E3C"/>
    <w:rsid w:val="00C7058B"/>
    <w:rsid w:val="00C70B32"/>
    <w:rsid w:val="00C72C0D"/>
    <w:rsid w:val="00C72F5A"/>
    <w:rsid w:val="00C737F3"/>
    <w:rsid w:val="00C7423A"/>
    <w:rsid w:val="00C7476C"/>
    <w:rsid w:val="00C7572A"/>
    <w:rsid w:val="00C776FF"/>
    <w:rsid w:val="00C77F98"/>
    <w:rsid w:val="00C80097"/>
    <w:rsid w:val="00C8073D"/>
    <w:rsid w:val="00C80F33"/>
    <w:rsid w:val="00C81315"/>
    <w:rsid w:val="00C81D87"/>
    <w:rsid w:val="00C82A58"/>
    <w:rsid w:val="00C82BEA"/>
    <w:rsid w:val="00C83746"/>
    <w:rsid w:val="00C8389C"/>
    <w:rsid w:val="00C83C55"/>
    <w:rsid w:val="00C85DF3"/>
    <w:rsid w:val="00C86D46"/>
    <w:rsid w:val="00C871BF"/>
    <w:rsid w:val="00C90B80"/>
    <w:rsid w:val="00C910A6"/>
    <w:rsid w:val="00C919FF"/>
    <w:rsid w:val="00C91A76"/>
    <w:rsid w:val="00C91D2E"/>
    <w:rsid w:val="00C926B1"/>
    <w:rsid w:val="00C92EA2"/>
    <w:rsid w:val="00C95667"/>
    <w:rsid w:val="00C95C51"/>
    <w:rsid w:val="00C96057"/>
    <w:rsid w:val="00C96798"/>
    <w:rsid w:val="00C96A0F"/>
    <w:rsid w:val="00C97A95"/>
    <w:rsid w:val="00C97C7A"/>
    <w:rsid w:val="00CA065A"/>
    <w:rsid w:val="00CA08B9"/>
    <w:rsid w:val="00CA1067"/>
    <w:rsid w:val="00CA132F"/>
    <w:rsid w:val="00CA2F13"/>
    <w:rsid w:val="00CA322B"/>
    <w:rsid w:val="00CA40BB"/>
    <w:rsid w:val="00CA4DA5"/>
    <w:rsid w:val="00CA4FBB"/>
    <w:rsid w:val="00CA61A8"/>
    <w:rsid w:val="00CA6BA6"/>
    <w:rsid w:val="00CB0515"/>
    <w:rsid w:val="00CB1115"/>
    <w:rsid w:val="00CB1343"/>
    <w:rsid w:val="00CB1962"/>
    <w:rsid w:val="00CB1AE5"/>
    <w:rsid w:val="00CB1B72"/>
    <w:rsid w:val="00CB2403"/>
    <w:rsid w:val="00CB274F"/>
    <w:rsid w:val="00CB289C"/>
    <w:rsid w:val="00CB3422"/>
    <w:rsid w:val="00CB3834"/>
    <w:rsid w:val="00CB3980"/>
    <w:rsid w:val="00CB3C9B"/>
    <w:rsid w:val="00CB49CC"/>
    <w:rsid w:val="00CB5548"/>
    <w:rsid w:val="00CB578B"/>
    <w:rsid w:val="00CB585F"/>
    <w:rsid w:val="00CB6C15"/>
    <w:rsid w:val="00CB7707"/>
    <w:rsid w:val="00CB7BCB"/>
    <w:rsid w:val="00CC01B7"/>
    <w:rsid w:val="00CC25F7"/>
    <w:rsid w:val="00CC2774"/>
    <w:rsid w:val="00CC3138"/>
    <w:rsid w:val="00CC3E33"/>
    <w:rsid w:val="00CC4138"/>
    <w:rsid w:val="00CC417E"/>
    <w:rsid w:val="00CC4659"/>
    <w:rsid w:val="00CC5044"/>
    <w:rsid w:val="00CC7B64"/>
    <w:rsid w:val="00CD060C"/>
    <w:rsid w:val="00CD0D61"/>
    <w:rsid w:val="00CD130A"/>
    <w:rsid w:val="00CD1445"/>
    <w:rsid w:val="00CD2400"/>
    <w:rsid w:val="00CD2D34"/>
    <w:rsid w:val="00CD42F4"/>
    <w:rsid w:val="00CD5594"/>
    <w:rsid w:val="00CD64F5"/>
    <w:rsid w:val="00CD686E"/>
    <w:rsid w:val="00CD6EB1"/>
    <w:rsid w:val="00CD7225"/>
    <w:rsid w:val="00CD7925"/>
    <w:rsid w:val="00CD7B84"/>
    <w:rsid w:val="00CD7C27"/>
    <w:rsid w:val="00CE025D"/>
    <w:rsid w:val="00CE08DB"/>
    <w:rsid w:val="00CE0A2C"/>
    <w:rsid w:val="00CE10F3"/>
    <w:rsid w:val="00CE16EA"/>
    <w:rsid w:val="00CE1C26"/>
    <w:rsid w:val="00CE1DE7"/>
    <w:rsid w:val="00CE2777"/>
    <w:rsid w:val="00CE2E35"/>
    <w:rsid w:val="00CE4E8A"/>
    <w:rsid w:val="00CE54B8"/>
    <w:rsid w:val="00CE58BD"/>
    <w:rsid w:val="00CE5AC4"/>
    <w:rsid w:val="00CE79C2"/>
    <w:rsid w:val="00CF0A4C"/>
    <w:rsid w:val="00CF217E"/>
    <w:rsid w:val="00CF2436"/>
    <w:rsid w:val="00CF257C"/>
    <w:rsid w:val="00CF2A48"/>
    <w:rsid w:val="00CF2CB9"/>
    <w:rsid w:val="00CF2DD8"/>
    <w:rsid w:val="00CF30D9"/>
    <w:rsid w:val="00CF338C"/>
    <w:rsid w:val="00CF3700"/>
    <w:rsid w:val="00CF4136"/>
    <w:rsid w:val="00CF45F5"/>
    <w:rsid w:val="00CF4607"/>
    <w:rsid w:val="00CF4DE9"/>
    <w:rsid w:val="00CF5A1F"/>
    <w:rsid w:val="00CF5A9D"/>
    <w:rsid w:val="00CF6357"/>
    <w:rsid w:val="00CF65FB"/>
    <w:rsid w:val="00CF6747"/>
    <w:rsid w:val="00CF7341"/>
    <w:rsid w:val="00CF736B"/>
    <w:rsid w:val="00CF7554"/>
    <w:rsid w:val="00CF7860"/>
    <w:rsid w:val="00D01D6D"/>
    <w:rsid w:val="00D02B50"/>
    <w:rsid w:val="00D02EAA"/>
    <w:rsid w:val="00D03518"/>
    <w:rsid w:val="00D03761"/>
    <w:rsid w:val="00D03AFE"/>
    <w:rsid w:val="00D04835"/>
    <w:rsid w:val="00D050C1"/>
    <w:rsid w:val="00D059EB"/>
    <w:rsid w:val="00D05A7B"/>
    <w:rsid w:val="00D05CF3"/>
    <w:rsid w:val="00D05E72"/>
    <w:rsid w:val="00D064B1"/>
    <w:rsid w:val="00D0667C"/>
    <w:rsid w:val="00D066A4"/>
    <w:rsid w:val="00D0672F"/>
    <w:rsid w:val="00D07E35"/>
    <w:rsid w:val="00D1077D"/>
    <w:rsid w:val="00D112F9"/>
    <w:rsid w:val="00D12226"/>
    <w:rsid w:val="00D12572"/>
    <w:rsid w:val="00D12647"/>
    <w:rsid w:val="00D137A0"/>
    <w:rsid w:val="00D13996"/>
    <w:rsid w:val="00D149DC"/>
    <w:rsid w:val="00D14EE3"/>
    <w:rsid w:val="00D1526E"/>
    <w:rsid w:val="00D157C1"/>
    <w:rsid w:val="00D15F82"/>
    <w:rsid w:val="00D16E45"/>
    <w:rsid w:val="00D171D8"/>
    <w:rsid w:val="00D17E19"/>
    <w:rsid w:val="00D17F4C"/>
    <w:rsid w:val="00D20A56"/>
    <w:rsid w:val="00D2158E"/>
    <w:rsid w:val="00D218E5"/>
    <w:rsid w:val="00D225B0"/>
    <w:rsid w:val="00D226C9"/>
    <w:rsid w:val="00D23464"/>
    <w:rsid w:val="00D23729"/>
    <w:rsid w:val="00D23CF9"/>
    <w:rsid w:val="00D244F1"/>
    <w:rsid w:val="00D253C2"/>
    <w:rsid w:val="00D2669C"/>
    <w:rsid w:val="00D2709C"/>
    <w:rsid w:val="00D2733D"/>
    <w:rsid w:val="00D27683"/>
    <w:rsid w:val="00D3045A"/>
    <w:rsid w:val="00D3047D"/>
    <w:rsid w:val="00D30AFF"/>
    <w:rsid w:val="00D31851"/>
    <w:rsid w:val="00D327B8"/>
    <w:rsid w:val="00D327C3"/>
    <w:rsid w:val="00D32FA6"/>
    <w:rsid w:val="00D33BE5"/>
    <w:rsid w:val="00D342A7"/>
    <w:rsid w:val="00D34870"/>
    <w:rsid w:val="00D357AA"/>
    <w:rsid w:val="00D357F1"/>
    <w:rsid w:val="00D35F55"/>
    <w:rsid w:val="00D372EF"/>
    <w:rsid w:val="00D37A0F"/>
    <w:rsid w:val="00D40367"/>
    <w:rsid w:val="00D40857"/>
    <w:rsid w:val="00D4151E"/>
    <w:rsid w:val="00D419FB"/>
    <w:rsid w:val="00D41DDE"/>
    <w:rsid w:val="00D41F3B"/>
    <w:rsid w:val="00D42512"/>
    <w:rsid w:val="00D4265B"/>
    <w:rsid w:val="00D428F5"/>
    <w:rsid w:val="00D43A54"/>
    <w:rsid w:val="00D43D14"/>
    <w:rsid w:val="00D43F30"/>
    <w:rsid w:val="00D44309"/>
    <w:rsid w:val="00D44490"/>
    <w:rsid w:val="00D447EC"/>
    <w:rsid w:val="00D447FC"/>
    <w:rsid w:val="00D44899"/>
    <w:rsid w:val="00D44DF3"/>
    <w:rsid w:val="00D4647A"/>
    <w:rsid w:val="00D47ADB"/>
    <w:rsid w:val="00D47F1E"/>
    <w:rsid w:val="00D50086"/>
    <w:rsid w:val="00D50396"/>
    <w:rsid w:val="00D508A5"/>
    <w:rsid w:val="00D50C8D"/>
    <w:rsid w:val="00D50EA1"/>
    <w:rsid w:val="00D52D9E"/>
    <w:rsid w:val="00D52F27"/>
    <w:rsid w:val="00D52F28"/>
    <w:rsid w:val="00D52F64"/>
    <w:rsid w:val="00D54EE5"/>
    <w:rsid w:val="00D559FC"/>
    <w:rsid w:val="00D55A17"/>
    <w:rsid w:val="00D575B0"/>
    <w:rsid w:val="00D57AE1"/>
    <w:rsid w:val="00D57B0B"/>
    <w:rsid w:val="00D6039D"/>
    <w:rsid w:val="00D604FE"/>
    <w:rsid w:val="00D606E6"/>
    <w:rsid w:val="00D60998"/>
    <w:rsid w:val="00D61075"/>
    <w:rsid w:val="00D611EE"/>
    <w:rsid w:val="00D614BF"/>
    <w:rsid w:val="00D614F2"/>
    <w:rsid w:val="00D61508"/>
    <w:rsid w:val="00D628A5"/>
    <w:rsid w:val="00D6291E"/>
    <w:rsid w:val="00D62BE1"/>
    <w:rsid w:val="00D62CB0"/>
    <w:rsid w:val="00D62CC4"/>
    <w:rsid w:val="00D62DE5"/>
    <w:rsid w:val="00D62E19"/>
    <w:rsid w:val="00D62E29"/>
    <w:rsid w:val="00D63C0D"/>
    <w:rsid w:val="00D64088"/>
    <w:rsid w:val="00D649AB"/>
    <w:rsid w:val="00D64DA1"/>
    <w:rsid w:val="00D64F4D"/>
    <w:rsid w:val="00D65C0B"/>
    <w:rsid w:val="00D6603F"/>
    <w:rsid w:val="00D668A3"/>
    <w:rsid w:val="00D66EED"/>
    <w:rsid w:val="00D7015E"/>
    <w:rsid w:val="00D7159A"/>
    <w:rsid w:val="00D71DA3"/>
    <w:rsid w:val="00D7231C"/>
    <w:rsid w:val="00D729B4"/>
    <w:rsid w:val="00D746D5"/>
    <w:rsid w:val="00D752D7"/>
    <w:rsid w:val="00D75602"/>
    <w:rsid w:val="00D75B6D"/>
    <w:rsid w:val="00D75E30"/>
    <w:rsid w:val="00D764D3"/>
    <w:rsid w:val="00D77379"/>
    <w:rsid w:val="00D77837"/>
    <w:rsid w:val="00D800FE"/>
    <w:rsid w:val="00D80491"/>
    <w:rsid w:val="00D805A5"/>
    <w:rsid w:val="00D80A20"/>
    <w:rsid w:val="00D80AD4"/>
    <w:rsid w:val="00D81892"/>
    <w:rsid w:val="00D818D5"/>
    <w:rsid w:val="00D81963"/>
    <w:rsid w:val="00D81987"/>
    <w:rsid w:val="00D819B8"/>
    <w:rsid w:val="00D82067"/>
    <w:rsid w:val="00D8239E"/>
    <w:rsid w:val="00D84146"/>
    <w:rsid w:val="00D8500A"/>
    <w:rsid w:val="00D85644"/>
    <w:rsid w:val="00D8697C"/>
    <w:rsid w:val="00D86B42"/>
    <w:rsid w:val="00D873E5"/>
    <w:rsid w:val="00D90E78"/>
    <w:rsid w:val="00D9108A"/>
    <w:rsid w:val="00D9118B"/>
    <w:rsid w:val="00D911F2"/>
    <w:rsid w:val="00D9187B"/>
    <w:rsid w:val="00D91BFC"/>
    <w:rsid w:val="00D925E4"/>
    <w:rsid w:val="00D92B30"/>
    <w:rsid w:val="00D92F62"/>
    <w:rsid w:val="00D9372D"/>
    <w:rsid w:val="00D94A7B"/>
    <w:rsid w:val="00D95ADE"/>
    <w:rsid w:val="00D962A0"/>
    <w:rsid w:val="00D96C52"/>
    <w:rsid w:val="00D96E67"/>
    <w:rsid w:val="00D96FBF"/>
    <w:rsid w:val="00D97002"/>
    <w:rsid w:val="00D97125"/>
    <w:rsid w:val="00D97208"/>
    <w:rsid w:val="00D97761"/>
    <w:rsid w:val="00D9787C"/>
    <w:rsid w:val="00DA016F"/>
    <w:rsid w:val="00DA1B2F"/>
    <w:rsid w:val="00DA262D"/>
    <w:rsid w:val="00DA2FE4"/>
    <w:rsid w:val="00DA31DD"/>
    <w:rsid w:val="00DA3440"/>
    <w:rsid w:val="00DA3668"/>
    <w:rsid w:val="00DA42AE"/>
    <w:rsid w:val="00DA43B0"/>
    <w:rsid w:val="00DA4B94"/>
    <w:rsid w:val="00DA557B"/>
    <w:rsid w:val="00DA5DE5"/>
    <w:rsid w:val="00DA5E6B"/>
    <w:rsid w:val="00DA6B04"/>
    <w:rsid w:val="00DA6D9E"/>
    <w:rsid w:val="00DA7825"/>
    <w:rsid w:val="00DA7B4F"/>
    <w:rsid w:val="00DB024A"/>
    <w:rsid w:val="00DB0416"/>
    <w:rsid w:val="00DB052E"/>
    <w:rsid w:val="00DB11BE"/>
    <w:rsid w:val="00DB1AE6"/>
    <w:rsid w:val="00DB1DD7"/>
    <w:rsid w:val="00DB2606"/>
    <w:rsid w:val="00DB32A9"/>
    <w:rsid w:val="00DB3B86"/>
    <w:rsid w:val="00DB3CFD"/>
    <w:rsid w:val="00DB41FB"/>
    <w:rsid w:val="00DB4437"/>
    <w:rsid w:val="00DB4A0A"/>
    <w:rsid w:val="00DB4C67"/>
    <w:rsid w:val="00DB5A39"/>
    <w:rsid w:val="00DB5DB2"/>
    <w:rsid w:val="00DB5E30"/>
    <w:rsid w:val="00DB5F16"/>
    <w:rsid w:val="00DB6798"/>
    <w:rsid w:val="00DB68EC"/>
    <w:rsid w:val="00DB6D8E"/>
    <w:rsid w:val="00DB712C"/>
    <w:rsid w:val="00DB797D"/>
    <w:rsid w:val="00DB7B37"/>
    <w:rsid w:val="00DB7EAA"/>
    <w:rsid w:val="00DC03D2"/>
    <w:rsid w:val="00DC0645"/>
    <w:rsid w:val="00DC0B8B"/>
    <w:rsid w:val="00DC0CDD"/>
    <w:rsid w:val="00DC0EBB"/>
    <w:rsid w:val="00DC1108"/>
    <w:rsid w:val="00DC1549"/>
    <w:rsid w:val="00DC19CB"/>
    <w:rsid w:val="00DC2009"/>
    <w:rsid w:val="00DC21DF"/>
    <w:rsid w:val="00DC2C51"/>
    <w:rsid w:val="00DC32FD"/>
    <w:rsid w:val="00DC3A68"/>
    <w:rsid w:val="00DC3CA8"/>
    <w:rsid w:val="00DC3D68"/>
    <w:rsid w:val="00DC406B"/>
    <w:rsid w:val="00DC425C"/>
    <w:rsid w:val="00DC4A6C"/>
    <w:rsid w:val="00DC52F1"/>
    <w:rsid w:val="00DC546D"/>
    <w:rsid w:val="00DC5C1B"/>
    <w:rsid w:val="00DC61BF"/>
    <w:rsid w:val="00DC69F5"/>
    <w:rsid w:val="00DC6CAF"/>
    <w:rsid w:val="00DC793C"/>
    <w:rsid w:val="00DC799C"/>
    <w:rsid w:val="00DC7E96"/>
    <w:rsid w:val="00DD0093"/>
    <w:rsid w:val="00DD078A"/>
    <w:rsid w:val="00DD0CCE"/>
    <w:rsid w:val="00DD109F"/>
    <w:rsid w:val="00DD1D16"/>
    <w:rsid w:val="00DD2370"/>
    <w:rsid w:val="00DD26F6"/>
    <w:rsid w:val="00DD2835"/>
    <w:rsid w:val="00DD301B"/>
    <w:rsid w:val="00DD35D7"/>
    <w:rsid w:val="00DD4CBA"/>
    <w:rsid w:val="00DD4E7E"/>
    <w:rsid w:val="00DD4F20"/>
    <w:rsid w:val="00DD513F"/>
    <w:rsid w:val="00DD5545"/>
    <w:rsid w:val="00DD601D"/>
    <w:rsid w:val="00DD70E1"/>
    <w:rsid w:val="00DE051C"/>
    <w:rsid w:val="00DE07F9"/>
    <w:rsid w:val="00DE0E46"/>
    <w:rsid w:val="00DE1A10"/>
    <w:rsid w:val="00DE2BD6"/>
    <w:rsid w:val="00DE2EBF"/>
    <w:rsid w:val="00DE46FA"/>
    <w:rsid w:val="00DE53F3"/>
    <w:rsid w:val="00DE5A4D"/>
    <w:rsid w:val="00DE5CF1"/>
    <w:rsid w:val="00DE638E"/>
    <w:rsid w:val="00DE63E1"/>
    <w:rsid w:val="00DE64CB"/>
    <w:rsid w:val="00DE6EF3"/>
    <w:rsid w:val="00DE77F6"/>
    <w:rsid w:val="00DE7A10"/>
    <w:rsid w:val="00DE7E8E"/>
    <w:rsid w:val="00DF014D"/>
    <w:rsid w:val="00DF0AB6"/>
    <w:rsid w:val="00DF0B78"/>
    <w:rsid w:val="00DF1F4A"/>
    <w:rsid w:val="00DF2036"/>
    <w:rsid w:val="00DF2806"/>
    <w:rsid w:val="00DF3772"/>
    <w:rsid w:val="00DF57BD"/>
    <w:rsid w:val="00DF67DF"/>
    <w:rsid w:val="00DF6A58"/>
    <w:rsid w:val="00DF78FB"/>
    <w:rsid w:val="00E00BD6"/>
    <w:rsid w:val="00E01481"/>
    <w:rsid w:val="00E01FE7"/>
    <w:rsid w:val="00E02035"/>
    <w:rsid w:val="00E0225F"/>
    <w:rsid w:val="00E02A49"/>
    <w:rsid w:val="00E02F35"/>
    <w:rsid w:val="00E032BD"/>
    <w:rsid w:val="00E03CEF"/>
    <w:rsid w:val="00E03D17"/>
    <w:rsid w:val="00E0486C"/>
    <w:rsid w:val="00E052A0"/>
    <w:rsid w:val="00E05ACC"/>
    <w:rsid w:val="00E06731"/>
    <w:rsid w:val="00E06D0F"/>
    <w:rsid w:val="00E072F5"/>
    <w:rsid w:val="00E07E4E"/>
    <w:rsid w:val="00E07F64"/>
    <w:rsid w:val="00E10678"/>
    <w:rsid w:val="00E108B7"/>
    <w:rsid w:val="00E12BCE"/>
    <w:rsid w:val="00E12E26"/>
    <w:rsid w:val="00E1348E"/>
    <w:rsid w:val="00E13582"/>
    <w:rsid w:val="00E14264"/>
    <w:rsid w:val="00E1464C"/>
    <w:rsid w:val="00E152E9"/>
    <w:rsid w:val="00E15545"/>
    <w:rsid w:val="00E155CC"/>
    <w:rsid w:val="00E15622"/>
    <w:rsid w:val="00E15B22"/>
    <w:rsid w:val="00E16777"/>
    <w:rsid w:val="00E168B0"/>
    <w:rsid w:val="00E1764A"/>
    <w:rsid w:val="00E17812"/>
    <w:rsid w:val="00E2076C"/>
    <w:rsid w:val="00E20C6C"/>
    <w:rsid w:val="00E21126"/>
    <w:rsid w:val="00E21E93"/>
    <w:rsid w:val="00E221CD"/>
    <w:rsid w:val="00E2237F"/>
    <w:rsid w:val="00E22E12"/>
    <w:rsid w:val="00E23A93"/>
    <w:rsid w:val="00E23FA6"/>
    <w:rsid w:val="00E2417B"/>
    <w:rsid w:val="00E24AFB"/>
    <w:rsid w:val="00E24FB6"/>
    <w:rsid w:val="00E25D96"/>
    <w:rsid w:val="00E26684"/>
    <w:rsid w:val="00E2669D"/>
    <w:rsid w:val="00E267C6"/>
    <w:rsid w:val="00E26F9A"/>
    <w:rsid w:val="00E26FF1"/>
    <w:rsid w:val="00E271FA"/>
    <w:rsid w:val="00E27500"/>
    <w:rsid w:val="00E27684"/>
    <w:rsid w:val="00E304C5"/>
    <w:rsid w:val="00E30720"/>
    <w:rsid w:val="00E3089C"/>
    <w:rsid w:val="00E30A19"/>
    <w:rsid w:val="00E30ADA"/>
    <w:rsid w:val="00E30F79"/>
    <w:rsid w:val="00E311BB"/>
    <w:rsid w:val="00E3135D"/>
    <w:rsid w:val="00E3145D"/>
    <w:rsid w:val="00E316FA"/>
    <w:rsid w:val="00E31A47"/>
    <w:rsid w:val="00E326F0"/>
    <w:rsid w:val="00E335B3"/>
    <w:rsid w:val="00E33912"/>
    <w:rsid w:val="00E33CD0"/>
    <w:rsid w:val="00E3457F"/>
    <w:rsid w:val="00E34765"/>
    <w:rsid w:val="00E34F8E"/>
    <w:rsid w:val="00E35130"/>
    <w:rsid w:val="00E3578F"/>
    <w:rsid w:val="00E35D1D"/>
    <w:rsid w:val="00E35F34"/>
    <w:rsid w:val="00E361ED"/>
    <w:rsid w:val="00E3717F"/>
    <w:rsid w:val="00E37274"/>
    <w:rsid w:val="00E37913"/>
    <w:rsid w:val="00E379AC"/>
    <w:rsid w:val="00E37D3F"/>
    <w:rsid w:val="00E403E9"/>
    <w:rsid w:val="00E40A9A"/>
    <w:rsid w:val="00E40B1D"/>
    <w:rsid w:val="00E40EDA"/>
    <w:rsid w:val="00E40F26"/>
    <w:rsid w:val="00E410F5"/>
    <w:rsid w:val="00E4138E"/>
    <w:rsid w:val="00E41FA6"/>
    <w:rsid w:val="00E427F8"/>
    <w:rsid w:val="00E42920"/>
    <w:rsid w:val="00E42F32"/>
    <w:rsid w:val="00E43096"/>
    <w:rsid w:val="00E434AB"/>
    <w:rsid w:val="00E44EA7"/>
    <w:rsid w:val="00E45601"/>
    <w:rsid w:val="00E456BA"/>
    <w:rsid w:val="00E4602E"/>
    <w:rsid w:val="00E466CE"/>
    <w:rsid w:val="00E4672E"/>
    <w:rsid w:val="00E467CB"/>
    <w:rsid w:val="00E46BD1"/>
    <w:rsid w:val="00E472CC"/>
    <w:rsid w:val="00E47ABC"/>
    <w:rsid w:val="00E50621"/>
    <w:rsid w:val="00E519F4"/>
    <w:rsid w:val="00E51CE6"/>
    <w:rsid w:val="00E51ED7"/>
    <w:rsid w:val="00E52D0C"/>
    <w:rsid w:val="00E52EF5"/>
    <w:rsid w:val="00E53632"/>
    <w:rsid w:val="00E537C2"/>
    <w:rsid w:val="00E53934"/>
    <w:rsid w:val="00E53B8B"/>
    <w:rsid w:val="00E54129"/>
    <w:rsid w:val="00E54A3B"/>
    <w:rsid w:val="00E54F77"/>
    <w:rsid w:val="00E558A1"/>
    <w:rsid w:val="00E55B25"/>
    <w:rsid w:val="00E55D66"/>
    <w:rsid w:val="00E56071"/>
    <w:rsid w:val="00E565BD"/>
    <w:rsid w:val="00E565EB"/>
    <w:rsid w:val="00E56E11"/>
    <w:rsid w:val="00E56EF5"/>
    <w:rsid w:val="00E60835"/>
    <w:rsid w:val="00E60C1B"/>
    <w:rsid w:val="00E60C41"/>
    <w:rsid w:val="00E60EED"/>
    <w:rsid w:val="00E61310"/>
    <w:rsid w:val="00E6369C"/>
    <w:rsid w:val="00E63806"/>
    <w:rsid w:val="00E63DC2"/>
    <w:rsid w:val="00E64895"/>
    <w:rsid w:val="00E65585"/>
    <w:rsid w:val="00E655BE"/>
    <w:rsid w:val="00E65730"/>
    <w:rsid w:val="00E65963"/>
    <w:rsid w:val="00E65B19"/>
    <w:rsid w:val="00E65B8D"/>
    <w:rsid w:val="00E65F8F"/>
    <w:rsid w:val="00E661DA"/>
    <w:rsid w:val="00E676C1"/>
    <w:rsid w:val="00E67A11"/>
    <w:rsid w:val="00E67F78"/>
    <w:rsid w:val="00E70820"/>
    <w:rsid w:val="00E71AE3"/>
    <w:rsid w:val="00E71C4E"/>
    <w:rsid w:val="00E72A2F"/>
    <w:rsid w:val="00E73D4E"/>
    <w:rsid w:val="00E742FF"/>
    <w:rsid w:val="00E74968"/>
    <w:rsid w:val="00E756A4"/>
    <w:rsid w:val="00E7593E"/>
    <w:rsid w:val="00E759E4"/>
    <w:rsid w:val="00E75D18"/>
    <w:rsid w:val="00E7613E"/>
    <w:rsid w:val="00E766B2"/>
    <w:rsid w:val="00E77126"/>
    <w:rsid w:val="00E773D3"/>
    <w:rsid w:val="00E8087A"/>
    <w:rsid w:val="00E80E3E"/>
    <w:rsid w:val="00E81430"/>
    <w:rsid w:val="00E814E3"/>
    <w:rsid w:val="00E827F9"/>
    <w:rsid w:val="00E83D1D"/>
    <w:rsid w:val="00E83D1E"/>
    <w:rsid w:val="00E84E03"/>
    <w:rsid w:val="00E8528C"/>
    <w:rsid w:val="00E8555B"/>
    <w:rsid w:val="00E86DEC"/>
    <w:rsid w:val="00E872E3"/>
    <w:rsid w:val="00E875A2"/>
    <w:rsid w:val="00E875FC"/>
    <w:rsid w:val="00E913DB"/>
    <w:rsid w:val="00E915FB"/>
    <w:rsid w:val="00E917E6"/>
    <w:rsid w:val="00E9281A"/>
    <w:rsid w:val="00E939F5"/>
    <w:rsid w:val="00E93C86"/>
    <w:rsid w:val="00E944C4"/>
    <w:rsid w:val="00E951A6"/>
    <w:rsid w:val="00E95251"/>
    <w:rsid w:val="00E95692"/>
    <w:rsid w:val="00E95D37"/>
    <w:rsid w:val="00E962BE"/>
    <w:rsid w:val="00E96849"/>
    <w:rsid w:val="00E9776F"/>
    <w:rsid w:val="00E97893"/>
    <w:rsid w:val="00EA08A7"/>
    <w:rsid w:val="00EA0E8A"/>
    <w:rsid w:val="00EA1395"/>
    <w:rsid w:val="00EA19EB"/>
    <w:rsid w:val="00EA1EEA"/>
    <w:rsid w:val="00EA1FBC"/>
    <w:rsid w:val="00EA3225"/>
    <w:rsid w:val="00EA342E"/>
    <w:rsid w:val="00EA3DB8"/>
    <w:rsid w:val="00EA45F6"/>
    <w:rsid w:val="00EA4AB7"/>
    <w:rsid w:val="00EA6587"/>
    <w:rsid w:val="00EA67C4"/>
    <w:rsid w:val="00EA6CE8"/>
    <w:rsid w:val="00EA7439"/>
    <w:rsid w:val="00EA7946"/>
    <w:rsid w:val="00EB0140"/>
    <w:rsid w:val="00EB169A"/>
    <w:rsid w:val="00EB1749"/>
    <w:rsid w:val="00EB1B19"/>
    <w:rsid w:val="00EB1BB9"/>
    <w:rsid w:val="00EB2614"/>
    <w:rsid w:val="00EB2E8C"/>
    <w:rsid w:val="00EB3FA5"/>
    <w:rsid w:val="00EB461E"/>
    <w:rsid w:val="00EB48CB"/>
    <w:rsid w:val="00EB4C8D"/>
    <w:rsid w:val="00EB54C0"/>
    <w:rsid w:val="00EB5697"/>
    <w:rsid w:val="00EB56A6"/>
    <w:rsid w:val="00EB665D"/>
    <w:rsid w:val="00EB69B1"/>
    <w:rsid w:val="00EB6C58"/>
    <w:rsid w:val="00EB702A"/>
    <w:rsid w:val="00EB7EEA"/>
    <w:rsid w:val="00EC0729"/>
    <w:rsid w:val="00EC085C"/>
    <w:rsid w:val="00EC0A95"/>
    <w:rsid w:val="00EC15C8"/>
    <w:rsid w:val="00EC1DC1"/>
    <w:rsid w:val="00EC29C8"/>
    <w:rsid w:val="00EC342B"/>
    <w:rsid w:val="00EC3DE0"/>
    <w:rsid w:val="00EC49C1"/>
    <w:rsid w:val="00EC4F3A"/>
    <w:rsid w:val="00EC59CF"/>
    <w:rsid w:val="00EC5CBC"/>
    <w:rsid w:val="00EC5EB1"/>
    <w:rsid w:val="00EC74B3"/>
    <w:rsid w:val="00EC7AD4"/>
    <w:rsid w:val="00ED02F2"/>
    <w:rsid w:val="00ED05BD"/>
    <w:rsid w:val="00ED19A3"/>
    <w:rsid w:val="00ED28E3"/>
    <w:rsid w:val="00ED2F9B"/>
    <w:rsid w:val="00ED3533"/>
    <w:rsid w:val="00ED42F5"/>
    <w:rsid w:val="00ED4364"/>
    <w:rsid w:val="00ED4382"/>
    <w:rsid w:val="00ED4B26"/>
    <w:rsid w:val="00ED4D5D"/>
    <w:rsid w:val="00ED581F"/>
    <w:rsid w:val="00ED5D27"/>
    <w:rsid w:val="00ED7EF1"/>
    <w:rsid w:val="00EE08D3"/>
    <w:rsid w:val="00EE1092"/>
    <w:rsid w:val="00EE11DF"/>
    <w:rsid w:val="00EE1C51"/>
    <w:rsid w:val="00EE1D7F"/>
    <w:rsid w:val="00EE1DEB"/>
    <w:rsid w:val="00EE1E40"/>
    <w:rsid w:val="00EE20C4"/>
    <w:rsid w:val="00EE21F2"/>
    <w:rsid w:val="00EE23A5"/>
    <w:rsid w:val="00EE25E5"/>
    <w:rsid w:val="00EE26AF"/>
    <w:rsid w:val="00EE2A39"/>
    <w:rsid w:val="00EE2FFE"/>
    <w:rsid w:val="00EE3331"/>
    <w:rsid w:val="00EE39F4"/>
    <w:rsid w:val="00EE3B35"/>
    <w:rsid w:val="00EE4B70"/>
    <w:rsid w:val="00EE4F9B"/>
    <w:rsid w:val="00EE5354"/>
    <w:rsid w:val="00EE68B2"/>
    <w:rsid w:val="00EE68E9"/>
    <w:rsid w:val="00EE7102"/>
    <w:rsid w:val="00EE722A"/>
    <w:rsid w:val="00EE7BA8"/>
    <w:rsid w:val="00EF066E"/>
    <w:rsid w:val="00EF08A4"/>
    <w:rsid w:val="00EF0D7E"/>
    <w:rsid w:val="00EF0EED"/>
    <w:rsid w:val="00EF103A"/>
    <w:rsid w:val="00EF197E"/>
    <w:rsid w:val="00EF29AA"/>
    <w:rsid w:val="00EF321B"/>
    <w:rsid w:val="00EF39E2"/>
    <w:rsid w:val="00EF3A37"/>
    <w:rsid w:val="00EF5052"/>
    <w:rsid w:val="00EF50EE"/>
    <w:rsid w:val="00EF58B7"/>
    <w:rsid w:val="00EF5CB0"/>
    <w:rsid w:val="00EF60A1"/>
    <w:rsid w:val="00EF6ACA"/>
    <w:rsid w:val="00EF7417"/>
    <w:rsid w:val="00EF7C49"/>
    <w:rsid w:val="00F01AD0"/>
    <w:rsid w:val="00F01CA3"/>
    <w:rsid w:val="00F01E4D"/>
    <w:rsid w:val="00F026FA"/>
    <w:rsid w:val="00F0273D"/>
    <w:rsid w:val="00F027D1"/>
    <w:rsid w:val="00F028A7"/>
    <w:rsid w:val="00F0302D"/>
    <w:rsid w:val="00F03564"/>
    <w:rsid w:val="00F037A3"/>
    <w:rsid w:val="00F0679F"/>
    <w:rsid w:val="00F06B92"/>
    <w:rsid w:val="00F06CF0"/>
    <w:rsid w:val="00F0739E"/>
    <w:rsid w:val="00F075F2"/>
    <w:rsid w:val="00F07C7C"/>
    <w:rsid w:val="00F07C9D"/>
    <w:rsid w:val="00F07EF7"/>
    <w:rsid w:val="00F107A7"/>
    <w:rsid w:val="00F10C6A"/>
    <w:rsid w:val="00F113A5"/>
    <w:rsid w:val="00F11A37"/>
    <w:rsid w:val="00F11BD0"/>
    <w:rsid w:val="00F1213A"/>
    <w:rsid w:val="00F1259D"/>
    <w:rsid w:val="00F1264E"/>
    <w:rsid w:val="00F127F1"/>
    <w:rsid w:val="00F12B91"/>
    <w:rsid w:val="00F135CA"/>
    <w:rsid w:val="00F13C58"/>
    <w:rsid w:val="00F13F03"/>
    <w:rsid w:val="00F1453F"/>
    <w:rsid w:val="00F14AC6"/>
    <w:rsid w:val="00F151D4"/>
    <w:rsid w:val="00F15602"/>
    <w:rsid w:val="00F203D8"/>
    <w:rsid w:val="00F2055D"/>
    <w:rsid w:val="00F2125F"/>
    <w:rsid w:val="00F213B1"/>
    <w:rsid w:val="00F2301A"/>
    <w:rsid w:val="00F23022"/>
    <w:rsid w:val="00F244EF"/>
    <w:rsid w:val="00F24833"/>
    <w:rsid w:val="00F256DF"/>
    <w:rsid w:val="00F2650A"/>
    <w:rsid w:val="00F26C4F"/>
    <w:rsid w:val="00F26D7E"/>
    <w:rsid w:val="00F26DF1"/>
    <w:rsid w:val="00F2702F"/>
    <w:rsid w:val="00F27A21"/>
    <w:rsid w:val="00F27F58"/>
    <w:rsid w:val="00F27FBB"/>
    <w:rsid w:val="00F306E5"/>
    <w:rsid w:val="00F32122"/>
    <w:rsid w:val="00F32443"/>
    <w:rsid w:val="00F32854"/>
    <w:rsid w:val="00F3360A"/>
    <w:rsid w:val="00F338A6"/>
    <w:rsid w:val="00F3427E"/>
    <w:rsid w:val="00F345E5"/>
    <w:rsid w:val="00F356C7"/>
    <w:rsid w:val="00F35F6A"/>
    <w:rsid w:val="00F3611F"/>
    <w:rsid w:val="00F3641E"/>
    <w:rsid w:val="00F36633"/>
    <w:rsid w:val="00F3679E"/>
    <w:rsid w:val="00F40D20"/>
    <w:rsid w:val="00F40F90"/>
    <w:rsid w:val="00F41453"/>
    <w:rsid w:val="00F41729"/>
    <w:rsid w:val="00F4195B"/>
    <w:rsid w:val="00F41C9D"/>
    <w:rsid w:val="00F42138"/>
    <w:rsid w:val="00F428D4"/>
    <w:rsid w:val="00F43535"/>
    <w:rsid w:val="00F4353B"/>
    <w:rsid w:val="00F4382D"/>
    <w:rsid w:val="00F43CFD"/>
    <w:rsid w:val="00F43D4C"/>
    <w:rsid w:val="00F442D6"/>
    <w:rsid w:val="00F44D1B"/>
    <w:rsid w:val="00F44E88"/>
    <w:rsid w:val="00F44FD2"/>
    <w:rsid w:val="00F46798"/>
    <w:rsid w:val="00F46F9E"/>
    <w:rsid w:val="00F514BB"/>
    <w:rsid w:val="00F51575"/>
    <w:rsid w:val="00F516E7"/>
    <w:rsid w:val="00F532B7"/>
    <w:rsid w:val="00F54547"/>
    <w:rsid w:val="00F5500F"/>
    <w:rsid w:val="00F552E5"/>
    <w:rsid w:val="00F557A8"/>
    <w:rsid w:val="00F562AE"/>
    <w:rsid w:val="00F5671C"/>
    <w:rsid w:val="00F567B1"/>
    <w:rsid w:val="00F56A01"/>
    <w:rsid w:val="00F57AC6"/>
    <w:rsid w:val="00F6004D"/>
    <w:rsid w:val="00F60838"/>
    <w:rsid w:val="00F60CC7"/>
    <w:rsid w:val="00F61248"/>
    <w:rsid w:val="00F62707"/>
    <w:rsid w:val="00F63623"/>
    <w:rsid w:val="00F638F6"/>
    <w:rsid w:val="00F63A73"/>
    <w:rsid w:val="00F63AE5"/>
    <w:rsid w:val="00F641C1"/>
    <w:rsid w:val="00F64344"/>
    <w:rsid w:val="00F64C58"/>
    <w:rsid w:val="00F65571"/>
    <w:rsid w:val="00F66A6E"/>
    <w:rsid w:val="00F6746E"/>
    <w:rsid w:val="00F67831"/>
    <w:rsid w:val="00F67CDB"/>
    <w:rsid w:val="00F7025C"/>
    <w:rsid w:val="00F7075B"/>
    <w:rsid w:val="00F70ED9"/>
    <w:rsid w:val="00F71809"/>
    <w:rsid w:val="00F71B20"/>
    <w:rsid w:val="00F727F3"/>
    <w:rsid w:val="00F72830"/>
    <w:rsid w:val="00F73317"/>
    <w:rsid w:val="00F73391"/>
    <w:rsid w:val="00F73F65"/>
    <w:rsid w:val="00F74B29"/>
    <w:rsid w:val="00F74FFC"/>
    <w:rsid w:val="00F7614C"/>
    <w:rsid w:val="00F76610"/>
    <w:rsid w:val="00F76A6F"/>
    <w:rsid w:val="00F776F6"/>
    <w:rsid w:val="00F7770E"/>
    <w:rsid w:val="00F77B90"/>
    <w:rsid w:val="00F80984"/>
    <w:rsid w:val="00F81828"/>
    <w:rsid w:val="00F82C08"/>
    <w:rsid w:val="00F831BF"/>
    <w:rsid w:val="00F83BB9"/>
    <w:rsid w:val="00F83F62"/>
    <w:rsid w:val="00F84DC4"/>
    <w:rsid w:val="00F84DC9"/>
    <w:rsid w:val="00F85BC6"/>
    <w:rsid w:val="00F86AE8"/>
    <w:rsid w:val="00F87F11"/>
    <w:rsid w:val="00F90E14"/>
    <w:rsid w:val="00F9130E"/>
    <w:rsid w:val="00F913C9"/>
    <w:rsid w:val="00F91CE4"/>
    <w:rsid w:val="00F920FD"/>
    <w:rsid w:val="00F93904"/>
    <w:rsid w:val="00F95079"/>
    <w:rsid w:val="00F9514A"/>
    <w:rsid w:val="00F95AAB"/>
    <w:rsid w:val="00F969EB"/>
    <w:rsid w:val="00F97215"/>
    <w:rsid w:val="00F97472"/>
    <w:rsid w:val="00F97C4E"/>
    <w:rsid w:val="00FA0CE6"/>
    <w:rsid w:val="00FA1304"/>
    <w:rsid w:val="00FA23EB"/>
    <w:rsid w:val="00FA2672"/>
    <w:rsid w:val="00FA2CD3"/>
    <w:rsid w:val="00FA2FFA"/>
    <w:rsid w:val="00FA32B2"/>
    <w:rsid w:val="00FA3745"/>
    <w:rsid w:val="00FA3779"/>
    <w:rsid w:val="00FA3C2F"/>
    <w:rsid w:val="00FA4E8F"/>
    <w:rsid w:val="00FA534F"/>
    <w:rsid w:val="00FA53ED"/>
    <w:rsid w:val="00FA602B"/>
    <w:rsid w:val="00FA659D"/>
    <w:rsid w:val="00FA72A0"/>
    <w:rsid w:val="00FB0FD8"/>
    <w:rsid w:val="00FB1C5A"/>
    <w:rsid w:val="00FB25A8"/>
    <w:rsid w:val="00FB2DF6"/>
    <w:rsid w:val="00FB2F60"/>
    <w:rsid w:val="00FB3002"/>
    <w:rsid w:val="00FB304D"/>
    <w:rsid w:val="00FB36EF"/>
    <w:rsid w:val="00FB3E4E"/>
    <w:rsid w:val="00FB42CD"/>
    <w:rsid w:val="00FB459F"/>
    <w:rsid w:val="00FB4759"/>
    <w:rsid w:val="00FB573C"/>
    <w:rsid w:val="00FB59B6"/>
    <w:rsid w:val="00FB5E17"/>
    <w:rsid w:val="00FB5FED"/>
    <w:rsid w:val="00FB62F0"/>
    <w:rsid w:val="00FB6895"/>
    <w:rsid w:val="00FB6BDD"/>
    <w:rsid w:val="00FB6C60"/>
    <w:rsid w:val="00FB73B9"/>
    <w:rsid w:val="00FC05CF"/>
    <w:rsid w:val="00FC06BB"/>
    <w:rsid w:val="00FC0EC5"/>
    <w:rsid w:val="00FC1E9D"/>
    <w:rsid w:val="00FC24B3"/>
    <w:rsid w:val="00FC2EE3"/>
    <w:rsid w:val="00FC3310"/>
    <w:rsid w:val="00FC3734"/>
    <w:rsid w:val="00FC37DA"/>
    <w:rsid w:val="00FC3BA0"/>
    <w:rsid w:val="00FC421F"/>
    <w:rsid w:val="00FC4BE1"/>
    <w:rsid w:val="00FC4CAB"/>
    <w:rsid w:val="00FC57B4"/>
    <w:rsid w:val="00FC794D"/>
    <w:rsid w:val="00FD00E2"/>
    <w:rsid w:val="00FD06E1"/>
    <w:rsid w:val="00FD0750"/>
    <w:rsid w:val="00FD09B3"/>
    <w:rsid w:val="00FD0B8B"/>
    <w:rsid w:val="00FD0F47"/>
    <w:rsid w:val="00FD20D5"/>
    <w:rsid w:val="00FD2213"/>
    <w:rsid w:val="00FD25FA"/>
    <w:rsid w:val="00FD2CD7"/>
    <w:rsid w:val="00FD2E58"/>
    <w:rsid w:val="00FD3615"/>
    <w:rsid w:val="00FD3FF6"/>
    <w:rsid w:val="00FD5703"/>
    <w:rsid w:val="00FD5C5C"/>
    <w:rsid w:val="00FD7C7A"/>
    <w:rsid w:val="00FE0062"/>
    <w:rsid w:val="00FE1482"/>
    <w:rsid w:val="00FE170D"/>
    <w:rsid w:val="00FE23E3"/>
    <w:rsid w:val="00FE2983"/>
    <w:rsid w:val="00FE2C91"/>
    <w:rsid w:val="00FE2DFC"/>
    <w:rsid w:val="00FE34F1"/>
    <w:rsid w:val="00FE3605"/>
    <w:rsid w:val="00FE3BC9"/>
    <w:rsid w:val="00FE43E7"/>
    <w:rsid w:val="00FE4F7D"/>
    <w:rsid w:val="00FE5A72"/>
    <w:rsid w:val="00FE5BAB"/>
    <w:rsid w:val="00FE69DA"/>
    <w:rsid w:val="00FE755A"/>
    <w:rsid w:val="00FE7614"/>
    <w:rsid w:val="00FE7EE0"/>
    <w:rsid w:val="00FE7F2A"/>
    <w:rsid w:val="00FF109B"/>
    <w:rsid w:val="00FF10F8"/>
    <w:rsid w:val="00FF27B2"/>
    <w:rsid w:val="00FF2AD5"/>
    <w:rsid w:val="00FF2EAA"/>
    <w:rsid w:val="00FF333C"/>
    <w:rsid w:val="00FF3577"/>
    <w:rsid w:val="00FF36B0"/>
    <w:rsid w:val="00FF3803"/>
    <w:rsid w:val="00FF3936"/>
    <w:rsid w:val="00FF4E7F"/>
    <w:rsid w:val="00FF4ECF"/>
    <w:rsid w:val="00FF517F"/>
    <w:rsid w:val="00FF73B7"/>
    <w:rsid w:val="00FF7EDB"/>
    <w:rsid w:val="01042CD0"/>
    <w:rsid w:val="010853C2"/>
    <w:rsid w:val="013F26B8"/>
    <w:rsid w:val="019A362C"/>
    <w:rsid w:val="01A21D3D"/>
    <w:rsid w:val="01AF35D1"/>
    <w:rsid w:val="01C32272"/>
    <w:rsid w:val="02063FE0"/>
    <w:rsid w:val="023B38F9"/>
    <w:rsid w:val="024A268E"/>
    <w:rsid w:val="027F295F"/>
    <w:rsid w:val="02805EA8"/>
    <w:rsid w:val="02A81908"/>
    <w:rsid w:val="02A9706C"/>
    <w:rsid w:val="031B02A5"/>
    <w:rsid w:val="03457395"/>
    <w:rsid w:val="03D40D58"/>
    <w:rsid w:val="040E3C4E"/>
    <w:rsid w:val="042E07AD"/>
    <w:rsid w:val="042F6DE5"/>
    <w:rsid w:val="04803900"/>
    <w:rsid w:val="053E2528"/>
    <w:rsid w:val="05754C01"/>
    <w:rsid w:val="05D84CA5"/>
    <w:rsid w:val="05E11B17"/>
    <w:rsid w:val="06331B3C"/>
    <w:rsid w:val="06513BD9"/>
    <w:rsid w:val="065906F6"/>
    <w:rsid w:val="06646A88"/>
    <w:rsid w:val="06780FAB"/>
    <w:rsid w:val="06C77C46"/>
    <w:rsid w:val="06DE1822"/>
    <w:rsid w:val="07163AF6"/>
    <w:rsid w:val="071A2D33"/>
    <w:rsid w:val="07E449C9"/>
    <w:rsid w:val="084724A0"/>
    <w:rsid w:val="08720BFC"/>
    <w:rsid w:val="08847D87"/>
    <w:rsid w:val="089236C7"/>
    <w:rsid w:val="089A3165"/>
    <w:rsid w:val="091E4702"/>
    <w:rsid w:val="094908AF"/>
    <w:rsid w:val="09B713FD"/>
    <w:rsid w:val="09F0285C"/>
    <w:rsid w:val="0A300C1C"/>
    <w:rsid w:val="0A4C5174"/>
    <w:rsid w:val="0A4F0ED5"/>
    <w:rsid w:val="0A616013"/>
    <w:rsid w:val="0A883CD4"/>
    <w:rsid w:val="0A9642EF"/>
    <w:rsid w:val="0AC073E9"/>
    <w:rsid w:val="0B1E7634"/>
    <w:rsid w:val="0B50371D"/>
    <w:rsid w:val="0B744BD6"/>
    <w:rsid w:val="0B8251F1"/>
    <w:rsid w:val="0B892115"/>
    <w:rsid w:val="0BCC3D66"/>
    <w:rsid w:val="0BE10448"/>
    <w:rsid w:val="0BF63421"/>
    <w:rsid w:val="0C192145"/>
    <w:rsid w:val="0C3A111C"/>
    <w:rsid w:val="0C946333"/>
    <w:rsid w:val="0CCE3E4F"/>
    <w:rsid w:val="0D157BAE"/>
    <w:rsid w:val="0D80089F"/>
    <w:rsid w:val="0DBB3B97"/>
    <w:rsid w:val="0E3B7968"/>
    <w:rsid w:val="0E3C0FF6"/>
    <w:rsid w:val="0E632F93"/>
    <w:rsid w:val="0E935342"/>
    <w:rsid w:val="0F1D1D3A"/>
    <w:rsid w:val="0F580B5C"/>
    <w:rsid w:val="0F7E5C25"/>
    <w:rsid w:val="0F984521"/>
    <w:rsid w:val="0FE30C1D"/>
    <w:rsid w:val="10125000"/>
    <w:rsid w:val="10B2256F"/>
    <w:rsid w:val="10C87F96"/>
    <w:rsid w:val="11254FC4"/>
    <w:rsid w:val="11643698"/>
    <w:rsid w:val="11697B20"/>
    <w:rsid w:val="118B5AD6"/>
    <w:rsid w:val="11953E67"/>
    <w:rsid w:val="119B3281"/>
    <w:rsid w:val="11C83793"/>
    <w:rsid w:val="129A3715"/>
    <w:rsid w:val="12A36F72"/>
    <w:rsid w:val="12F83AAE"/>
    <w:rsid w:val="1315626C"/>
    <w:rsid w:val="1321315C"/>
    <w:rsid w:val="135C5DB1"/>
    <w:rsid w:val="138B743A"/>
    <w:rsid w:val="13AE57EB"/>
    <w:rsid w:val="13BA5B9C"/>
    <w:rsid w:val="13BD3FA8"/>
    <w:rsid w:val="13E53561"/>
    <w:rsid w:val="141A7089"/>
    <w:rsid w:val="144C52D9"/>
    <w:rsid w:val="14D6523E"/>
    <w:rsid w:val="15085161"/>
    <w:rsid w:val="15500F40"/>
    <w:rsid w:val="15885061"/>
    <w:rsid w:val="15F1340C"/>
    <w:rsid w:val="16135A37"/>
    <w:rsid w:val="16D54D03"/>
    <w:rsid w:val="16E4751C"/>
    <w:rsid w:val="16EA1425"/>
    <w:rsid w:val="16EA2E63"/>
    <w:rsid w:val="177B0D14"/>
    <w:rsid w:val="17EE7189"/>
    <w:rsid w:val="180E3BEE"/>
    <w:rsid w:val="183945CA"/>
    <w:rsid w:val="19402577"/>
    <w:rsid w:val="19443B83"/>
    <w:rsid w:val="194D7C0E"/>
    <w:rsid w:val="197B3CDD"/>
    <w:rsid w:val="1986426C"/>
    <w:rsid w:val="19EC1A12"/>
    <w:rsid w:val="1A081343"/>
    <w:rsid w:val="1A466C29"/>
    <w:rsid w:val="1A524C3A"/>
    <w:rsid w:val="1A9B6333"/>
    <w:rsid w:val="1B1F438E"/>
    <w:rsid w:val="1C656C23"/>
    <w:rsid w:val="1CE55F93"/>
    <w:rsid w:val="1D767D65"/>
    <w:rsid w:val="1DAB1044"/>
    <w:rsid w:val="1E257CE8"/>
    <w:rsid w:val="1E4361B4"/>
    <w:rsid w:val="1EA44F54"/>
    <w:rsid w:val="1EE61241"/>
    <w:rsid w:val="1EFA53C9"/>
    <w:rsid w:val="1F13259E"/>
    <w:rsid w:val="1F4160D7"/>
    <w:rsid w:val="1F8F7D3E"/>
    <w:rsid w:val="1FCC649A"/>
    <w:rsid w:val="1FFE648A"/>
    <w:rsid w:val="20EF1296"/>
    <w:rsid w:val="212A5BF7"/>
    <w:rsid w:val="21885F91"/>
    <w:rsid w:val="21A6496F"/>
    <w:rsid w:val="21B50459"/>
    <w:rsid w:val="21DC5A1B"/>
    <w:rsid w:val="21FC5F50"/>
    <w:rsid w:val="222F4E23"/>
    <w:rsid w:val="23385CD8"/>
    <w:rsid w:val="23480DF3"/>
    <w:rsid w:val="2364380D"/>
    <w:rsid w:val="236751A2"/>
    <w:rsid w:val="236F5E31"/>
    <w:rsid w:val="237A07B2"/>
    <w:rsid w:val="23C93F42"/>
    <w:rsid w:val="23E115E8"/>
    <w:rsid w:val="23FD4CA4"/>
    <w:rsid w:val="240C1B12"/>
    <w:rsid w:val="24CC02EC"/>
    <w:rsid w:val="258E2D69"/>
    <w:rsid w:val="25E66CC5"/>
    <w:rsid w:val="261D5164"/>
    <w:rsid w:val="262F7F34"/>
    <w:rsid w:val="269A1588"/>
    <w:rsid w:val="269C0568"/>
    <w:rsid w:val="26B167C3"/>
    <w:rsid w:val="26D364C3"/>
    <w:rsid w:val="26DA0F2D"/>
    <w:rsid w:val="2707682B"/>
    <w:rsid w:val="276B793B"/>
    <w:rsid w:val="27C36FB7"/>
    <w:rsid w:val="281954D5"/>
    <w:rsid w:val="282E547B"/>
    <w:rsid w:val="285E01C8"/>
    <w:rsid w:val="28872AE4"/>
    <w:rsid w:val="288D0D17"/>
    <w:rsid w:val="28B1694E"/>
    <w:rsid w:val="28E17C20"/>
    <w:rsid w:val="28F61640"/>
    <w:rsid w:val="290663A3"/>
    <w:rsid w:val="2956295F"/>
    <w:rsid w:val="299A59D2"/>
    <w:rsid w:val="29D06DA5"/>
    <w:rsid w:val="2A012BD6"/>
    <w:rsid w:val="2A377A4E"/>
    <w:rsid w:val="2AA42601"/>
    <w:rsid w:val="2AB1519A"/>
    <w:rsid w:val="2AB26687"/>
    <w:rsid w:val="2AED757D"/>
    <w:rsid w:val="2B453D47"/>
    <w:rsid w:val="2B513A1E"/>
    <w:rsid w:val="2B5272A1"/>
    <w:rsid w:val="2C1A6CEA"/>
    <w:rsid w:val="2C7F4490"/>
    <w:rsid w:val="2D665687"/>
    <w:rsid w:val="2D71729C"/>
    <w:rsid w:val="2E32444B"/>
    <w:rsid w:val="2E8150F8"/>
    <w:rsid w:val="2E9402F8"/>
    <w:rsid w:val="2ECE4FDA"/>
    <w:rsid w:val="2EFF57A9"/>
    <w:rsid w:val="2F5561B7"/>
    <w:rsid w:val="2F7A50F2"/>
    <w:rsid w:val="2FB461D1"/>
    <w:rsid w:val="2FBB395D"/>
    <w:rsid w:val="2FC36A94"/>
    <w:rsid w:val="30696F79"/>
    <w:rsid w:val="30CF06D9"/>
    <w:rsid w:val="30F36F75"/>
    <w:rsid w:val="311A6D9D"/>
    <w:rsid w:val="313F5CD8"/>
    <w:rsid w:val="316C7AA1"/>
    <w:rsid w:val="317A42A9"/>
    <w:rsid w:val="3232447B"/>
    <w:rsid w:val="325507B1"/>
    <w:rsid w:val="32705150"/>
    <w:rsid w:val="32BA0A47"/>
    <w:rsid w:val="32F74B3B"/>
    <w:rsid w:val="32FB14B1"/>
    <w:rsid w:val="332735FA"/>
    <w:rsid w:val="334D0803"/>
    <w:rsid w:val="335763CE"/>
    <w:rsid w:val="33B679E6"/>
    <w:rsid w:val="33C71E7E"/>
    <w:rsid w:val="33F7044F"/>
    <w:rsid w:val="340B70F0"/>
    <w:rsid w:val="34654306"/>
    <w:rsid w:val="3476679F"/>
    <w:rsid w:val="348C0943"/>
    <w:rsid w:val="34D57E3D"/>
    <w:rsid w:val="350D5243"/>
    <w:rsid w:val="360973A8"/>
    <w:rsid w:val="361A54AF"/>
    <w:rsid w:val="363C61CC"/>
    <w:rsid w:val="36867804"/>
    <w:rsid w:val="36970102"/>
    <w:rsid w:val="370522D0"/>
    <w:rsid w:val="371B2276"/>
    <w:rsid w:val="371D2F6F"/>
    <w:rsid w:val="375E7514"/>
    <w:rsid w:val="379F6250"/>
    <w:rsid w:val="37A61E5A"/>
    <w:rsid w:val="37E97099"/>
    <w:rsid w:val="385A0A04"/>
    <w:rsid w:val="38661233"/>
    <w:rsid w:val="38815040"/>
    <w:rsid w:val="388C0E52"/>
    <w:rsid w:val="388C6C54"/>
    <w:rsid w:val="38926838"/>
    <w:rsid w:val="38CD2F41"/>
    <w:rsid w:val="38F93A05"/>
    <w:rsid w:val="39191D3B"/>
    <w:rsid w:val="39271BE9"/>
    <w:rsid w:val="39A015D2"/>
    <w:rsid w:val="3A116A50"/>
    <w:rsid w:val="3A1379D5"/>
    <w:rsid w:val="3A4A7485"/>
    <w:rsid w:val="3A4F4072"/>
    <w:rsid w:val="3A8A2E97"/>
    <w:rsid w:val="3ACC3F1B"/>
    <w:rsid w:val="3AEA1979"/>
    <w:rsid w:val="3BA023FF"/>
    <w:rsid w:val="3BB2617C"/>
    <w:rsid w:val="3BE556D1"/>
    <w:rsid w:val="3BF746F2"/>
    <w:rsid w:val="3C710B39"/>
    <w:rsid w:val="3CA05E05"/>
    <w:rsid w:val="3D0637AB"/>
    <w:rsid w:val="3D485319"/>
    <w:rsid w:val="3D6B76D5"/>
    <w:rsid w:val="3D6E7757"/>
    <w:rsid w:val="3DBD65F8"/>
    <w:rsid w:val="3DD93B8D"/>
    <w:rsid w:val="3E0F72E0"/>
    <w:rsid w:val="3E345CBB"/>
    <w:rsid w:val="3E5509D8"/>
    <w:rsid w:val="3EA70758"/>
    <w:rsid w:val="3EB26AE9"/>
    <w:rsid w:val="3F135889"/>
    <w:rsid w:val="3F155841"/>
    <w:rsid w:val="3F167D0F"/>
    <w:rsid w:val="3F525382"/>
    <w:rsid w:val="3FA23B7E"/>
    <w:rsid w:val="3FA376F7"/>
    <w:rsid w:val="40160368"/>
    <w:rsid w:val="402E3A57"/>
    <w:rsid w:val="4042057D"/>
    <w:rsid w:val="40524017"/>
    <w:rsid w:val="406A16BE"/>
    <w:rsid w:val="409B1E8D"/>
    <w:rsid w:val="4130731E"/>
    <w:rsid w:val="41390454"/>
    <w:rsid w:val="41697F5C"/>
    <w:rsid w:val="422C131F"/>
    <w:rsid w:val="42582336"/>
    <w:rsid w:val="426A7F0F"/>
    <w:rsid w:val="42864D18"/>
    <w:rsid w:val="42A91EEE"/>
    <w:rsid w:val="43133EFF"/>
    <w:rsid w:val="432E2115"/>
    <w:rsid w:val="43437CE0"/>
    <w:rsid w:val="43A62D89"/>
    <w:rsid w:val="43F62371"/>
    <w:rsid w:val="443538F2"/>
    <w:rsid w:val="453C6332"/>
    <w:rsid w:val="457B7F65"/>
    <w:rsid w:val="45823ABA"/>
    <w:rsid w:val="45A63B54"/>
    <w:rsid w:val="45B11EE5"/>
    <w:rsid w:val="45FD4563"/>
    <w:rsid w:val="468C6952"/>
    <w:rsid w:val="477914D1"/>
    <w:rsid w:val="477B715E"/>
    <w:rsid w:val="477D3B0A"/>
    <w:rsid w:val="47C33D63"/>
    <w:rsid w:val="4829252D"/>
    <w:rsid w:val="48472E23"/>
    <w:rsid w:val="484E6031"/>
    <w:rsid w:val="487D7A79"/>
    <w:rsid w:val="48F5643E"/>
    <w:rsid w:val="498E313A"/>
    <w:rsid w:val="499872CD"/>
    <w:rsid w:val="49CD3F23"/>
    <w:rsid w:val="49D2283E"/>
    <w:rsid w:val="49EE6BF3"/>
    <w:rsid w:val="4A033A7E"/>
    <w:rsid w:val="4A233BAC"/>
    <w:rsid w:val="4A31571D"/>
    <w:rsid w:val="4A952CBC"/>
    <w:rsid w:val="4B0814DF"/>
    <w:rsid w:val="4B1A22E2"/>
    <w:rsid w:val="4B652D40"/>
    <w:rsid w:val="4B981953"/>
    <w:rsid w:val="4BA018A0"/>
    <w:rsid w:val="4BE0268A"/>
    <w:rsid w:val="4BE977A0"/>
    <w:rsid w:val="4BFD41B8"/>
    <w:rsid w:val="4C082549"/>
    <w:rsid w:val="4C113908"/>
    <w:rsid w:val="4C6A73A0"/>
    <w:rsid w:val="4CC63745"/>
    <w:rsid w:val="4CC90409"/>
    <w:rsid w:val="4CE27CFA"/>
    <w:rsid w:val="4D0C424D"/>
    <w:rsid w:val="4D8A17C3"/>
    <w:rsid w:val="4DF542F3"/>
    <w:rsid w:val="4E614CA7"/>
    <w:rsid w:val="4E8720DB"/>
    <w:rsid w:val="4EF9611F"/>
    <w:rsid w:val="4F30407B"/>
    <w:rsid w:val="4F342A81"/>
    <w:rsid w:val="501646E0"/>
    <w:rsid w:val="501C382D"/>
    <w:rsid w:val="50323B18"/>
    <w:rsid w:val="5054095A"/>
    <w:rsid w:val="505605DA"/>
    <w:rsid w:val="5057715F"/>
    <w:rsid w:val="506766CD"/>
    <w:rsid w:val="506B057F"/>
    <w:rsid w:val="50701A6F"/>
    <w:rsid w:val="508F54B4"/>
    <w:rsid w:val="50F70163"/>
    <w:rsid w:val="51120A17"/>
    <w:rsid w:val="513D5054"/>
    <w:rsid w:val="515B2086"/>
    <w:rsid w:val="51846ACD"/>
    <w:rsid w:val="51B74294"/>
    <w:rsid w:val="51D51D50"/>
    <w:rsid w:val="51F2387E"/>
    <w:rsid w:val="5206251F"/>
    <w:rsid w:val="52395EDD"/>
    <w:rsid w:val="523E06E8"/>
    <w:rsid w:val="523E5EFC"/>
    <w:rsid w:val="526925C3"/>
    <w:rsid w:val="52A468E8"/>
    <w:rsid w:val="537278DB"/>
    <w:rsid w:val="53F97502"/>
    <w:rsid w:val="54113878"/>
    <w:rsid w:val="54166C04"/>
    <w:rsid w:val="54597AE9"/>
    <w:rsid w:val="54664607"/>
    <w:rsid w:val="54A016B3"/>
    <w:rsid w:val="54BF4C96"/>
    <w:rsid w:val="54DE17A5"/>
    <w:rsid w:val="55276C44"/>
    <w:rsid w:val="565902BA"/>
    <w:rsid w:val="577B69BD"/>
    <w:rsid w:val="57975744"/>
    <w:rsid w:val="57B35F6D"/>
    <w:rsid w:val="57C86987"/>
    <w:rsid w:val="58056F4B"/>
    <w:rsid w:val="5856448C"/>
    <w:rsid w:val="589A12D2"/>
    <w:rsid w:val="59421394"/>
    <w:rsid w:val="59481887"/>
    <w:rsid w:val="59747F5C"/>
    <w:rsid w:val="598D1612"/>
    <w:rsid w:val="59BB72C9"/>
    <w:rsid w:val="5A4C2C2C"/>
    <w:rsid w:val="5A601DF3"/>
    <w:rsid w:val="5A6D3BE8"/>
    <w:rsid w:val="5A75283F"/>
    <w:rsid w:val="5A9E76CB"/>
    <w:rsid w:val="5ACF2987"/>
    <w:rsid w:val="5B4516CD"/>
    <w:rsid w:val="5B685104"/>
    <w:rsid w:val="5B767C9D"/>
    <w:rsid w:val="5BA455C9"/>
    <w:rsid w:val="5BC93EA4"/>
    <w:rsid w:val="5BF4276A"/>
    <w:rsid w:val="5C335AD2"/>
    <w:rsid w:val="5CAC2634"/>
    <w:rsid w:val="5CBD2041"/>
    <w:rsid w:val="5CC03137"/>
    <w:rsid w:val="5D211ED7"/>
    <w:rsid w:val="5D786F7A"/>
    <w:rsid w:val="5DA57E49"/>
    <w:rsid w:val="5DB46EC8"/>
    <w:rsid w:val="5DCC2370"/>
    <w:rsid w:val="5DE16A92"/>
    <w:rsid w:val="5DE66682"/>
    <w:rsid w:val="5E097D4F"/>
    <w:rsid w:val="5E30699D"/>
    <w:rsid w:val="5E340CAE"/>
    <w:rsid w:val="5E4F2949"/>
    <w:rsid w:val="5E6F2E7E"/>
    <w:rsid w:val="5EA42089"/>
    <w:rsid w:val="5EBF3F02"/>
    <w:rsid w:val="5EE85FC0"/>
    <w:rsid w:val="5F110489"/>
    <w:rsid w:val="5F267129"/>
    <w:rsid w:val="5F6D531F"/>
    <w:rsid w:val="5FD87844"/>
    <w:rsid w:val="6006215A"/>
    <w:rsid w:val="603A11F0"/>
    <w:rsid w:val="6045177F"/>
    <w:rsid w:val="60541D9A"/>
    <w:rsid w:val="605B3194"/>
    <w:rsid w:val="605D6E26"/>
    <w:rsid w:val="60970262"/>
    <w:rsid w:val="60E73507"/>
    <w:rsid w:val="615452CF"/>
    <w:rsid w:val="61646CAE"/>
    <w:rsid w:val="617E594C"/>
    <w:rsid w:val="61811507"/>
    <w:rsid w:val="624F2E59"/>
    <w:rsid w:val="6267203B"/>
    <w:rsid w:val="627D0188"/>
    <w:rsid w:val="62D01853"/>
    <w:rsid w:val="62D27BAF"/>
    <w:rsid w:val="62F004D9"/>
    <w:rsid w:val="63152BEF"/>
    <w:rsid w:val="63477F88"/>
    <w:rsid w:val="636D582F"/>
    <w:rsid w:val="63E022EB"/>
    <w:rsid w:val="63F57CE9"/>
    <w:rsid w:val="644B3B98"/>
    <w:rsid w:val="644E4B1D"/>
    <w:rsid w:val="64AE5D21"/>
    <w:rsid w:val="64AF16BF"/>
    <w:rsid w:val="64E0408C"/>
    <w:rsid w:val="650D3992"/>
    <w:rsid w:val="65453DB0"/>
    <w:rsid w:val="655A6204"/>
    <w:rsid w:val="657B428A"/>
    <w:rsid w:val="658445C4"/>
    <w:rsid w:val="663F30CF"/>
    <w:rsid w:val="67282717"/>
    <w:rsid w:val="674D256C"/>
    <w:rsid w:val="674E548A"/>
    <w:rsid w:val="675A6D1E"/>
    <w:rsid w:val="676034DA"/>
    <w:rsid w:val="676C02BE"/>
    <w:rsid w:val="67834660"/>
    <w:rsid w:val="67957DFD"/>
    <w:rsid w:val="679A6193"/>
    <w:rsid w:val="679D0598"/>
    <w:rsid w:val="67B1772D"/>
    <w:rsid w:val="67C27BF4"/>
    <w:rsid w:val="67C9764A"/>
    <w:rsid w:val="67CE125C"/>
    <w:rsid w:val="67E1027C"/>
    <w:rsid w:val="67E57576"/>
    <w:rsid w:val="67E94CDE"/>
    <w:rsid w:val="67FB3025"/>
    <w:rsid w:val="680A363F"/>
    <w:rsid w:val="681419D0"/>
    <w:rsid w:val="682A60F2"/>
    <w:rsid w:val="68C57C92"/>
    <w:rsid w:val="68DC18B7"/>
    <w:rsid w:val="68F401A9"/>
    <w:rsid w:val="690A31E2"/>
    <w:rsid w:val="69154DF6"/>
    <w:rsid w:val="696F0988"/>
    <w:rsid w:val="699A504F"/>
    <w:rsid w:val="699F478D"/>
    <w:rsid w:val="69CE110F"/>
    <w:rsid w:val="6A5F6216"/>
    <w:rsid w:val="6A6F12A2"/>
    <w:rsid w:val="6A7A213F"/>
    <w:rsid w:val="6A7E0B45"/>
    <w:rsid w:val="6AE81FD7"/>
    <w:rsid w:val="6C31368F"/>
    <w:rsid w:val="6C5C00D6"/>
    <w:rsid w:val="6C7218C1"/>
    <w:rsid w:val="6C895974"/>
    <w:rsid w:val="6C8C024C"/>
    <w:rsid w:val="6C9E26CC"/>
    <w:rsid w:val="6CA34FF0"/>
    <w:rsid w:val="6CB51A69"/>
    <w:rsid w:val="6D201119"/>
    <w:rsid w:val="6D247B1F"/>
    <w:rsid w:val="6DAF03D6"/>
    <w:rsid w:val="6DB7708E"/>
    <w:rsid w:val="6DD753C4"/>
    <w:rsid w:val="6E664271"/>
    <w:rsid w:val="6E7A35CA"/>
    <w:rsid w:val="6F073538"/>
    <w:rsid w:val="6F23271E"/>
    <w:rsid w:val="6F634CA0"/>
    <w:rsid w:val="6F732867"/>
    <w:rsid w:val="6FBC08F5"/>
    <w:rsid w:val="6FD36103"/>
    <w:rsid w:val="6FD945F3"/>
    <w:rsid w:val="6FEB37AA"/>
    <w:rsid w:val="700E6892"/>
    <w:rsid w:val="702B7E17"/>
    <w:rsid w:val="70375E28"/>
    <w:rsid w:val="709B7284"/>
    <w:rsid w:val="70B00070"/>
    <w:rsid w:val="70C77944"/>
    <w:rsid w:val="70D54A2C"/>
    <w:rsid w:val="712748AE"/>
    <w:rsid w:val="713502C9"/>
    <w:rsid w:val="713F09AE"/>
    <w:rsid w:val="71443884"/>
    <w:rsid w:val="71B46619"/>
    <w:rsid w:val="71FF033F"/>
    <w:rsid w:val="72671940"/>
    <w:rsid w:val="72C22F53"/>
    <w:rsid w:val="72DA63FB"/>
    <w:rsid w:val="72F31DC3"/>
    <w:rsid w:val="72FB541B"/>
    <w:rsid w:val="73107E21"/>
    <w:rsid w:val="737B5F85"/>
    <w:rsid w:val="74746D7B"/>
    <w:rsid w:val="748E25CA"/>
    <w:rsid w:val="74AF4CFD"/>
    <w:rsid w:val="750817EC"/>
    <w:rsid w:val="756B53F2"/>
    <w:rsid w:val="75793BCF"/>
    <w:rsid w:val="75AF04E7"/>
    <w:rsid w:val="75F03365"/>
    <w:rsid w:val="763D100B"/>
    <w:rsid w:val="766140DC"/>
    <w:rsid w:val="76FF5C66"/>
    <w:rsid w:val="7747031D"/>
    <w:rsid w:val="774B5945"/>
    <w:rsid w:val="77572299"/>
    <w:rsid w:val="777D0B10"/>
    <w:rsid w:val="77A20714"/>
    <w:rsid w:val="7861768C"/>
    <w:rsid w:val="78816AA1"/>
    <w:rsid w:val="78C31CAF"/>
    <w:rsid w:val="78C93BB8"/>
    <w:rsid w:val="78DD7AB5"/>
    <w:rsid w:val="79065C1B"/>
    <w:rsid w:val="791A48BC"/>
    <w:rsid w:val="79BB103F"/>
    <w:rsid w:val="79BD6CCF"/>
    <w:rsid w:val="79C9375B"/>
    <w:rsid w:val="7A4C60B0"/>
    <w:rsid w:val="7A514939"/>
    <w:rsid w:val="7AAD7251"/>
    <w:rsid w:val="7B811888"/>
    <w:rsid w:val="7BA420E5"/>
    <w:rsid w:val="7BAD2677"/>
    <w:rsid w:val="7BCA1FA7"/>
    <w:rsid w:val="7BCC76A8"/>
    <w:rsid w:val="7BFE7744"/>
    <w:rsid w:val="7C111A61"/>
    <w:rsid w:val="7C7B7802"/>
    <w:rsid w:val="7C9C44FE"/>
    <w:rsid w:val="7CD37661"/>
    <w:rsid w:val="7CFF0D1F"/>
    <w:rsid w:val="7D4871B9"/>
    <w:rsid w:val="7D6B0F99"/>
    <w:rsid w:val="7D8F060E"/>
    <w:rsid w:val="7E387585"/>
    <w:rsid w:val="7E450D1D"/>
    <w:rsid w:val="7E4E6377"/>
    <w:rsid w:val="7E8B17AA"/>
    <w:rsid w:val="7EB53062"/>
    <w:rsid w:val="7F1A6917"/>
    <w:rsid w:val="7F2A03AF"/>
    <w:rsid w:val="7F417EAD"/>
    <w:rsid w:val="7F4E1FE8"/>
    <w:rsid w:val="7F8E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tabs>
        <w:tab w:val="left" w:pos="540"/>
      </w:tabs>
      <w:spacing w:line="288" w:lineRule="auto"/>
    </w:pPr>
    <w:rPr>
      <w:rFonts w:ascii="Times New Roman" w:hAnsi="Times New Roman" w:eastAsia="宋体" w:cs="Times New Roman"/>
      <w:color w:val="000000"/>
      <w:sz w:val="21"/>
      <w:u w:color="000000"/>
      <w:lang w:val="en-US" w:eastAsia="zh-CN" w:bidi="ar-SA"/>
    </w:rPr>
  </w:style>
  <w:style w:type="paragraph" w:styleId="3">
    <w:name w:val="heading 1"/>
    <w:basedOn w:val="1"/>
    <w:next w:val="1"/>
    <w:autoRedefine/>
    <w:qFormat/>
    <w:uiPriority w:val="0"/>
    <w:pPr>
      <w:keepNext/>
      <w:keepLines/>
      <w:spacing w:before="340" w:after="330" w:line="578" w:lineRule="atLeast"/>
      <w:outlineLvl w:val="0"/>
    </w:pPr>
    <w:rPr>
      <w:b/>
      <w:bCs/>
      <w:kern w:val="44"/>
      <w:sz w:val="44"/>
      <w:szCs w:val="44"/>
    </w:rPr>
  </w:style>
  <w:style w:type="paragraph" w:styleId="4">
    <w:name w:val="heading 2"/>
    <w:basedOn w:val="1"/>
    <w:next w:val="5"/>
    <w:link w:val="50"/>
    <w:autoRedefine/>
    <w:qFormat/>
    <w:uiPriority w:val="0"/>
    <w:pPr>
      <w:keepNext/>
      <w:keepLines/>
      <w:numPr>
        <w:ilvl w:val="1"/>
        <w:numId w:val="1"/>
      </w:numPr>
      <w:spacing w:before="260" w:after="260" w:line="416" w:lineRule="auto"/>
      <w:jc w:val="center"/>
      <w:outlineLvl w:val="1"/>
    </w:pPr>
    <w:rPr>
      <w:rFonts w:ascii="Arial" w:hAnsi="Arial" w:eastAsia="黑体"/>
      <w:b/>
      <w:kern w:val="2"/>
      <w:sz w:val="32"/>
    </w:rPr>
  </w:style>
  <w:style w:type="paragraph" w:styleId="6">
    <w:name w:val="heading 3"/>
    <w:basedOn w:val="1"/>
    <w:next w:val="1"/>
    <w:autoRedefine/>
    <w:qFormat/>
    <w:uiPriority w:val="0"/>
    <w:pPr>
      <w:keepNext/>
      <w:keepLines/>
      <w:spacing w:before="260" w:after="260" w:line="416" w:lineRule="atLeast"/>
      <w:outlineLvl w:val="2"/>
    </w:pPr>
    <w:rPr>
      <w:b/>
      <w:bCs/>
      <w:sz w:val="32"/>
      <w:szCs w:val="32"/>
    </w:rPr>
  </w:style>
  <w:style w:type="paragraph" w:styleId="7">
    <w:name w:val="heading 4"/>
    <w:basedOn w:val="1"/>
    <w:next w:val="1"/>
    <w:link w:val="51"/>
    <w:autoRedefine/>
    <w:qFormat/>
    <w:uiPriority w:val="9"/>
    <w:pPr>
      <w:keepNext/>
      <w:keepLines/>
      <w:spacing w:before="280" w:after="290" w:line="376" w:lineRule="atLeast"/>
      <w:outlineLvl w:val="3"/>
    </w:pPr>
    <w:rPr>
      <w:rFonts w:ascii="等线 Light" w:hAnsi="等线 Light" w:eastAsia="等线 Light"/>
      <w:b/>
      <w:bCs/>
      <w:sz w:val="28"/>
      <w:szCs w:val="28"/>
    </w:rPr>
  </w:style>
  <w:style w:type="paragraph" w:styleId="8">
    <w:name w:val="heading 5"/>
    <w:basedOn w:val="1"/>
    <w:next w:val="1"/>
    <w:link w:val="52"/>
    <w:autoRedefine/>
    <w:qFormat/>
    <w:uiPriority w:val="9"/>
    <w:pPr>
      <w:keepNext/>
      <w:keepLines/>
      <w:spacing w:before="280" w:after="290" w:line="376" w:lineRule="atLeast"/>
      <w:outlineLvl w:val="4"/>
    </w:pPr>
    <w:rPr>
      <w:b/>
      <w:bCs/>
      <w:sz w:val="28"/>
      <w:szCs w:val="28"/>
    </w:rPr>
  </w:style>
  <w:style w:type="character" w:default="1" w:styleId="41">
    <w:name w:val="Default Paragraph Font"/>
    <w:autoRedefine/>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5">
    <w:name w:val="Normal Indent"/>
    <w:basedOn w:val="1"/>
    <w:autoRedefine/>
    <w:qFormat/>
    <w:uiPriority w:val="0"/>
    <w:pPr>
      <w:ind w:firstLine="420" w:firstLineChars="200"/>
    </w:pPr>
  </w:style>
  <w:style w:type="paragraph" w:styleId="9">
    <w:name w:val="toc 7"/>
    <w:basedOn w:val="1"/>
    <w:next w:val="1"/>
    <w:autoRedefine/>
    <w:qFormat/>
    <w:uiPriority w:val="39"/>
    <w:pPr>
      <w:ind w:left="1260"/>
    </w:pPr>
    <w:rPr>
      <w:rFonts w:ascii="Calibri" w:hAnsi="Calibri"/>
      <w:sz w:val="20"/>
    </w:rPr>
  </w:style>
  <w:style w:type="paragraph" w:styleId="10">
    <w:name w:val="Document Map"/>
    <w:basedOn w:val="1"/>
    <w:autoRedefine/>
    <w:qFormat/>
    <w:uiPriority w:val="0"/>
    <w:pPr>
      <w:shd w:val="clear" w:color="auto" w:fill="000080"/>
      <w:spacing w:line="240" w:lineRule="auto"/>
    </w:pPr>
    <w:rPr>
      <w:color w:val="auto"/>
      <w:kern w:val="2"/>
      <w:szCs w:val="24"/>
    </w:rPr>
  </w:style>
  <w:style w:type="paragraph" w:styleId="11">
    <w:name w:val="annotation text"/>
    <w:basedOn w:val="1"/>
    <w:link w:val="53"/>
    <w:autoRedefine/>
    <w:qFormat/>
    <w:uiPriority w:val="0"/>
    <w:pPr>
      <w:spacing w:line="240" w:lineRule="auto"/>
    </w:pPr>
    <w:rPr>
      <w:color w:val="auto"/>
      <w:kern w:val="2"/>
      <w:sz w:val="24"/>
      <w:szCs w:val="24"/>
    </w:rPr>
  </w:style>
  <w:style w:type="paragraph" w:styleId="12">
    <w:name w:val="Body Text 3"/>
    <w:basedOn w:val="1"/>
    <w:link w:val="54"/>
    <w:autoRedefine/>
    <w:qFormat/>
    <w:uiPriority w:val="0"/>
    <w:pPr>
      <w:spacing w:line="240" w:lineRule="auto"/>
    </w:pPr>
    <w:rPr>
      <w:b/>
      <w:bCs/>
      <w:color w:val="auto"/>
      <w:kern w:val="2"/>
      <w:sz w:val="24"/>
      <w:szCs w:val="24"/>
    </w:rPr>
  </w:style>
  <w:style w:type="paragraph" w:styleId="13">
    <w:name w:val="Body Text Indent"/>
    <w:basedOn w:val="1"/>
    <w:autoRedefine/>
    <w:qFormat/>
    <w:uiPriority w:val="0"/>
    <w:pPr>
      <w:spacing w:after="120"/>
      <w:ind w:left="420" w:leftChars="200"/>
    </w:pPr>
  </w:style>
  <w:style w:type="paragraph" w:styleId="14">
    <w:name w:val="List Continue"/>
    <w:basedOn w:val="1"/>
    <w:autoRedefine/>
    <w:qFormat/>
    <w:uiPriority w:val="0"/>
    <w:pPr>
      <w:spacing w:after="120"/>
      <w:ind w:left="420" w:leftChars="200"/>
    </w:pPr>
  </w:style>
  <w:style w:type="paragraph" w:styleId="15">
    <w:name w:val="toc 5"/>
    <w:basedOn w:val="1"/>
    <w:next w:val="1"/>
    <w:autoRedefine/>
    <w:qFormat/>
    <w:uiPriority w:val="39"/>
    <w:pPr>
      <w:ind w:left="840"/>
    </w:pPr>
    <w:rPr>
      <w:rFonts w:ascii="Calibri" w:hAnsi="Calibri"/>
      <w:sz w:val="20"/>
    </w:rPr>
  </w:style>
  <w:style w:type="paragraph" w:styleId="16">
    <w:name w:val="toc 3"/>
    <w:basedOn w:val="1"/>
    <w:next w:val="1"/>
    <w:autoRedefine/>
    <w:qFormat/>
    <w:uiPriority w:val="39"/>
    <w:pPr>
      <w:ind w:left="420"/>
    </w:pPr>
    <w:rPr>
      <w:rFonts w:ascii="Calibri" w:hAnsi="Calibri"/>
      <w:sz w:val="20"/>
    </w:rPr>
  </w:style>
  <w:style w:type="paragraph" w:styleId="17">
    <w:name w:val="Plain Text"/>
    <w:basedOn w:val="1"/>
    <w:link w:val="55"/>
    <w:autoRedefine/>
    <w:qFormat/>
    <w:uiPriority w:val="0"/>
    <w:pPr>
      <w:spacing w:line="240" w:lineRule="auto"/>
    </w:pPr>
    <w:rPr>
      <w:rFonts w:ascii="宋体" w:hAnsi="Courier New"/>
      <w:color w:val="auto"/>
      <w:kern w:val="2"/>
    </w:rPr>
  </w:style>
  <w:style w:type="paragraph" w:styleId="18">
    <w:name w:val="toc 8"/>
    <w:basedOn w:val="1"/>
    <w:next w:val="1"/>
    <w:autoRedefine/>
    <w:qFormat/>
    <w:uiPriority w:val="39"/>
    <w:pPr>
      <w:ind w:left="1470"/>
    </w:pPr>
    <w:rPr>
      <w:rFonts w:ascii="Calibri" w:hAnsi="Calibri"/>
      <w:sz w:val="20"/>
    </w:rPr>
  </w:style>
  <w:style w:type="paragraph" w:styleId="19">
    <w:name w:val="Date"/>
    <w:basedOn w:val="1"/>
    <w:next w:val="1"/>
    <w:link w:val="56"/>
    <w:autoRedefine/>
    <w:qFormat/>
    <w:uiPriority w:val="0"/>
    <w:pPr>
      <w:adjustRightInd w:val="0"/>
      <w:spacing w:line="360" w:lineRule="atLeast"/>
      <w:textAlignment w:val="baseline"/>
    </w:pPr>
    <w:rPr>
      <w:color w:val="auto"/>
      <w:sz w:val="28"/>
    </w:rPr>
  </w:style>
  <w:style w:type="paragraph" w:styleId="20">
    <w:name w:val="Body Text Indent 2"/>
    <w:basedOn w:val="1"/>
    <w:autoRedefine/>
    <w:qFormat/>
    <w:uiPriority w:val="0"/>
    <w:pPr>
      <w:spacing w:after="120" w:line="480" w:lineRule="auto"/>
      <w:ind w:left="420" w:leftChars="200"/>
    </w:pPr>
    <w:rPr>
      <w:color w:val="auto"/>
      <w:kern w:val="2"/>
      <w:szCs w:val="24"/>
    </w:rPr>
  </w:style>
  <w:style w:type="paragraph" w:styleId="21">
    <w:name w:val="Balloon Text"/>
    <w:basedOn w:val="1"/>
    <w:link w:val="57"/>
    <w:autoRedefine/>
    <w:qFormat/>
    <w:uiPriority w:val="0"/>
    <w:pPr>
      <w:spacing w:line="240" w:lineRule="auto"/>
    </w:pPr>
    <w:rPr>
      <w:sz w:val="18"/>
      <w:szCs w:val="18"/>
    </w:rPr>
  </w:style>
  <w:style w:type="paragraph" w:styleId="22">
    <w:name w:val="footer"/>
    <w:basedOn w:val="1"/>
    <w:link w:val="58"/>
    <w:autoRedefine/>
    <w:qFormat/>
    <w:uiPriority w:val="99"/>
    <w:pPr>
      <w:tabs>
        <w:tab w:val="center" w:pos="4153"/>
        <w:tab w:val="right" w:pos="8306"/>
      </w:tabs>
      <w:snapToGrid w:val="0"/>
      <w:spacing w:line="240" w:lineRule="atLeast"/>
    </w:pPr>
    <w:rPr>
      <w:sz w:val="18"/>
      <w:szCs w:val="18"/>
    </w:rPr>
  </w:style>
  <w:style w:type="paragraph" w:styleId="23">
    <w:name w:val="header"/>
    <w:basedOn w:val="1"/>
    <w:link w:val="59"/>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4">
    <w:name w:val="toc 1"/>
    <w:basedOn w:val="1"/>
    <w:next w:val="1"/>
    <w:autoRedefine/>
    <w:qFormat/>
    <w:uiPriority w:val="39"/>
    <w:pPr>
      <w:spacing w:before="120"/>
    </w:pPr>
    <w:rPr>
      <w:rFonts w:ascii="Calibri" w:hAnsi="Calibri"/>
      <w:b/>
      <w:bCs/>
      <w:i/>
      <w:iCs/>
      <w:sz w:val="24"/>
      <w:szCs w:val="24"/>
    </w:rPr>
  </w:style>
  <w:style w:type="paragraph" w:styleId="25">
    <w:name w:val="toc 4"/>
    <w:basedOn w:val="1"/>
    <w:next w:val="1"/>
    <w:autoRedefine/>
    <w:qFormat/>
    <w:uiPriority w:val="39"/>
    <w:pPr>
      <w:ind w:left="630"/>
    </w:pPr>
    <w:rPr>
      <w:rFonts w:ascii="Calibri" w:hAnsi="Calibri"/>
      <w:sz w:val="20"/>
    </w:rPr>
  </w:style>
  <w:style w:type="paragraph" w:styleId="26">
    <w:name w:val="List"/>
    <w:basedOn w:val="1"/>
    <w:autoRedefine/>
    <w:qFormat/>
    <w:uiPriority w:val="0"/>
    <w:pPr>
      <w:ind w:left="200" w:hanging="200" w:hangingChars="200"/>
    </w:pPr>
  </w:style>
  <w:style w:type="paragraph" w:styleId="27">
    <w:name w:val="footnote text"/>
    <w:basedOn w:val="1"/>
    <w:link w:val="60"/>
    <w:autoRedefine/>
    <w:qFormat/>
    <w:uiPriority w:val="0"/>
    <w:pPr>
      <w:snapToGrid w:val="0"/>
      <w:spacing w:line="240" w:lineRule="auto"/>
    </w:pPr>
    <w:rPr>
      <w:color w:val="auto"/>
      <w:kern w:val="2"/>
      <w:sz w:val="18"/>
      <w:szCs w:val="18"/>
    </w:rPr>
  </w:style>
  <w:style w:type="paragraph" w:styleId="28">
    <w:name w:val="toc 6"/>
    <w:basedOn w:val="1"/>
    <w:next w:val="1"/>
    <w:autoRedefine/>
    <w:qFormat/>
    <w:uiPriority w:val="39"/>
    <w:pPr>
      <w:ind w:left="1050"/>
    </w:pPr>
    <w:rPr>
      <w:rFonts w:ascii="Calibri" w:hAnsi="Calibri"/>
      <w:sz w:val="20"/>
    </w:rPr>
  </w:style>
  <w:style w:type="paragraph" w:styleId="29">
    <w:name w:val="List 5"/>
    <w:basedOn w:val="1"/>
    <w:autoRedefine/>
    <w:qFormat/>
    <w:uiPriority w:val="0"/>
    <w:pPr>
      <w:spacing w:line="240" w:lineRule="auto"/>
      <w:ind w:left="2100" w:hanging="420"/>
    </w:pPr>
    <w:rPr>
      <w:rFonts w:eastAsia="楷体_GB2312"/>
      <w:color w:val="auto"/>
      <w:kern w:val="2"/>
      <w:sz w:val="32"/>
    </w:rPr>
  </w:style>
  <w:style w:type="paragraph" w:styleId="30">
    <w:name w:val="Body Text Indent 3"/>
    <w:basedOn w:val="1"/>
    <w:link w:val="61"/>
    <w:autoRedefine/>
    <w:qFormat/>
    <w:uiPriority w:val="0"/>
    <w:pPr>
      <w:spacing w:after="120"/>
      <w:ind w:left="420" w:leftChars="200"/>
    </w:pPr>
    <w:rPr>
      <w:sz w:val="16"/>
      <w:szCs w:val="16"/>
    </w:rPr>
  </w:style>
  <w:style w:type="paragraph" w:styleId="31">
    <w:name w:val="toc 2"/>
    <w:basedOn w:val="1"/>
    <w:next w:val="1"/>
    <w:autoRedefine/>
    <w:qFormat/>
    <w:uiPriority w:val="39"/>
    <w:pPr>
      <w:spacing w:before="120"/>
      <w:ind w:left="210"/>
    </w:pPr>
    <w:rPr>
      <w:rFonts w:ascii="Calibri" w:hAnsi="Calibri"/>
      <w:b/>
      <w:bCs/>
      <w:sz w:val="22"/>
      <w:szCs w:val="22"/>
    </w:rPr>
  </w:style>
  <w:style w:type="paragraph" w:styleId="32">
    <w:name w:val="toc 9"/>
    <w:basedOn w:val="1"/>
    <w:next w:val="1"/>
    <w:autoRedefine/>
    <w:qFormat/>
    <w:uiPriority w:val="39"/>
    <w:pPr>
      <w:ind w:left="1680"/>
    </w:pPr>
    <w:rPr>
      <w:rFonts w:ascii="Calibri" w:hAnsi="Calibri"/>
      <w:sz w:val="20"/>
    </w:rPr>
  </w:style>
  <w:style w:type="paragraph" w:styleId="33">
    <w:name w:val="Body Text 2"/>
    <w:basedOn w:val="1"/>
    <w:link w:val="62"/>
    <w:autoRedefine/>
    <w:qFormat/>
    <w:uiPriority w:val="0"/>
    <w:pPr>
      <w:spacing w:line="360" w:lineRule="auto"/>
    </w:pPr>
    <w:rPr>
      <w:color w:val="auto"/>
      <w:kern w:val="2"/>
      <w:sz w:val="24"/>
    </w:rPr>
  </w:style>
  <w:style w:type="paragraph" w:styleId="34">
    <w:name w:val="List 4"/>
    <w:basedOn w:val="1"/>
    <w:autoRedefine/>
    <w:qFormat/>
    <w:uiPriority w:val="0"/>
    <w:pPr>
      <w:spacing w:line="240" w:lineRule="auto"/>
      <w:ind w:left="1680" w:hanging="420"/>
    </w:pPr>
    <w:rPr>
      <w:rFonts w:eastAsia="楷体_GB2312"/>
      <w:color w:val="auto"/>
      <w:kern w:val="2"/>
      <w:sz w:val="32"/>
    </w:rPr>
  </w:style>
  <w:style w:type="paragraph" w:styleId="35">
    <w:name w:val="HTML Preformatted"/>
    <w:basedOn w:val="1"/>
    <w:link w:val="63"/>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宋体" w:hAnsi="宋体"/>
      <w:color w:val="auto"/>
      <w:sz w:val="24"/>
      <w:szCs w:val="24"/>
    </w:rPr>
  </w:style>
  <w:style w:type="paragraph" w:styleId="36">
    <w:name w:val="Normal (Web)"/>
    <w:basedOn w:val="1"/>
    <w:autoRedefine/>
    <w:qFormat/>
    <w:uiPriority w:val="0"/>
    <w:pPr>
      <w:spacing w:before="100" w:beforeAutospacing="1" w:after="100" w:afterAutospacing="1" w:line="240" w:lineRule="auto"/>
    </w:pPr>
    <w:rPr>
      <w:rFonts w:ascii="宋体" w:hAnsi="宋体"/>
      <w:color w:val="auto"/>
      <w:sz w:val="24"/>
      <w:szCs w:val="24"/>
    </w:rPr>
  </w:style>
  <w:style w:type="paragraph" w:styleId="37">
    <w:name w:val="annotation subject"/>
    <w:basedOn w:val="11"/>
    <w:next w:val="11"/>
    <w:link w:val="64"/>
    <w:autoRedefine/>
    <w:unhideWhenUsed/>
    <w:qFormat/>
    <w:uiPriority w:val="99"/>
    <w:pPr>
      <w:widowControl/>
      <w:spacing w:line="425" w:lineRule="atLeast"/>
    </w:pPr>
    <w:rPr>
      <w:b/>
      <w:bCs/>
      <w:color w:val="000000"/>
      <w:kern w:val="0"/>
      <w:sz w:val="21"/>
      <w:szCs w:val="20"/>
    </w:rPr>
  </w:style>
  <w:style w:type="paragraph" w:styleId="38">
    <w:name w:val="Body Text First Indent"/>
    <w:basedOn w:val="2"/>
    <w:autoRedefine/>
    <w:qFormat/>
    <w:uiPriority w:val="0"/>
    <w:pPr>
      <w:ind w:firstLine="420" w:firstLineChars="100"/>
    </w:pPr>
  </w:style>
  <w:style w:type="table" w:styleId="40">
    <w:name w:val="Table Grid"/>
    <w:basedOn w:val="3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basedOn w:val="41"/>
    <w:autoRedefine/>
    <w:qFormat/>
    <w:uiPriority w:val="0"/>
    <w:rPr>
      <w:rFonts w:cs="Times New Roman"/>
      <w:b/>
      <w:bCs/>
    </w:rPr>
  </w:style>
  <w:style w:type="character" w:styleId="43">
    <w:name w:val="page number"/>
    <w:autoRedefine/>
    <w:qFormat/>
    <w:uiPriority w:val="0"/>
  </w:style>
  <w:style w:type="character" w:styleId="44">
    <w:name w:val="FollowedHyperlink"/>
    <w:autoRedefine/>
    <w:unhideWhenUsed/>
    <w:qFormat/>
    <w:uiPriority w:val="99"/>
    <w:rPr>
      <w:color w:val="800080"/>
      <w:u w:val="single"/>
    </w:rPr>
  </w:style>
  <w:style w:type="character" w:styleId="45">
    <w:name w:val="Emphasis"/>
    <w:autoRedefine/>
    <w:qFormat/>
    <w:uiPriority w:val="0"/>
    <w:rPr>
      <w:i/>
      <w:iCs/>
    </w:rPr>
  </w:style>
  <w:style w:type="character" w:styleId="46">
    <w:name w:val="Hyperlink"/>
    <w:autoRedefine/>
    <w:qFormat/>
    <w:uiPriority w:val="99"/>
    <w:rPr>
      <w:color w:val="0000FF"/>
      <w:u w:val="single"/>
    </w:rPr>
  </w:style>
  <w:style w:type="character" w:styleId="47">
    <w:name w:val="annotation reference"/>
    <w:autoRedefine/>
    <w:unhideWhenUsed/>
    <w:qFormat/>
    <w:uiPriority w:val="99"/>
    <w:rPr>
      <w:sz w:val="21"/>
      <w:szCs w:val="21"/>
    </w:rPr>
  </w:style>
  <w:style w:type="character" w:styleId="48">
    <w:name w:val="footnote reference"/>
    <w:autoRedefine/>
    <w:qFormat/>
    <w:uiPriority w:val="0"/>
    <w:rPr>
      <w:vertAlign w:val="superscript"/>
    </w:rPr>
  </w:style>
  <w:style w:type="paragraph" w:styleId="49">
    <w:name w:val="List Paragraph"/>
    <w:basedOn w:val="1"/>
    <w:autoRedefine/>
    <w:qFormat/>
    <w:uiPriority w:val="99"/>
    <w:pPr>
      <w:ind w:firstLine="420" w:firstLineChars="200"/>
    </w:pPr>
  </w:style>
  <w:style w:type="character" w:customStyle="1" w:styleId="50">
    <w:name w:val="标题 2 字符1"/>
    <w:link w:val="4"/>
    <w:autoRedefine/>
    <w:qFormat/>
    <w:uiPriority w:val="0"/>
    <w:rPr>
      <w:rFonts w:ascii="Arial" w:hAnsi="Arial" w:eastAsia="黑体"/>
      <w:b/>
      <w:color w:val="000000"/>
      <w:kern w:val="2"/>
      <w:sz w:val="32"/>
      <w:u w:color="000000"/>
    </w:rPr>
  </w:style>
  <w:style w:type="character" w:customStyle="1" w:styleId="51">
    <w:name w:val="标题 4 字符"/>
    <w:link w:val="7"/>
    <w:autoRedefine/>
    <w:semiHidden/>
    <w:qFormat/>
    <w:uiPriority w:val="9"/>
    <w:rPr>
      <w:rFonts w:ascii="等线 Light" w:hAnsi="等线 Light" w:eastAsia="等线 Light" w:cs="Times New Roman"/>
      <w:b/>
      <w:bCs/>
      <w:color w:val="000000"/>
      <w:sz w:val="28"/>
      <w:szCs w:val="28"/>
      <w:u w:color="000000"/>
    </w:rPr>
  </w:style>
  <w:style w:type="character" w:customStyle="1" w:styleId="52">
    <w:name w:val="标题 5 字符"/>
    <w:link w:val="8"/>
    <w:autoRedefine/>
    <w:qFormat/>
    <w:uiPriority w:val="9"/>
    <w:rPr>
      <w:b/>
      <w:bCs/>
      <w:color w:val="000000"/>
      <w:sz w:val="28"/>
      <w:szCs w:val="28"/>
      <w:u w:color="000000"/>
    </w:rPr>
  </w:style>
  <w:style w:type="character" w:customStyle="1" w:styleId="53">
    <w:name w:val="批注文字 字符1"/>
    <w:link w:val="11"/>
    <w:autoRedefine/>
    <w:qFormat/>
    <w:uiPriority w:val="0"/>
    <w:rPr>
      <w:kern w:val="2"/>
      <w:sz w:val="24"/>
      <w:szCs w:val="24"/>
      <w:u w:color="000000"/>
    </w:rPr>
  </w:style>
  <w:style w:type="character" w:customStyle="1" w:styleId="54">
    <w:name w:val="正文文本 3 字符1"/>
    <w:link w:val="12"/>
    <w:autoRedefine/>
    <w:qFormat/>
    <w:uiPriority w:val="0"/>
    <w:rPr>
      <w:b/>
      <w:bCs/>
      <w:kern w:val="2"/>
      <w:sz w:val="24"/>
      <w:szCs w:val="24"/>
    </w:rPr>
  </w:style>
  <w:style w:type="character" w:customStyle="1" w:styleId="55">
    <w:name w:val="纯文本 字符1"/>
    <w:link w:val="17"/>
    <w:autoRedefine/>
    <w:qFormat/>
    <w:uiPriority w:val="0"/>
    <w:rPr>
      <w:rFonts w:ascii="宋体" w:hAnsi="Courier New" w:eastAsia="宋体"/>
      <w:kern w:val="2"/>
      <w:sz w:val="21"/>
      <w:u w:color="000000"/>
      <w:lang w:val="en-US" w:eastAsia="zh-CN" w:bidi="ar-SA"/>
    </w:rPr>
  </w:style>
  <w:style w:type="character" w:customStyle="1" w:styleId="56">
    <w:name w:val="日期 字符1"/>
    <w:link w:val="19"/>
    <w:autoRedefine/>
    <w:qFormat/>
    <w:uiPriority w:val="0"/>
    <w:rPr>
      <w:sz w:val="28"/>
      <w:u w:color="000000"/>
    </w:rPr>
  </w:style>
  <w:style w:type="character" w:customStyle="1" w:styleId="57">
    <w:name w:val="批注框文本 字符1"/>
    <w:link w:val="21"/>
    <w:autoRedefine/>
    <w:qFormat/>
    <w:uiPriority w:val="0"/>
    <w:rPr>
      <w:color w:val="000000"/>
      <w:sz w:val="18"/>
      <w:szCs w:val="18"/>
      <w:u w:color="000000"/>
    </w:rPr>
  </w:style>
  <w:style w:type="character" w:customStyle="1" w:styleId="58">
    <w:name w:val="页脚 字符1"/>
    <w:link w:val="22"/>
    <w:autoRedefine/>
    <w:qFormat/>
    <w:uiPriority w:val="99"/>
    <w:rPr>
      <w:color w:val="000000"/>
      <w:sz w:val="18"/>
      <w:szCs w:val="18"/>
      <w:u w:color="000000"/>
    </w:rPr>
  </w:style>
  <w:style w:type="character" w:customStyle="1" w:styleId="59">
    <w:name w:val="页眉 字符1"/>
    <w:link w:val="23"/>
    <w:autoRedefine/>
    <w:qFormat/>
    <w:uiPriority w:val="0"/>
    <w:rPr>
      <w:color w:val="000000"/>
      <w:sz w:val="18"/>
      <w:szCs w:val="18"/>
      <w:u w:color="000000"/>
    </w:rPr>
  </w:style>
  <w:style w:type="character" w:customStyle="1" w:styleId="60">
    <w:name w:val="脚注文本 字符2"/>
    <w:link w:val="27"/>
    <w:autoRedefine/>
    <w:qFormat/>
    <w:uiPriority w:val="0"/>
    <w:rPr>
      <w:kern w:val="2"/>
      <w:sz w:val="18"/>
      <w:szCs w:val="18"/>
    </w:rPr>
  </w:style>
  <w:style w:type="character" w:customStyle="1" w:styleId="61">
    <w:name w:val="正文文本缩进 3 字符1"/>
    <w:link w:val="30"/>
    <w:autoRedefine/>
    <w:qFormat/>
    <w:uiPriority w:val="0"/>
    <w:rPr>
      <w:color w:val="000000"/>
      <w:sz w:val="16"/>
      <w:szCs w:val="16"/>
      <w:u w:color="000000"/>
    </w:rPr>
  </w:style>
  <w:style w:type="character" w:customStyle="1" w:styleId="62">
    <w:name w:val="正文文本 2 字符1"/>
    <w:link w:val="33"/>
    <w:autoRedefine/>
    <w:qFormat/>
    <w:uiPriority w:val="0"/>
    <w:rPr>
      <w:kern w:val="2"/>
      <w:sz w:val="24"/>
      <w:u w:color="000000"/>
    </w:rPr>
  </w:style>
  <w:style w:type="character" w:customStyle="1" w:styleId="63">
    <w:name w:val="HTML 预设格式 字符1"/>
    <w:link w:val="35"/>
    <w:autoRedefine/>
    <w:semiHidden/>
    <w:qFormat/>
    <w:uiPriority w:val="99"/>
    <w:rPr>
      <w:rFonts w:ascii="宋体" w:hAnsi="宋体" w:cs="宋体"/>
      <w:sz w:val="24"/>
      <w:szCs w:val="24"/>
    </w:rPr>
  </w:style>
  <w:style w:type="character" w:customStyle="1" w:styleId="64">
    <w:name w:val="批注主题 字符1"/>
    <w:link w:val="37"/>
    <w:autoRedefine/>
    <w:qFormat/>
    <w:uiPriority w:val="99"/>
    <w:rPr>
      <w:b/>
      <w:bCs/>
      <w:color w:val="000000"/>
      <w:sz w:val="21"/>
      <w:u w:color="000000"/>
    </w:rPr>
  </w:style>
  <w:style w:type="character" w:customStyle="1" w:styleId="65">
    <w:name w:val="批注框文本 字符"/>
    <w:autoRedefine/>
    <w:qFormat/>
    <w:uiPriority w:val="0"/>
    <w:rPr>
      <w:color w:val="000000"/>
      <w:sz w:val="18"/>
      <w:szCs w:val="18"/>
      <w:u w:color="000000"/>
    </w:rPr>
  </w:style>
  <w:style w:type="character" w:customStyle="1" w:styleId="66">
    <w:name w:val="纯文本 字符"/>
    <w:autoRedefine/>
    <w:qFormat/>
    <w:uiPriority w:val="0"/>
    <w:rPr>
      <w:rFonts w:ascii="宋体" w:hAnsi="Courier New" w:eastAsia="宋体"/>
      <w:kern w:val="2"/>
      <w:sz w:val="21"/>
      <w:u w:color="000000"/>
      <w:lang w:val="en-US" w:eastAsia="zh-CN" w:bidi="ar-SA"/>
    </w:rPr>
  </w:style>
  <w:style w:type="character" w:customStyle="1" w:styleId="67">
    <w:name w:val="font01"/>
    <w:autoRedefine/>
    <w:qFormat/>
    <w:uiPriority w:val="0"/>
    <w:rPr>
      <w:rFonts w:hint="eastAsia" w:ascii="宋体" w:hAnsi="宋体" w:eastAsia="宋体" w:cs="宋体"/>
      <w:color w:val="000000"/>
      <w:sz w:val="21"/>
      <w:szCs w:val="21"/>
      <w:u w:val="none"/>
      <w:vertAlign w:val="subscript"/>
    </w:rPr>
  </w:style>
  <w:style w:type="character" w:customStyle="1" w:styleId="68">
    <w:name w:val="批注主题 字符"/>
    <w:autoRedefine/>
    <w:semiHidden/>
    <w:qFormat/>
    <w:uiPriority w:val="99"/>
    <w:rPr>
      <w:b/>
      <w:bCs/>
      <w:color w:val="000000"/>
      <w:kern w:val="2"/>
      <w:sz w:val="21"/>
      <w:szCs w:val="24"/>
      <w:u w:color="000000"/>
    </w:rPr>
  </w:style>
  <w:style w:type="character" w:customStyle="1" w:styleId="69">
    <w:name w:val="脚注文本 字符"/>
    <w:autoRedefine/>
    <w:semiHidden/>
    <w:qFormat/>
    <w:uiPriority w:val="99"/>
    <w:rPr>
      <w:color w:val="000000"/>
      <w:sz w:val="18"/>
      <w:szCs w:val="18"/>
      <w:u w:color="000000"/>
    </w:rPr>
  </w:style>
  <w:style w:type="character" w:customStyle="1" w:styleId="70">
    <w:name w:val="正文文本 3 字符"/>
    <w:autoRedefine/>
    <w:qFormat/>
    <w:uiPriority w:val="0"/>
    <w:rPr>
      <w:b/>
      <w:bCs/>
      <w:kern w:val="2"/>
      <w:sz w:val="24"/>
      <w:szCs w:val="24"/>
    </w:rPr>
  </w:style>
  <w:style w:type="character" w:customStyle="1" w:styleId="71">
    <w:name w:val="标题 2 字符"/>
    <w:autoRedefine/>
    <w:qFormat/>
    <w:uiPriority w:val="0"/>
    <w:rPr>
      <w:rFonts w:ascii="Arial" w:hAnsi="Arial" w:eastAsia="黑体"/>
      <w:b/>
      <w:color w:val="000000"/>
      <w:kern w:val="2"/>
      <w:sz w:val="32"/>
      <w:u w:color="000000"/>
    </w:rPr>
  </w:style>
  <w:style w:type="character" w:customStyle="1" w:styleId="72">
    <w:name w:val="font21"/>
    <w:autoRedefine/>
    <w:qFormat/>
    <w:uiPriority w:val="0"/>
    <w:rPr>
      <w:rFonts w:hint="eastAsia" w:ascii="宋体" w:hAnsi="宋体" w:eastAsia="宋体" w:cs="宋体"/>
      <w:color w:val="000000"/>
      <w:sz w:val="21"/>
      <w:szCs w:val="21"/>
      <w:u w:val="none"/>
    </w:rPr>
  </w:style>
  <w:style w:type="character" w:customStyle="1" w:styleId="73">
    <w:name w:val="日期 字符"/>
    <w:autoRedefine/>
    <w:qFormat/>
    <w:uiPriority w:val="0"/>
    <w:rPr>
      <w:sz w:val="28"/>
      <w:u w:color="000000"/>
    </w:rPr>
  </w:style>
  <w:style w:type="character" w:customStyle="1" w:styleId="74">
    <w:name w:val="脚注文本 字符1"/>
    <w:autoRedefine/>
    <w:qFormat/>
    <w:uiPriority w:val="0"/>
    <w:rPr>
      <w:kern w:val="2"/>
      <w:sz w:val="18"/>
      <w:szCs w:val="18"/>
    </w:rPr>
  </w:style>
  <w:style w:type="character" w:customStyle="1" w:styleId="75">
    <w:name w:val="t_tag"/>
    <w:autoRedefine/>
    <w:qFormat/>
    <w:uiPriority w:val="0"/>
  </w:style>
  <w:style w:type="character" w:customStyle="1" w:styleId="76">
    <w:name w:val="页脚 字符"/>
    <w:autoRedefine/>
    <w:qFormat/>
    <w:uiPriority w:val="99"/>
    <w:rPr>
      <w:color w:val="000000"/>
      <w:sz w:val="18"/>
      <w:szCs w:val="18"/>
      <w:u w:color="000000"/>
    </w:rPr>
  </w:style>
  <w:style w:type="character" w:customStyle="1" w:styleId="77">
    <w:name w:val="批注文字 字符"/>
    <w:autoRedefine/>
    <w:qFormat/>
    <w:uiPriority w:val="0"/>
    <w:rPr>
      <w:kern w:val="2"/>
      <w:sz w:val="24"/>
      <w:szCs w:val="24"/>
    </w:rPr>
  </w:style>
  <w:style w:type="character" w:customStyle="1" w:styleId="78">
    <w:name w:val="纯文本 Char1"/>
    <w:autoRedefine/>
    <w:qFormat/>
    <w:uiPriority w:val="0"/>
    <w:rPr>
      <w:rFonts w:ascii="宋体" w:hAnsi="Courier New" w:eastAsia="宋体"/>
      <w:kern w:val="2"/>
      <w:sz w:val="21"/>
      <w:u w:color="000000"/>
      <w:lang w:val="en-US" w:eastAsia="zh-CN" w:bidi="ar-SA"/>
    </w:rPr>
  </w:style>
  <w:style w:type="character" w:customStyle="1" w:styleId="79">
    <w:name w:val="正文文本 2 字符"/>
    <w:autoRedefine/>
    <w:qFormat/>
    <w:uiPriority w:val="0"/>
    <w:rPr>
      <w:kern w:val="2"/>
      <w:sz w:val="24"/>
      <w:u w:color="000000"/>
    </w:rPr>
  </w:style>
  <w:style w:type="character" w:customStyle="1" w:styleId="80">
    <w:name w:val="h1"/>
    <w:autoRedefine/>
    <w:qFormat/>
    <w:uiPriority w:val="0"/>
  </w:style>
  <w:style w:type="character" w:customStyle="1" w:styleId="81">
    <w:name w:val="正文文本缩进 3 字符"/>
    <w:autoRedefine/>
    <w:qFormat/>
    <w:uiPriority w:val="0"/>
    <w:rPr>
      <w:color w:val="000000"/>
      <w:sz w:val="16"/>
      <w:szCs w:val="16"/>
      <w:u w:color="000000"/>
    </w:rPr>
  </w:style>
  <w:style w:type="character" w:customStyle="1" w:styleId="82">
    <w:name w:val="页眉 字符"/>
    <w:autoRedefine/>
    <w:qFormat/>
    <w:uiPriority w:val="0"/>
    <w:rPr>
      <w:color w:val="000000"/>
      <w:sz w:val="18"/>
      <w:szCs w:val="18"/>
      <w:u w:color="000000"/>
    </w:rPr>
  </w:style>
  <w:style w:type="character" w:customStyle="1" w:styleId="83">
    <w:name w:val="HTML 预设格式 字符"/>
    <w:autoRedefine/>
    <w:semiHidden/>
    <w:qFormat/>
    <w:uiPriority w:val="99"/>
    <w:rPr>
      <w:rFonts w:ascii="宋体" w:hAnsi="宋体" w:cs="宋体"/>
      <w:sz w:val="24"/>
      <w:szCs w:val="24"/>
    </w:rPr>
  </w:style>
  <w:style w:type="paragraph" w:customStyle="1" w:styleId="84">
    <w:name w:val="样式1"/>
    <w:basedOn w:val="1"/>
    <w:autoRedefine/>
    <w:qFormat/>
    <w:uiPriority w:val="0"/>
    <w:pPr>
      <w:numPr>
        <w:ilvl w:val="0"/>
        <w:numId w:val="2"/>
      </w:numPr>
      <w:spacing w:line="240" w:lineRule="auto"/>
      <w:textAlignment w:val="baseline"/>
    </w:pPr>
    <w:rPr>
      <w:rFonts w:ascii="仿宋_GB2312" w:hAnsi="宋体" w:eastAsia="仿宋_GB2312"/>
      <w:color w:val="auto"/>
      <w:kern w:val="2"/>
      <w:szCs w:val="32"/>
    </w:rPr>
  </w:style>
  <w:style w:type="paragraph" w:customStyle="1" w:styleId="85">
    <w:name w:val="xl128"/>
    <w:basedOn w:val="1"/>
    <w:autoRedefine/>
    <w:qFormat/>
    <w:uiPriority w:val="0"/>
    <w:pPr>
      <w:pBdr>
        <w:left w:val="dotted" w:color="auto" w:sz="4" w:space="0"/>
      </w:pBdr>
      <w:spacing w:before="100" w:beforeAutospacing="1" w:after="100" w:afterAutospacing="1" w:line="240" w:lineRule="auto"/>
      <w:jc w:val="center"/>
    </w:pPr>
    <w:rPr>
      <w:sz w:val="24"/>
      <w:szCs w:val="24"/>
    </w:rPr>
  </w:style>
  <w:style w:type="paragraph" w:customStyle="1" w:styleId="86">
    <w:name w:val="xl79"/>
    <w:basedOn w:val="1"/>
    <w:autoRedefine/>
    <w:qFormat/>
    <w:uiPriority w:val="0"/>
    <w:pPr>
      <w:pBdr>
        <w:top w:val="dotted" w:color="auto" w:sz="4" w:space="0"/>
        <w:left w:val="single" w:color="auto" w:sz="4" w:space="0"/>
        <w:bottom w:val="dotted" w:color="auto" w:sz="4" w:space="0"/>
        <w:right w:val="dotted" w:color="auto" w:sz="4" w:space="0"/>
      </w:pBdr>
      <w:spacing w:before="100" w:beforeAutospacing="1" w:after="100" w:afterAutospacing="1" w:line="240" w:lineRule="auto"/>
      <w:jc w:val="center"/>
    </w:pPr>
    <w:rPr>
      <w:rFonts w:ascii="宋体" w:hAnsi="宋体" w:cs="宋体"/>
      <w:b/>
      <w:bCs/>
      <w:color w:val="FF0000"/>
      <w:sz w:val="24"/>
      <w:szCs w:val="24"/>
    </w:rPr>
  </w:style>
  <w:style w:type="paragraph" w:customStyle="1" w:styleId="87">
    <w:name w:val="font7"/>
    <w:basedOn w:val="1"/>
    <w:autoRedefine/>
    <w:qFormat/>
    <w:uiPriority w:val="0"/>
    <w:pPr>
      <w:spacing w:before="100" w:beforeAutospacing="1" w:after="100" w:afterAutospacing="1" w:line="240" w:lineRule="auto"/>
    </w:pPr>
    <w:rPr>
      <w:rFonts w:ascii="宋体" w:hAnsi="宋体" w:cs="宋体"/>
      <w:sz w:val="20"/>
    </w:rPr>
  </w:style>
  <w:style w:type="paragraph" w:customStyle="1" w:styleId="88">
    <w:name w:val="font18"/>
    <w:basedOn w:val="1"/>
    <w:autoRedefine/>
    <w:qFormat/>
    <w:uiPriority w:val="0"/>
    <w:pPr>
      <w:spacing w:before="100" w:beforeAutospacing="1" w:after="100" w:afterAutospacing="1" w:line="240" w:lineRule="auto"/>
    </w:pPr>
    <w:rPr>
      <w:rFonts w:ascii="Calibri" w:hAnsi="Calibri" w:cs="宋体"/>
      <w:sz w:val="24"/>
      <w:szCs w:val="24"/>
    </w:rPr>
  </w:style>
  <w:style w:type="paragraph" w:customStyle="1" w:styleId="89">
    <w:name w:val="xl104"/>
    <w:basedOn w:val="1"/>
    <w:autoRedefine/>
    <w:qFormat/>
    <w:uiPriority w:val="0"/>
    <w:pPr>
      <w:pBdr>
        <w:top w:val="dotted" w:color="auto" w:sz="4" w:space="0"/>
        <w:bottom w:val="dotted" w:color="auto" w:sz="4" w:space="0"/>
        <w:right w:val="dotted" w:color="auto" w:sz="4" w:space="0"/>
      </w:pBdr>
      <w:spacing w:before="100" w:beforeAutospacing="1" w:after="100" w:afterAutospacing="1" w:line="240" w:lineRule="auto"/>
      <w:jc w:val="center"/>
    </w:pPr>
    <w:rPr>
      <w:rFonts w:ascii="宋体" w:hAnsi="宋体" w:cs="宋体"/>
      <w:sz w:val="18"/>
      <w:szCs w:val="18"/>
    </w:rPr>
  </w:style>
  <w:style w:type="paragraph" w:customStyle="1" w:styleId="90">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xl109"/>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rFonts w:ascii="宋体" w:hAnsi="宋体" w:cs="宋体"/>
      <w:b/>
      <w:bCs/>
      <w:color w:val="auto"/>
      <w:sz w:val="20"/>
    </w:rPr>
  </w:style>
  <w:style w:type="paragraph" w:customStyle="1" w:styleId="9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3">
    <w:name w:val="xl6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2"/>
      <w:szCs w:val="22"/>
    </w:rPr>
  </w:style>
  <w:style w:type="paragraph" w:customStyle="1" w:styleId="94">
    <w:name w:val="xl121"/>
    <w:basedOn w:val="1"/>
    <w:autoRedefine/>
    <w:qFormat/>
    <w:uiPriority w:val="0"/>
    <w:pPr>
      <w:pBdr>
        <w:top w:val="dotted" w:color="auto" w:sz="4" w:space="0"/>
        <w:left w:val="single" w:color="auto" w:sz="4" w:space="0"/>
        <w:right w:val="dotted" w:color="auto" w:sz="4" w:space="0"/>
      </w:pBdr>
      <w:spacing w:before="100" w:beforeAutospacing="1" w:after="100" w:afterAutospacing="1" w:line="240" w:lineRule="auto"/>
      <w:jc w:val="center"/>
    </w:pPr>
    <w:rPr>
      <w:rFonts w:ascii="宋体" w:hAnsi="宋体" w:cs="宋体"/>
      <w:b/>
      <w:bCs/>
      <w:color w:val="auto"/>
      <w:sz w:val="24"/>
      <w:szCs w:val="24"/>
    </w:rPr>
  </w:style>
  <w:style w:type="paragraph" w:customStyle="1" w:styleId="95">
    <w:name w:val="xl67"/>
    <w:basedOn w:val="1"/>
    <w:autoRedefine/>
    <w:qFormat/>
    <w:uiPriority w:val="0"/>
    <w:pPr>
      <w:spacing w:before="100" w:beforeAutospacing="1" w:after="100" w:afterAutospacing="1" w:line="240" w:lineRule="auto"/>
    </w:pPr>
    <w:rPr>
      <w:rFonts w:ascii="宋体" w:hAnsi="宋体" w:cs="宋体"/>
      <w:color w:val="auto"/>
      <w:sz w:val="24"/>
      <w:szCs w:val="24"/>
    </w:rPr>
  </w:style>
  <w:style w:type="paragraph" w:customStyle="1" w:styleId="96">
    <w:name w:val="xl12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b/>
      <w:bCs/>
      <w:sz w:val="20"/>
    </w:rPr>
  </w:style>
  <w:style w:type="paragraph" w:customStyle="1" w:styleId="97">
    <w:name w:val="xl9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sz w:val="18"/>
      <w:szCs w:val="18"/>
    </w:rPr>
  </w:style>
  <w:style w:type="paragraph" w:customStyle="1" w:styleId="98">
    <w:name w:val="font6"/>
    <w:basedOn w:val="1"/>
    <w:autoRedefine/>
    <w:qFormat/>
    <w:uiPriority w:val="0"/>
    <w:pPr>
      <w:spacing w:before="100" w:beforeAutospacing="1" w:after="100" w:afterAutospacing="1" w:line="240" w:lineRule="auto"/>
    </w:pPr>
    <w:rPr>
      <w:rFonts w:ascii="宋体" w:hAnsi="宋体" w:cs="宋体"/>
      <w:sz w:val="24"/>
      <w:szCs w:val="24"/>
    </w:rPr>
  </w:style>
  <w:style w:type="paragraph" w:customStyle="1" w:styleId="99">
    <w:name w:val="文档正文"/>
    <w:basedOn w:val="1"/>
    <w:autoRedefine/>
    <w:qFormat/>
    <w:uiPriority w:val="0"/>
    <w:pPr>
      <w:adjustRightInd w:val="0"/>
      <w:spacing w:line="312" w:lineRule="atLeast"/>
      <w:ind w:firstLine="567"/>
      <w:textAlignment w:val="baseline"/>
    </w:pPr>
    <w:rPr>
      <w:rFonts w:ascii="长城仿宋" w:eastAsia="长城仿宋"/>
      <w:color w:val="auto"/>
      <w:sz w:val="28"/>
    </w:rPr>
  </w:style>
  <w:style w:type="paragraph" w:customStyle="1" w:styleId="100">
    <w:name w:val="font17"/>
    <w:basedOn w:val="1"/>
    <w:autoRedefine/>
    <w:qFormat/>
    <w:uiPriority w:val="0"/>
    <w:pPr>
      <w:spacing w:before="100" w:beforeAutospacing="1" w:after="100" w:afterAutospacing="1" w:line="240" w:lineRule="auto"/>
    </w:pPr>
    <w:rPr>
      <w:rFonts w:ascii="宋体" w:hAnsi="宋体" w:cs="宋体"/>
      <w:color w:val="90713A"/>
      <w:sz w:val="24"/>
      <w:szCs w:val="24"/>
    </w:rPr>
  </w:style>
  <w:style w:type="paragraph" w:customStyle="1" w:styleId="101">
    <w:name w:val="xl135"/>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pPr>
    <w:rPr>
      <w:rFonts w:ascii="宋体" w:hAnsi="宋体" w:cs="宋体"/>
      <w:sz w:val="20"/>
    </w:rPr>
  </w:style>
  <w:style w:type="paragraph" w:customStyle="1" w:styleId="102">
    <w:name w:val="xl77"/>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textAlignment w:val="bottom"/>
    </w:pPr>
    <w:rPr>
      <w:rFonts w:ascii="宋体" w:hAnsi="宋体" w:cs="宋体"/>
      <w:sz w:val="20"/>
    </w:rPr>
  </w:style>
  <w:style w:type="paragraph" w:customStyle="1" w:styleId="103">
    <w:name w:val="font9"/>
    <w:basedOn w:val="1"/>
    <w:autoRedefine/>
    <w:qFormat/>
    <w:uiPriority w:val="0"/>
    <w:pPr>
      <w:spacing w:before="100" w:beforeAutospacing="1" w:after="100" w:afterAutospacing="1" w:line="240" w:lineRule="auto"/>
    </w:pPr>
    <w:rPr>
      <w:rFonts w:ascii="宋体" w:hAnsi="宋体" w:cs="宋体"/>
      <w:sz w:val="18"/>
      <w:szCs w:val="18"/>
    </w:rPr>
  </w:style>
  <w:style w:type="paragraph" w:customStyle="1" w:styleId="104">
    <w:name w:val="xl8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sz w:val="20"/>
    </w:rPr>
  </w:style>
  <w:style w:type="paragraph" w:customStyle="1" w:styleId="105">
    <w:name w:val="xl139"/>
    <w:basedOn w:val="1"/>
    <w:autoRedefine/>
    <w:qFormat/>
    <w:uiPriority w:val="0"/>
    <w:pPr>
      <w:pBdr>
        <w:top w:val="dashed" w:color="auto" w:sz="4" w:space="0"/>
        <w:left w:val="dashed" w:color="auto" w:sz="4" w:space="0"/>
        <w:bottom w:val="dashed" w:color="auto" w:sz="4" w:space="0"/>
        <w:right w:val="dashed" w:color="auto" w:sz="4" w:space="0"/>
      </w:pBdr>
      <w:spacing w:before="100" w:beforeAutospacing="1" w:after="100" w:afterAutospacing="1" w:line="240" w:lineRule="auto"/>
      <w:jc w:val="center"/>
      <w:textAlignment w:val="bottom"/>
    </w:pPr>
    <w:rPr>
      <w:rFonts w:ascii="宋体" w:hAnsi="宋体" w:cs="宋体"/>
      <w:sz w:val="24"/>
      <w:szCs w:val="24"/>
    </w:rPr>
  </w:style>
  <w:style w:type="paragraph" w:customStyle="1" w:styleId="106">
    <w:name w:val="xl122"/>
    <w:basedOn w:val="1"/>
    <w:autoRedefine/>
    <w:qFormat/>
    <w:uiPriority w:val="0"/>
    <w:pPr>
      <w:pBdr>
        <w:top w:val="single" w:color="auto" w:sz="4" w:space="0"/>
        <w:left w:val="dotted" w:color="auto" w:sz="4" w:space="0"/>
        <w:bottom w:val="dotted" w:color="auto" w:sz="4" w:space="0"/>
        <w:right w:val="dotted" w:color="auto" w:sz="4" w:space="0"/>
      </w:pBdr>
      <w:spacing w:before="100" w:beforeAutospacing="1" w:after="100" w:afterAutospacing="1" w:line="240" w:lineRule="auto"/>
      <w:jc w:val="center"/>
    </w:pPr>
    <w:rPr>
      <w:rFonts w:ascii="宋体" w:hAnsi="宋体" w:cs="宋体"/>
      <w:b/>
      <w:bCs/>
      <w:color w:val="auto"/>
      <w:sz w:val="24"/>
      <w:szCs w:val="24"/>
    </w:rPr>
  </w:style>
  <w:style w:type="paragraph" w:customStyle="1" w:styleId="107">
    <w:name w:val="xl106"/>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pPr>
    <w:rPr>
      <w:rFonts w:ascii="宋体" w:hAnsi="宋体" w:cs="宋体"/>
      <w:sz w:val="18"/>
      <w:szCs w:val="18"/>
    </w:rPr>
  </w:style>
  <w:style w:type="paragraph" w:customStyle="1" w:styleId="108">
    <w:name w:val="font5"/>
    <w:basedOn w:val="1"/>
    <w:autoRedefine/>
    <w:qFormat/>
    <w:uiPriority w:val="0"/>
    <w:pPr>
      <w:spacing w:before="100" w:beforeAutospacing="1" w:after="100" w:afterAutospacing="1" w:line="240" w:lineRule="auto"/>
    </w:pPr>
    <w:rPr>
      <w:rFonts w:ascii="宋体" w:hAnsi="宋体" w:cs="宋体"/>
      <w:color w:val="auto"/>
      <w:sz w:val="18"/>
      <w:szCs w:val="18"/>
    </w:rPr>
  </w:style>
  <w:style w:type="paragraph" w:customStyle="1" w:styleId="109">
    <w:name w:val="xl117"/>
    <w:basedOn w:val="1"/>
    <w:autoRedefine/>
    <w:qFormat/>
    <w:uiPriority w:val="0"/>
    <w:pPr>
      <w:spacing w:before="100" w:beforeAutospacing="1" w:after="100" w:afterAutospacing="1" w:line="240" w:lineRule="auto"/>
      <w:jc w:val="center"/>
    </w:pPr>
    <w:rPr>
      <w:rFonts w:ascii="宋体" w:hAnsi="宋体" w:cs="宋体"/>
      <w:b/>
      <w:bCs/>
      <w:sz w:val="24"/>
      <w:szCs w:val="24"/>
    </w:rPr>
  </w:style>
  <w:style w:type="paragraph" w:customStyle="1" w:styleId="110">
    <w:name w:val="xl84"/>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textAlignment w:val="bottom"/>
    </w:pPr>
    <w:rPr>
      <w:sz w:val="20"/>
    </w:rPr>
  </w:style>
  <w:style w:type="paragraph" w:customStyle="1" w:styleId="111">
    <w:name w:val="xl87"/>
    <w:basedOn w:val="1"/>
    <w:autoRedefine/>
    <w:qFormat/>
    <w:uiPriority w:val="0"/>
    <w:pPr>
      <w:spacing w:before="100" w:beforeAutospacing="1" w:after="100" w:afterAutospacing="1" w:line="240" w:lineRule="auto"/>
    </w:pPr>
    <w:rPr>
      <w:rFonts w:ascii="宋体" w:hAnsi="宋体" w:cs="宋体"/>
      <w:color w:val="auto"/>
      <w:sz w:val="20"/>
    </w:rPr>
  </w:style>
  <w:style w:type="paragraph" w:customStyle="1" w:styleId="112">
    <w:name w:val="xl134"/>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textAlignment w:val="bottom"/>
    </w:pPr>
    <w:rPr>
      <w:rFonts w:ascii="宋体" w:hAnsi="宋体" w:cs="宋体"/>
      <w:sz w:val="24"/>
      <w:szCs w:val="24"/>
    </w:rPr>
  </w:style>
  <w:style w:type="paragraph" w:customStyle="1" w:styleId="113">
    <w:name w:val="xl98"/>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textAlignment w:val="bottom"/>
    </w:pPr>
    <w:rPr>
      <w:rFonts w:ascii="宋体" w:hAnsi="宋体" w:cs="宋体"/>
      <w:sz w:val="20"/>
    </w:rPr>
  </w:style>
  <w:style w:type="paragraph" w:customStyle="1" w:styleId="114">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15">
    <w:name w:val="xl118"/>
    <w:basedOn w:val="1"/>
    <w:autoRedefine/>
    <w:qFormat/>
    <w:uiPriority w:val="0"/>
    <w:pPr>
      <w:pBdr>
        <w:top w:val="dotted" w:color="auto" w:sz="4" w:space="0"/>
        <w:bottom w:val="dotted" w:color="auto" w:sz="4" w:space="0"/>
        <w:right w:val="dotted" w:color="auto" w:sz="4" w:space="0"/>
      </w:pBdr>
      <w:spacing w:before="100" w:beforeAutospacing="1" w:after="100" w:afterAutospacing="1" w:line="240" w:lineRule="auto"/>
    </w:pPr>
    <w:rPr>
      <w:rFonts w:ascii="宋体" w:hAnsi="宋体" w:cs="宋体"/>
      <w:b/>
      <w:bCs/>
      <w:sz w:val="18"/>
      <w:szCs w:val="18"/>
    </w:rPr>
  </w:style>
  <w:style w:type="paragraph" w:customStyle="1" w:styleId="116">
    <w:name w:val="xl112"/>
    <w:basedOn w:val="1"/>
    <w:autoRedefine/>
    <w:qFormat/>
    <w:uiPriority w:val="0"/>
    <w:pPr>
      <w:pBdr>
        <w:top w:val="dotted" w:color="auto" w:sz="4" w:space="0"/>
        <w:bottom w:val="dotted" w:color="auto" w:sz="4" w:space="0"/>
        <w:right w:val="dotted" w:color="auto" w:sz="4" w:space="0"/>
      </w:pBdr>
      <w:spacing w:before="100" w:beforeAutospacing="1" w:after="100" w:afterAutospacing="1" w:line="240" w:lineRule="auto"/>
      <w:jc w:val="center"/>
      <w:textAlignment w:val="bottom"/>
    </w:pPr>
    <w:rPr>
      <w:rFonts w:ascii="宋体" w:hAnsi="宋体" w:cs="宋体"/>
      <w:color w:val="FF0000"/>
      <w:sz w:val="24"/>
      <w:szCs w:val="24"/>
    </w:rPr>
  </w:style>
  <w:style w:type="paragraph" w:customStyle="1" w:styleId="117">
    <w:name w:val="xl74"/>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rFonts w:ascii="宋体" w:hAnsi="宋体" w:cs="宋体"/>
      <w:sz w:val="20"/>
    </w:rPr>
  </w:style>
  <w:style w:type="paragraph" w:customStyle="1" w:styleId="118">
    <w:name w:val="xl107"/>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rFonts w:ascii="宋体" w:hAnsi="宋体" w:cs="宋体"/>
      <w:sz w:val="18"/>
      <w:szCs w:val="18"/>
    </w:rPr>
  </w:style>
  <w:style w:type="paragraph" w:customStyle="1" w:styleId="119">
    <w:name w:val="xl70"/>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pPr>
    <w:rPr>
      <w:rFonts w:ascii="宋体" w:hAnsi="宋体" w:cs="宋体"/>
      <w:sz w:val="20"/>
    </w:rPr>
  </w:style>
  <w:style w:type="paragraph" w:customStyle="1" w:styleId="120">
    <w:name w:val="xl102"/>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pPr>
    <w:rPr>
      <w:rFonts w:ascii="宋体" w:hAnsi="宋体" w:cs="宋体"/>
      <w:sz w:val="18"/>
      <w:szCs w:val="18"/>
    </w:rPr>
  </w:style>
  <w:style w:type="paragraph" w:customStyle="1" w:styleId="121">
    <w:name w:val="Char"/>
    <w:basedOn w:val="1"/>
    <w:autoRedefine/>
    <w:qFormat/>
    <w:uiPriority w:val="0"/>
    <w:pPr>
      <w:spacing w:line="240" w:lineRule="auto"/>
    </w:pPr>
    <w:rPr>
      <w:rFonts w:ascii="仿宋_GB2312" w:eastAsia="仿宋_GB2312"/>
      <w:b/>
      <w:color w:val="auto"/>
      <w:kern w:val="2"/>
      <w:sz w:val="32"/>
      <w:szCs w:val="32"/>
    </w:rPr>
  </w:style>
  <w:style w:type="paragraph" w:customStyle="1" w:styleId="122">
    <w:name w:val="表格文字"/>
    <w:basedOn w:val="1"/>
    <w:autoRedefine/>
    <w:qFormat/>
    <w:uiPriority w:val="0"/>
    <w:pPr>
      <w:spacing w:before="25" w:after="25" w:line="300" w:lineRule="auto"/>
    </w:pPr>
    <w:rPr>
      <w:rFonts w:ascii="Times" w:hAnsi="Times"/>
      <w:spacing w:val="10"/>
      <w:sz w:val="24"/>
    </w:rPr>
  </w:style>
  <w:style w:type="paragraph" w:customStyle="1" w:styleId="123">
    <w:name w:val="xl72"/>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sz w:val="20"/>
    </w:rPr>
  </w:style>
  <w:style w:type="paragraph" w:customStyle="1" w:styleId="124">
    <w:name w:val="xl13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宋体" w:hAnsi="宋体" w:cs="宋体"/>
      <w:sz w:val="20"/>
    </w:rPr>
  </w:style>
  <w:style w:type="paragraph" w:customStyle="1" w:styleId="125">
    <w:name w:val="xl76"/>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textAlignment w:val="bottom"/>
    </w:pPr>
    <w:rPr>
      <w:rFonts w:ascii="宋体" w:hAnsi="宋体" w:cs="宋体"/>
      <w:sz w:val="20"/>
    </w:rPr>
  </w:style>
  <w:style w:type="paragraph" w:customStyle="1" w:styleId="126">
    <w:name w:val="xl12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sz w:val="20"/>
    </w:rPr>
  </w:style>
  <w:style w:type="paragraph" w:customStyle="1" w:styleId="127">
    <w:name w:val="xl101"/>
    <w:basedOn w:val="1"/>
    <w:autoRedefine/>
    <w:qFormat/>
    <w:uiPriority w:val="0"/>
    <w:pPr>
      <w:pBdr>
        <w:bottom w:val="dotted" w:color="auto" w:sz="4" w:space="0"/>
        <w:right w:val="dotted" w:color="auto" w:sz="4" w:space="0"/>
      </w:pBdr>
      <w:spacing w:before="100" w:beforeAutospacing="1" w:after="100" w:afterAutospacing="1" w:line="240" w:lineRule="auto"/>
      <w:jc w:val="center"/>
    </w:pPr>
    <w:rPr>
      <w:sz w:val="24"/>
      <w:szCs w:val="24"/>
    </w:rPr>
  </w:style>
  <w:style w:type="paragraph" w:customStyle="1" w:styleId="128">
    <w:name w:val="xl14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color w:val="DD0806"/>
      <w:sz w:val="24"/>
      <w:szCs w:val="24"/>
    </w:rPr>
  </w:style>
  <w:style w:type="paragraph" w:customStyle="1" w:styleId="129">
    <w:name w:val="Char Char Char Char"/>
    <w:basedOn w:val="1"/>
    <w:autoRedefine/>
    <w:qFormat/>
    <w:uiPriority w:val="0"/>
    <w:pPr>
      <w:adjustRightInd w:val="0"/>
      <w:spacing w:line="240" w:lineRule="auto"/>
      <w:textAlignment w:val="baseline"/>
    </w:pPr>
    <w:rPr>
      <w:color w:val="auto"/>
    </w:rPr>
  </w:style>
  <w:style w:type="paragraph" w:customStyle="1" w:styleId="130">
    <w:name w:val="font8"/>
    <w:basedOn w:val="1"/>
    <w:autoRedefine/>
    <w:qFormat/>
    <w:uiPriority w:val="0"/>
    <w:pPr>
      <w:spacing w:before="100" w:beforeAutospacing="1" w:after="100" w:afterAutospacing="1" w:line="240" w:lineRule="auto"/>
    </w:pPr>
    <w:rPr>
      <w:sz w:val="20"/>
    </w:rPr>
  </w:style>
  <w:style w:type="paragraph" w:customStyle="1" w:styleId="131">
    <w:name w:val="xl69"/>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sz w:val="24"/>
      <w:szCs w:val="24"/>
    </w:rPr>
  </w:style>
  <w:style w:type="paragraph" w:customStyle="1" w:styleId="132">
    <w:name w:val="xl136"/>
    <w:basedOn w:val="1"/>
    <w:autoRedefine/>
    <w:qFormat/>
    <w:uiPriority w:val="0"/>
    <w:pPr>
      <w:pBdr>
        <w:top w:val="dashed" w:color="auto" w:sz="4" w:space="0"/>
      </w:pBdr>
      <w:spacing w:before="100" w:beforeAutospacing="1" w:after="100" w:afterAutospacing="1" w:line="240" w:lineRule="auto"/>
      <w:jc w:val="center"/>
    </w:pPr>
    <w:rPr>
      <w:rFonts w:ascii="宋体" w:hAnsi="宋体" w:cs="宋体"/>
      <w:b/>
      <w:bCs/>
      <w:sz w:val="24"/>
      <w:szCs w:val="24"/>
    </w:rPr>
  </w:style>
  <w:style w:type="paragraph" w:customStyle="1" w:styleId="133">
    <w:name w:val="xl14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DD0806"/>
      <w:sz w:val="24"/>
      <w:szCs w:val="24"/>
    </w:rPr>
  </w:style>
  <w:style w:type="paragraph" w:customStyle="1" w:styleId="134">
    <w:name w:val="font12"/>
    <w:basedOn w:val="1"/>
    <w:autoRedefine/>
    <w:qFormat/>
    <w:uiPriority w:val="0"/>
    <w:pPr>
      <w:spacing w:before="100" w:beforeAutospacing="1" w:after="100" w:afterAutospacing="1" w:line="240" w:lineRule="auto"/>
    </w:pPr>
    <w:rPr>
      <w:rFonts w:ascii="宋体" w:hAnsi="宋体" w:cs="宋体"/>
      <w:sz w:val="24"/>
      <w:szCs w:val="24"/>
    </w:rPr>
  </w:style>
  <w:style w:type="paragraph" w:customStyle="1" w:styleId="135">
    <w:name w:val="xl71"/>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rFonts w:ascii="宋体" w:hAnsi="宋体" w:cs="宋体"/>
      <w:sz w:val="20"/>
    </w:rPr>
  </w:style>
  <w:style w:type="paragraph" w:customStyle="1" w:styleId="136">
    <w:name w:val="xl120"/>
    <w:basedOn w:val="1"/>
    <w:autoRedefine/>
    <w:qFormat/>
    <w:uiPriority w:val="0"/>
    <w:pPr>
      <w:pBdr>
        <w:top w:val="single" w:color="auto" w:sz="4" w:space="0"/>
        <w:left w:val="single" w:color="auto" w:sz="4" w:space="0"/>
        <w:bottom w:val="dotted" w:color="auto" w:sz="4" w:space="0"/>
        <w:right w:val="dotted" w:color="auto" w:sz="4" w:space="0"/>
      </w:pBdr>
      <w:spacing w:before="100" w:beforeAutospacing="1" w:after="100" w:afterAutospacing="1" w:line="240" w:lineRule="auto"/>
      <w:jc w:val="center"/>
    </w:pPr>
    <w:rPr>
      <w:rFonts w:ascii="宋体" w:hAnsi="宋体" w:cs="宋体"/>
      <w:b/>
      <w:bCs/>
      <w:color w:val="auto"/>
      <w:sz w:val="24"/>
      <w:szCs w:val="24"/>
    </w:rPr>
  </w:style>
  <w:style w:type="paragraph" w:customStyle="1" w:styleId="137">
    <w:name w:val="font11"/>
    <w:basedOn w:val="1"/>
    <w:autoRedefine/>
    <w:qFormat/>
    <w:uiPriority w:val="0"/>
    <w:pPr>
      <w:spacing w:before="100" w:beforeAutospacing="1" w:after="100" w:afterAutospacing="1" w:line="240" w:lineRule="auto"/>
    </w:pPr>
    <w:rPr>
      <w:rFonts w:ascii="宋体" w:hAnsi="宋体" w:cs="宋体"/>
      <w:szCs w:val="21"/>
    </w:rPr>
  </w:style>
  <w:style w:type="paragraph" w:customStyle="1" w:styleId="138">
    <w:name w:val="xl124"/>
    <w:basedOn w:val="1"/>
    <w:autoRedefine/>
    <w:qFormat/>
    <w:uiPriority w:val="0"/>
    <w:pPr>
      <w:pBdr>
        <w:top w:val="dotted" w:color="auto" w:sz="4" w:space="0"/>
        <w:left w:val="dotted" w:color="auto" w:sz="4" w:space="0"/>
      </w:pBdr>
      <w:spacing w:before="100" w:beforeAutospacing="1" w:after="100" w:afterAutospacing="1" w:line="240" w:lineRule="auto"/>
      <w:jc w:val="center"/>
    </w:pPr>
    <w:rPr>
      <w:sz w:val="24"/>
      <w:szCs w:val="24"/>
    </w:rPr>
  </w:style>
  <w:style w:type="paragraph" w:customStyle="1" w:styleId="139">
    <w:name w:val="xl95"/>
    <w:basedOn w:val="1"/>
    <w:autoRedefine/>
    <w:qFormat/>
    <w:uiPriority w:val="0"/>
    <w:pPr>
      <w:pBdr>
        <w:top w:val="dashed" w:color="auto" w:sz="4" w:space="0"/>
        <w:bottom w:val="dotted" w:color="auto" w:sz="4" w:space="0"/>
        <w:right w:val="dashed" w:color="auto" w:sz="4" w:space="0"/>
      </w:pBdr>
      <w:spacing w:before="100" w:beforeAutospacing="1" w:after="100" w:afterAutospacing="1" w:line="240" w:lineRule="auto"/>
      <w:textAlignment w:val="bottom"/>
    </w:pPr>
    <w:rPr>
      <w:rFonts w:ascii="宋体" w:hAnsi="宋体" w:cs="宋体"/>
      <w:sz w:val="20"/>
    </w:rPr>
  </w:style>
  <w:style w:type="paragraph" w:customStyle="1" w:styleId="140">
    <w:name w:val="xl140"/>
    <w:basedOn w:val="1"/>
    <w:autoRedefine/>
    <w:qFormat/>
    <w:uiPriority w:val="0"/>
    <w:pPr>
      <w:spacing w:before="100" w:beforeAutospacing="1" w:after="100" w:afterAutospacing="1" w:line="240" w:lineRule="auto"/>
      <w:textAlignment w:val="bottom"/>
    </w:pPr>
    <w:rPr>
      <w:rFonts w:ascii="Arial" w:hAnsi="Arial" w:cs="Arial"/>
      <w:color w:val="auto"/>
      <w:szCs w:val="21"/>
    </w:rPr>
  </w:style>
  <w:style w:type="paragraph" w:customStyle="1" w:styleId="141">
    <w:name w:val="font14"/>
    <w:basedOn w:val="1"/>
    <w:autoRedefine/>
    <w:qFormat/>
    <w:uiPriority w:val="0"/>
    <w:pPr>
      <w:spacing w:before="100" w:beforeAutospacing="1" w:after="100" w:afterAutospacing="1" w:line="240" w:lineRule="auto"/>
    </w:pPr>
    <w:rPr>
      <w:rFonts w:ascii="宋体" w:hAnsi="宋体" w:cs="宋体"/>
      <w:sz w:val="28"/>
      <w:szCs w:val="28"/>
    </w:rPr>
  </w:style>
  <w:style w:type="paragraph" w:customStyle="1" w:styleId="142">
    <w:name w:val="xl85"/>
    <w:basedOn w:val="1"/>
    <w:autoRedefine/>
    <w:qFormat/>
    <w:uiPriority w:val="0"/>
    <w:pPr>
      <w:spacing w:before="100" w:beforeAutospacing="1" w:after="100" w:afterAutospacing="1" w:line="240" w:lineRule="auto"/>
    </w:pPr>
    <w:rPr>
      <w:rFonts w:ascii="宋体" w:hAnsi="宋体" w:cs="宋体"/>
      <w:color w:val="auto"/>
      <w:sz w:val="20"/>
    </w:rPr>
  </w:style>
  <w:style w:type="paragraph" w:customStyle="1" w:styleId="143">
    <w:name w:val="xl9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bottom"/>
    </w:pPr>
    <w:rPr>
      <w:rFonts w:ascii="宋体" w:hAnsi="宋体" w:cs="宋体"/>
      <w:color w:val="auto"/>
      <w:sz w:val="20"/>
    </w:rPr>
  </w:style>
  <w:style w:type="paragraph" w:customStyle="1" w:styleId="144">
    <w:name w:val="font10"/>
    <w:basedOn w:val="1"/>
    <w:autoRedefine/>
    <w:qFormat/>
    <w:uiPriority w:val="0"/>
    <w:pPr>
      <w:spacing w:before="100" w:beforeAutospacing="1" w:after="100" w:afterAutospacing="1" w:line="240" w:lineRule="auto"/>
    </w:pPr>
    <w:rPr>
      <w:rFonts w:ascii="仿宋_GB2312" w:hAnsi="宋体" w:eastAsia="仿宋_GB2312" w:cs="宋体"/>
      <w:color w:val="auto"/>
      <w:szCs w:val="21"/>
    </w:rPr>
  </w:style>
  <w:style w:type="paragraph" w:customStyle="1" w:styleId="145">
    <w:name w:val="xl14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b/>
      <w:bCs/>
      <w:color w:val="auto"/>
      <w:sz w:val="40"/>
      <w:szCs w:val="40"/>
    </w:rPr>
  </w:style>
  <w:style w:type="paragraph" w:customStyle="1" w:styleId="146">
    <w:name w:val="xl83"/>
    <w:basedOn w:val="1"/>
    <w:autoRedefine/>
    <w:qFormat/>
    <w:uiPriority w:val="0"/>
    <w:pPr>
      <w:spacing w:before="100" w:beforeAutospacing="1" w:after="100" w:afterAutospacing="1" w:line="240" w:lineRule="auto"/>
      <w:jc w:val="center"/>
      <w:textAlignment w:val="bottom"/>
    </w:pPr>
    <w:rPr>
      <w:rFonts w:ascii="宋体" w:hAnsi="宋体" w:cs="宋体"/>
      <w:color w:val="auto"/>
      <w:sz w:val="24"/>
      <w:szCs w:val="24"/>
    </w:rPr>
  </w:style>
  <w:style w:type="paragraph" w:customStyle="1" w:styleId="147">
    <w:name w:val="xl103"/>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rFonts w:ascii="宋体" w:hAnsi="宋体" w:cs="宋体"/>
      <w:sz w:val="18"/>
      <w:szCs w:val="18"/>
    </w:rPr>
  </w:style>
  <w:style w:type="paragraph" w:customStyle="1" w:styleId="148">
    <w:name w:val="xl100"/>
    <w:basedOn w:val="1"/>
    <w:autoRedefine/>
    <w:qFormat/>
    <w:uiPriority w:val="0"/>
    <w:pPr>
      <w:pBdr>
        <w:bottom w:val="dotted" w:color="auto" w:sz="4" w:space="0"/>
        <w:right w:val="dashed" w:color="auto" w:sz="4" w:space="0"/>
      </w:pBdr>
      <w:spacing w:before="100" w:beforeAutospacing="1" w:after="100" w:afterAutospacing="1" w:line="240" w:lineRule="auto"/>
      <w:textAlignment w:val="bottom"/>
    </w:pPr>
    <w:rPr>
      <w:rFonts w:ascii="宋体" w:hAnsi="宋体" w:cs="宋体"/>
      <w:sz w:val="20"/>
    </w:rPr>
  </w:style>
  <w:style w:type="paragraph" w:customStyle="1" w:styleId="149">
    <w:name w:val="xl6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sz w:val="24"/>
      <w:szCs w:val="24"/>
    </w:rPr>
  </w:style>
  <w:style w:type="paragraph" w:customStyle="1" w:styleId="150">
    <w:name w:val="xl14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auto"/>
      <w:sz w:val="40"/>
      <w:szCs w:val="40"/>
    </w:rPr>
  </w:style>
  <w:style w:type="paragraph" w:customStyle="1" w:styleId="151">
    <w:name w:val="xl80"/>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textAlignment w:val="bottom"/>
    </w:pPr>
    <w:rPr>
      <w:rFonts w:ascii="宋体" w:hAnsi="宋体" w:cs="宋体"/>
      <w:color w:val="FF0000"/>
      <w:sz w:val="24"/>
      <w:szCs w:val="24"/>
    </w:rPr>
  </w:style>
  <w:style w:type="paragraph" w:customStyle="1" w:styleId="152">
    <w:name w:val="xl13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sz w:val="20"/>
    </w:rPr>
  </w:style>
  <w:style w:type="paragraph" w:customStyle="1" w:styleId="153">
    <w:name w:val="xl6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2"/>
      <w:szCs w:val="22"/>
    </w:rPr>
  </w:style>
  <w:style w:type="paragraph" w:customStyle="1" w:styleId="154">
    <w:name w:val="xl96"/>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textAlignment w:val="bottom"/>
    </w:pPr>
    <w:rPr>
      <w:rFonts w:ascii="宋体" w:hAnsi="宋体" w:cs="宋体"/>
      <w:sz w:val="20"/>
    </w:rPr>
  </w:style>
  <w:style w:type="paragraph" w:customStyle="1" w:styleId="155">
    <w:name w:val="xl68"/>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textAlignment w:val="bottom"/>
    </w:pPr>
    <w:rPr>
      <w:sz w:val="24"/>
      <w:szCs w:val="24"/>
    </w:rPr>
  </w:style>
  <w:style w:type="paragraph" w:customStyle="1" w:styleId="156">
    <w:name w:val="font16"/>
    <w:basedOn w:val="1"/>
    <w:autoRedefine/>
    <w:qFormat/>
    <w:uiPriority w:val="0"/>
    <w:pPr>
      <w:spacing w:before="100" w:beforeAutospacing="1" w:after="100" w:afterAutospacing="1" w:line="240" w:lineRule="auto"/>
    </w:pPr>
    <w:rPr>
      <w:rFonts w:ascii="宋体" w:hAnsi="宋体" w:cs="宋体"/>
      <w:color w:val="90713A"/>
      <w:sz w:val="24"/>
      <w:szCs w:val="24"/>
    </w:rPr>
  </w:style>
  <w:style w:type="paragraph" w:customStyle="1" w:styleId="157">
    <w:name w:val="xl115"/>
    <w:basedOn w:val="1"/>
    <w:autoRedefine/>
    <w:qFormat/>
    <w:uiPriority w:val="0"/>
    <w:pPr>
      <w:pBdr>
        <w:left w:val="dotted" w:color="auto" w:sz="4" w:space="0"/>
        <w:bottom w:val="dotted" w:color="auto" w:sz="4" w:space="0"/>
        <w:right w:val="dotted" w:color="auto" w:sz="4" w:space="0"/>
      </w:pBdr>
      <w:spacing w:before="100" w:beforeAutospacing="1" w:after="100" w:afterAutospacing="1" w:line="240" w:lineRule="auto"/>
      <w:jc w:val="center"/>
    </w:pPr>
    <w:rPr>
      <w:sz w:val="24"/>
      <w:szCs w:val="24"/>
    </w:rPr>
  </w:style>
  <w:style w:type="paragraph" w:customStyle="1" w:styleId="158">
    <w:name w:val="目录3"/>
    <w:basedOn w:val="1"/>
    <w:next w:val="1"/>
    <w:autoRedefine/>
    <w:qFormat/>
    <w:uiPriority w:val="0"/>
    <w:pPr>
      <w:tabs>
        <w:tab w:val="left" w:leader="dot" w:pos="8503"/>
      </w:tabs>
      <w:spacing w:line="317" w:lineRule="atLeast"/>
      <w:ind w:left="419" w:firstLine="419"/>
      <w:textAlignment w:val="baseline"/>
    </w:pPr>
  </w:style>
  <w:style w:type="paragraph" w:customStyle="1" w:styleId="159">
    <w:name w:val="样式 (西文) 宋体 行距: 1.5 倍行距"/>
    <w:basedOn w:val="1"/>
    <w:autoRedefine/>
    <w:qFormat/>
    <w:uiPriority w:val="0"/>
    <w:pPr>
      <w:spacing w:line="360" w:lineRule="auto"/>
    </w:pPr>
    <w:rPr>
      <w:rFonts w:ascii="宋体" w:hAnsi="宋体"/>
      <w:color w:val="auto"/>
      <w:kern w:val="2"/>
    </w:rPr>
  </w:style>
  <w:style w:type="paragraph" w:customStyle="1" w:styleId="160">
    <w:name w:val="xl116"/>
    <w:basedOn w:val="1"/>
    <w:autoRedefine/>
    <w:qFormat/>
    <w:uiPriority w:val="0"/>
    <w:pPr>
      <w:pBdr>
        <w:top w:val="dotted" w:color="auto" w:sz="4" w:space="0"/>
      </w:pBdr>
      <w:spacing w:before="100" w:beforeAutospacing="1" w:after="100" w:afterAutospacing="1" w:line="240" w:lineRule="auto"/>
      <w:jc w:val="center"/>
    </w:pPr>
    <w:rPr>
      <w:rFonts w:ascii="宋体" w:hAnsi="宋体" w:cs="宋体"/>
      <w:b/>
      <w:bCs/>
      <w:sz w:val="24"/>
      <w:szCs w:val="24"/>
    </w:rPr>
  </w:style>
  <w:style w:type="paragraph" w:customStyle="1" w:styleId="161">
    <w:name w:val="xl108"/>
    <w:basedOn w:val="1"/>
    <w:autoRedefine/>
    <w:qFormat/>
    <w:uiPriority w:val="0"/>
    <w:pPr>
      <w:pBdr>
        <w:top w:val="dotted" w:color="auto" w:sz="4" w:space="0"/>
        <w:left w:val="dotted" w:color="auto" w:sz="4" w:space="0"/>
        <w:right w:val="dotted" w:color="auto" w:sz="4" w:space="0"/>
      </w:pBdr>
      <w:spacing w:before="100" w:beforeAutospacing="1" w:after="100" w:afterAutospacing="1" w:line="240" w:lineRule="auto"/>
      <w:jc w:val="center"/>
    </w:pPr>
    <w:rPr>
      <w:rFonts w:ascii="宋体" w:hAnsi="宋体" w:cs="宋体"/>
      <w:b/>
      <w:bCs/>
      <w:color w:val="auto"/>
      <w:sz w:val="24"/>
      <w:szCs w:val="24"/>
    </w:rPr>
  </w:style>
  <w:style w:type="paragraph" w:customStyle="1" w:styleId="162">
    <w:name w:val="修订1"/>
    <w:autoRedefine/>
    <w:unhideWhenUsed/>
    <w:qFormat/>
    <w:uiPriority w:val="99"/>
    <w:rPr>
      <w:rFonts w:ascii="Times New Roman" w:hAnsi="Times New Roman" w:eastAsia="宋体" w:cs="Times New Roman"/>
      <w:color w:val="000000"/>
      <w:sz w:val="21"/>
      <w:u w:color="000000"/>
      <w:lang w:val="en-US" w:eastAsia="zh-CN" w:bidi="ar-SA"/>
    </w:rPr>
  </w:style>
  <w:style w:type="paragraph" w:customStyle="1" w:styleId="163">
    <w:name w:val="xl73"/>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textAlignment w:val="bottom"/>
    </w:pPr>
    <w:rPr>
      <w:sz w:val="20"/>
    </w:rPr>
  </w:style>
  <w:style w:type="paragraph" w:customStyle="1" w:styleId="164">
    <w:name w:val="xl9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sz w:val="20"/>
    </w:rPr>
  </w:style>
  <w:style w:type="paragraph" w:customStyle="1" w:styleId="165">
    <w:name w:val="Char Char Char"/>
    <w:basedOn w:val="10"/>
    <w:autoRedefine/>
    <w:qFormat/>
    <w:uiPriority w:val="0"/>
    <w:pPr>
      <w:adjustRightInd w:val="0"/>
      <w:spacing w:line="360" w:lineRule="atLeast"/>
    </w:pPr>
  </w:style>
  <w:style w:type="paragraph" w:customStyle="1" w:styleId="166">
    <w:name w:val="xl78"/>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textAlignment w:val="bottom"/>
    </w:pPr>
    <w:rPr>
      <w:rFonts w:ascii="宋体" w:hAnsi="宋体" w:cs="宋体"/>
      <w:sz w:val="20"/>
    </w:rPr>
  </w:style>
  <w:style w:type="paragraph" w:customStyle="1" w:styleId="167">
    <w:name w:val="xl82"/>
    <w:basedOn w:val="1"/>
    <w:autoRedefine/>
    <w:qFormat/>
    <w:uiPriority w:val="0"/>
    <w:pPr>
      <w:spacing w:before="100" w:beforeAutospacing="1" w:after="100" w:afterAutospacing="1" w:line="240" w:lineRule="auto"/>
    </w:pPr>
    <w:rPr>
      <w:rFonts w:ascii="宋体" w:hAnsi="宋体" w:cs="宋体"/>
      <w:b/>
      <w:bCs/>
      <w:color w:val="auto"/>
      <w:sz w:val="24"/>
      <w:szCs w:val="24"/>
    </w:rPr>
  </w:style>
  <w:style w:type="paragraph" w:customStyle="1" w:styleId="168">
    <w:name w:val="xl81"/>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rFonts w:ascii="宋体" w:hAnsi="宋体" w:cs="宋体"/>
      <w:color w:val="FF0000"/>
      <w:sz w:val="24"/>
      <w:szCs w:val="24"/>
    </w:rPr>
  </w:style>
  <w:style w:type="paragraph" w:customStyle="1" w:styleId="169">
    <w:name w:val="xl86"/>
    <w:basedOn w:val="1"/>
    <w:autoRedefine/>
    <w:qFormat/>
    <w:uiPriority w:val="0"/>
    <w:pPr>
      <w:spacing w:before="100" w:beforeAutospacing="1" w:after="100" w:afterAutospacing="1" w:line="240" w:lineRule="auto"/>
    </w:pPr>
    <w:rPr>
      <w:rFonts w:ascii="宋体" w:hAnsi="宋体" w:cs="宋体"/>
      <w:color w:val="auto"/>
      <w:sz w:val="20"/>
    </w:rPr>
  </w:style>
  <w:style w:type="paragraph" w:customStyle="1" w:styleId="170">
    <w:name w:val="xl133"/>
    <w:basedOn w:val="1"/>
    <w:autoRedefine/>
    <w:qFormat/>
    <w:uiPriority w:val="0"/>
    <w:pPr>
      <w:pBdr>
        <w:top w:val="dotted" w:color="auto" w:sz="4" w:space="0"/>
        <w:left w:val="dotted" w:color="auto" w:sz="4" w:space="0"/>
        <w:bottom w:val="dotted" w:color="auto" w:sz="4" w:space="0"/>
        <w:right w:val="dotted" w:color="auto" w:sz="4" w:space="0"/>
      </w:pBdr>
      <w:shd w:val="clear" w:color="000000" w:fill="FFFF00"/>
      <w:spacing w:before="100" w:beforeAutospacing="1" w:after="100" w:afterAutospacing="1" w:line="240" w:lineRule="auto"/>
    </w:pPr>
    <w:rPr>
      <w:rFonts w:ascii="宋体" w:hAnsi="宋体" w:cs="宋体"/>
      <w:sz w:val="20"/>
    </w:rPr>
  </w:style>
  <w:style w:type="paragraph" w:customStyle="1" w:styleId="171">
    <w:name w:val="xl9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sz w:val="20"/>
    </w:rPr>
  </w:style>
  <w:style w:type="paragraph" w:customStyle="1" w:styleId="172">
    <w:name w:val="p16"/>
    <w:basedOn w:val="1"/>
    <w:autoRedefine/>
    <w:qFormat/>
    <w:uiPriority w:val="0"/>
    <w:pPr>
      <w:spacing w:line="240" w:lineRule="auto"/>
    </w:pPr>
    <w:rPr>
      <w:rFonts w:ascii="宋体" w:hAnsi="宋体" w:cs="宋体"/>
      <w:color w:val="auto"/>
      <w:szCs w:val="21"/>
    </w:rPr>
  </w:style>
  <w:style w:type="paragraph" w:customStyle="1" w:styleId="173">
    <w:name w:val="xl141"/>
    <w:basedOn w:val="1"/>
    <w:autoRedefine/>
    <w:qFormat/>
    <w:uiPriority w:val="0"/>
    <w:pPr>
      <w:pBdr>
        <w:left w:val="dashed" w:color="auto" w:sz="4" w:space="0"/>
        <w:bottom w:val="dashed" w:color="auto" w:sz="4" w:space="0"/>
        <w:right w:val="dashed" w:color="auto" w:sz="4" w:space="0"/>
      </w:pBdr>
      <w:spacing w:before="100" w:beforeAutospacing="1" w:after="100" w:afterAutospacing="1" w:line="240" w:lineRule="auto"/>
      <w:jc w:val="center"/>
      <w:textAlignment w:val="bottom"/>
    </w:pPr>
    <w:rPr>
      <w:rFonts w:ascii="宋体" w:hAnsi="宋体" w:cs="宋体"/>
      <w:sz w:val="20"/>
    </w:rPr>
  </w:style>
  <w:style w:type="paragraph" w:customStyle="1" w:styleId="174">
    <w:name w:val="font13"/>
    <w:basedOn w:val="1"/>
    <w:autoRedefine/>
    <w:qFormat/>
    <w:uiPriority w:val="0"/>
    <w:pPr>
      <w:spacing w:before="100" w:beforeAutospacing="1" w:after="100" w:afterAutospacing="1" w:line="240" w:lineRule="auto"/>
    </w:pPr>
    <w:rPr>
      <w:rFonts w:ascii="宋体" w:hAnsi="宋体" w:cs="宋体"/>
      <w:sz w:val="24"/>
      <w:szCs w:val="24"/>
    </w:rPr>
  </w:style>
  <w:style w:type="paragraph" w:customStyle="1" w:styleId="175">
    <w:name w:val="TOC 标题1"/>
    <w:basedOn w:val="3"/>
    <w:next w:val="1"/>
    <w:autoRedefine/>
    <w:qFormat/>
    <w:uiPriority w:val="39"/>
    <w:pPr>
      <w:spacing w:before="480" w:after="0" w:line="276" w:lineRule="auto"/>
      <w:outlineLvl w:val="9"/>
    </w:pPr>
    <w:rPr>
      <w:rFonts w:ascii="Cambria" w:hAnsi="Cambria"/>
      <w:color w:val="365F91"/>
      <w:kern w:val="0"/>
      <w:sz w:val="28"/>
      <w:szCs w:val="28"/>
    </w:rPr>
  </w:style>
  <w:style w:type="paragraph" w:customStyle="1" w:styleId="176">
    <w:name w:val="p0"/>
    <w:basedOn w:val="1"/>
    <w:autoRedefine/>
    <w:qFormat/>
    <w:uiPriority w:val="0"/>
    <w:pPr>
      <w:spacing w:before="100" w:beforeAutospacing="1" w:after="100" w:afterAutospacing="1" w:line="240" w:lineRule="auto"/>
    </w:pPr>
    <w:rPr>
      <w:rFonts w:ascii="宋体" w:hAnsi="宋体" w:cs="宋体"/>
      <w:color w:val="auto"/>
      <w:sz w:val="24"/>
      <w:szCs w:val="24"/>
    </w:rPr>
  </w:style>
  <w:style w:type="paragraph" w:customStyle="1" w:styleId="177">
    <w:name w:val="xl99"/>
    <w:basedOn w:val="1"/>
    <w:autoRedefine/>
    <w:qFormat/>
    <w:uiPriority w:val="0"/>
    <w:pPr>
      <w:pBdr>
        <w:top w:val="dotted" w:color="auto" w:sz="4" w:space="0"/>
        <w:bottom w:val="dotted" w:color="auto" w:sz="4" w:space="0"/>
        <w:right w:val="dashed" w:color="auto" w:sz="4" w:space="0"/>
      </w:pBdr>
      <w:spacing w:before="100" w:beforeAutospacing="1" w:after="100" w:afterAutospacing="1" w:line="240" w:lineRule="auto"/>
    </w:pPr>
    <w:rPr>
      <w:rFonts w:ascii="宋体" w:hAnsi="宋体" w:cs="宋体"/>
      <w:sz w:val="20"/>
    </w:rPr>
  </w:style>
  <w:style w:type="paragraph" w:customStyle="1" w:styleId="178">
    <w:name w:val="xl127"/>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sz w:val="24"/>
      <w:szCs w:val="24"/>
    </w:rPr>
  </w:style>
  <w:style w:type="paragraph" w:customStyle="1" w:styleId="179">
    <w:name w:val="xl110"/>
    <w:basedOn w:val="1"/>
    <w:autoRedefine/>
    <w:qFormat/>
    <w:uiPriority w:val="0"/>
    <w:pPr>
      <w:pBdr>
        <w:left w:val="dotted" w:color="auto" w:sz="4" w:space="0"/>
        <w:right w:val="dotted" w:color="auto" w:sz="4" w:space="0"/>
      </w:pBdr>
      <w:spacing w:before="100" w:beforeAutospacing="1" w:after="100" w:afterAutospacing="1" w:line="240" w:lineRule="auto"/>
    </w:pPr>
    <w:rPr>
      <w:rFonts w:ascii="宋体" w:hAnsi="宋体" w:cs="宋体"/>
      <w:b/>
      <w:bCs/>
      <w:sz w:val="20"/>
    </w:rPr>
  </w:style>
  <w:style w:type="paragraph" w:customStyle="1" w:styleId="180">
    <w:name w:val="xl119"/>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rFonts w:ascii="宋体" w:hAnsi="宋体" w:cs="宋体"/>
      <w:b/>
      <w:bCs/>
      <w:sz w:val="18"/>
      <w:szCs w:val="18"/>
    </w:rPr>
  </w:style>
  <w:style w:type="paragraph" w:customStyle="1" w:styleId="181">
    <w:name w:val="xl111"/>
    <w:basedOn w:val="1"/>
    <w:autoRedefine/>
    <w:qFormat/>
    <w:uiPriority w:val="0"/>
    <w:pPr>
      <w:pBdr>
        <w:top w:val="dotted" w:color="auto" w:sz="4" w:space="0"/>
        <w:left w:val="dotted" w:color="auto" w:sz="4" w:space="0"/>
        <w:bottom w:val="dotted" w:color="auto" w:sz="4" w:space="0"/>
      </w:pBdr>
      <w:spacing w:before="100" w:beforeAutospacing="1" w:after="100" w:afterAutospacing="1" w:line="240" w:lineRule="auto"/>
      <w:jc w:val="center"/>
      <w:textAlignment w:val="bottom"/>
    </w:pPr>
    <w:rPr>
      <w:rFonts w:ascii="宋体" w:hAnsi="宋体" w:cs="宋体"/>
      <w:color w:val="FF0000"/>
      <w:sz w:val="24"/>
      <w:szCs w:val="24"/>
    </w:rPr>
  </w:style>
  <w:style w:type="paragraph" w:customStyle="1" w:styleId="182">
    <w:name w:val="font15"/>
    <w:basedOn w:val="1"/>
    <w:autoRedefine/>
    <w:qFormat/>
    <w:uiPriority w:val="0"/>
    <w:pPr>
      <w:spacing w:before="100" w:beforeAutospacing="1" w:after="100" w:afterAutospacing="1" w:line="240" w:lineRule="auto"/>
    </w:pPr>
    <w:rPr>
      <w:sz w:val="24"/>
      <w:szCs w:val="24"/>
    </w:rPr>
  </w:style>
  <w:style w:type="paragraph" w:customStyle="1" w:styleId="183">
    <w:name w:val="xl123"/>
    <w:basedOn w:val="1"/>
    <w:autoRedefine/>
    <w:qFormat/>
    <w:uiPriority w:val="0"/>
    <w:pPr>
      <w:pBdr>
        <w:top w:val="single" w:color="auto" w:sz="4" w:space="0"/>
        <w:bottom w:val="dotted" w:color="auto" w:sz="4" w:space="0"/>
        <w:right w:val="dotted" w:color="auto" w:sz="4" w:space="0"/>
      </w:pBdr>
      <w:spacing w:before="100" w:beforeAutospacing="1" w:after="100" w:afterAutospacing="1" w:line="240" w:lineRule="auto"/>
      <w:jc w:val="center"/>
    </w:pPr>
    <w:rPr>
      <w:rFonts w:ascii="宋体" w:hAnsi="宋体" w:cs="宋体"/>
      <w:b/>
      <w:bCs/>
      <w:color w:val="auto"/>
      <w:sz w:val="24"/>
      <w:szCs w:val="24"/>
    </w:rPr>
  </w:style>
  <w:style w:type="paragraph" w:customStyle="1" w:styleId="184">
    <w:name w:val="xl75"/>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textAlignment w:val="bottom"/>
    </w:pPr>
    <w:rPr>
      <w:rFonts w:ascii="宋体" w:hAnsi="宋体" w:cs="宋体"/>
      <w:sz w:val="20"/>
    </w:rPr>
  </w:style>
  <w:style w:type="paragraph" w:customStyle="1" w:styleId="185">
    <w:name w:val="xl12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sz w:val="24"/>
      <w:szCs w:val="24"/>
    </w:rPr>
  </w:style>
  <w:style w:type="paragraph" w:customStyle="1" w:styleId="186">
    <w:name w:val="xl137"/>
    <w:basedOn w:val="1"/>
    <w:autoRedefine/>
    <w:qFormat/>
    <w:uiPriority w:val="0"/>
    <w:pPr>
      <w:pBdr>
        <w:top w:val="dotted" w:color="auto" w:sz="4" w:space="0"/>
        <w:left w:val="dotted" w:color="auto" w:sz="4" w:space="0"/>
        <w:right w:val="dotted" w:color="auto" w:sz="4" w:space="0"/>
      </w:pBdr>
      <w:spacing w:before="100" w:beforeAutospacing="1" w:after="100" w:afterAutospacing="1" w:line="240" w:lineRule="auto"/>
    </w:pPr>
    <w:rPr>
      <w:rFonts w:ascii="宋体" w:hAnsi="宋体" w:cs="宋体"/>
      <w:b/>
      <w:bCs/>
      <w:sz w:val="20"/>
    </w:rPr>
  </w:style>
  <w:style w:type="paragraph" w:customStyle="1" w:styleId="187">
    <w:name w:val="xl97"/>
    <w:basedOn w:val="1"/>
    <w:autoRedefine/>
    <w:qFormat/>
    <w:uiPriority w:val="0"/>
    <w:pPr>
      <w:pBdr>
        <w:top w:val="dotted" w:color="auto" w:sz="4" w:space="0"/>
        <w:bottom w:val="dotted" w:color="auto" w:sz="4" w:space="0"/>
        <w:right w:val="dashed" w:color="auto" w:sz="4" w:space="0"/>
      </w:pBdr>
      <w:spacing w:before="100" w:beforeAutospacing="1" w:after="100" w:afterAutospacing="1" w:line="240" w:lineRule="auto"/>
      <w:textAlignment w:val="bottom"/>
    </w:pPr>
    <w:rPr>
      <w:rFonts w:ascii="宋体" w:hAnsi="宋体" w:cs="宋体"/>
      <w:sz w:val="20"/>
    </w:rPr>
  </w:style>
  <w:style w:type="paragraph" w:customStyle="1" w:styleId="188">
    <w:name w:val="默认段落字体 Para Char Char Char Char Char Char Char Char Char Char"/>
    <w:basedOn w:val="10"/>
    <w:autoRedefine/>
    <w:qFormat/>
    <w:uiPriority w:val="0"/>
    <w:rPr>
      <w:rFonts w:ascii="Tahoma" w:hAnsi="Tahoma"/>
      <w:sz w:val="24"/>
    </w:rPr>
  </w:style>
  <w:style w:type="paragraph" w:customStyle="1" w:styleId="189">
    <w:name w:val="WPS Plain"/>
    <w:autoRedefine/>
    <w:qFormat/>
    <w:uiPriority w:val="0"/>
    <w:rPr>
      <w:rFonts w:ascii="Times New Roman" w:hAnsi="Times New Roman" w:eastAsia="宋体" w:cs="Times New Roman"/>
      <w:lang w:val="en-US" w:eastAsia="zh-CN" w:bidi="ar-SA"/>
    </w:rPr>
  </w:style>
  <w:style w:type="paragraph" w:customStyle="1" w:styleId="190">
    <w:name w:val="xl114"/>
    <w:basedOn w:val="1"/>
    <w:autoRedefine/>
    <w:qFormat/>
    <w:uiPriority w:val="0"/>
    <w:pPr>
      <w:pBdr>
        <w:left w:val="dotted" w:color="auto" w:sz="4" w:space="0"/>
        <w:right w:val="dotted" w:color="auto" w:sz="4" w:space="0"/>
      </w:pBdr>
      <w:spacing w:before="100" w:beforeAutospacing="1" w:after="100" w:afterAutospacing="1" w:line="240" w:lineRule="auto"/>
      <w:jc w:val="center"/>
    </w:pPr>
    <w:rPr>
      <w:sz w:val="24"/>
      <w:szCs w:val="24"/>
    </w:rPr>
  </w:style>
  <w:style w:type="paragraph" w:customStyle="1" w:styleId="191">
    <w:name w:val="xl6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宋体" w:hAnsi="宋体" w:cs="宋体"/>
      <w:b/>
      <w:bCs/>
      <w:color w:val="auto"/>
      <w:sz w:val="22"/>
      <w:szCs w:val="22"/>
    </w:rPr>
  </w:style>
  <w:style w:type="paragraph" w:customStyle="1" w:styleId="192">
    <w:name w:val="Char1"/>
    <w:basedOn w:val="1"/>
    <w:autoRedefine/>
    <w:qFormat/>
    <w:uiPriority w:val="0"/>
    <w:pPr>
      <w:tabs>
        <w:tab w:val="right" w:pos="-2120"/>
      </w:tabs>
      <w:snapToGrid w:val="0"/>
      <w:spacing w:line="240" w:lineRule="auto"/>
    </w:pPr>
    <w:rPr>
      <w:rFonts w:ascii="Tahoma" w:hAnsi="Tahoma"/>
      <w:color w:val="auto"/>
      <w:spacing w:val="6"/>
      <w:kern w:val="2"/>
      <w:sz w:val="24"/>
    </w:rPr>
  </w:style>
  <w:style w:type="paragraph" w:customStyle="1" w:styleId="193">
    <w:name w:val="xl9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sz w:val="24"/>
      <w:szCs w:val="24"/>
    </w:rPr>
  </w:style>
  <w:style w:type="paragraph" w:customStyle="1" w:styleId="194">
    <w:name w:val="reader-word-layer"/>
    <w:basedOn w:val="1"/>
    <w:autoRedefine/>
    <w:qFormat/>
    <w:uiPriority w:val="0"/>
    <w:pPr>
      <w:spacing w:before="100" w:beforeAutospacing="1" w:after="100" w:afterAutospacing="1" w:line="240" w:lineRule="auto"/>
    </w:pPr>
    <w:rPr>
      <w:rFonts w:ascii="宋体" w:hAnsi="宋体" w:cs="宋体"/>
      <w:color w:val="auto"/>
      <w:sz w:val="24"/>
      <w:szCs w:val="24"/>
    </w:rPr>
  </w:style>
  <w:style w:type="paragraph" w:customStyle="1" w:styleId="195">
    <w:name w:val="xl8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sz w:val="20"/>
    </w:rPr>
  </w:style>
  <w:style w:type="paragraph" w:customStyle="1" w:styleId="196">
    <w:name w:val="xl105"/>
    <w:basedOn w:val="1"/>
    <w:autoRedefine/>
    <w:qFormat/>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pPr>
    <w:rPr>
      <w:rFonts w:ascii="宋体" w:hAnsi="宋体" w:cs="宋体"/>
      <w:sz w:val="18"/>
      <w:szCs w:val="18"/>
    </w:rPr>
  </w:style>
  <w:style w:type="paragraph" w:customStyle="1" w:styleId="197">
    <w:name w:val="xl138"/>
    <w:basedOn w:val="1"/>
    <w:autoRedefine/>
    <w:qFormat/>
    <w:uiPriority w:val="0"/>
    <w:pPr>
      <w:spacing w:before="100" w:beforeAutospacing="1" w:after="100" w:afterAutospacing="1" w:line="240" w:lineRule="auto"/>
      <w:jc w:val="center"/>
    </w:pPr>
    <w:rPr>
      <w:rFonts w:ascii="宋体" w:hAnsi="宋体" w:cs="宋体"/>
      <w:b/>
      <w:bCs/>
      <w:sz w:val="24"/>
      <w:szCs w:val="24"/>
    </w:rPr>
  </w:style>
  <w:style w:type="paragraph" w:customStyle="1" w:styleId="198">
    <w:name w:val="xl13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宋体" w:hAnsi="宋体" w:cs="宋体"/>
      <w:sz w:val="24"/>
      <w:szCs w:val="24"/>
    </w:rPr>
  </w:style>
  <w:style w:type="paragraph" w:customStyle="1" w:styleId="199">
    <w:name w:val="xl113"/>
    <w:basedOn w:val="1"/>
    <w:autoRedefine/>
    <w:qFormat/>
    <w:uiPriority w:val="0"/>
    <w:pPr>
      <w:pBdr>
        <w:top w:val="dotted" w:color="auto" w:sz="4" w:space="0"/>
        <w:left w:val="dotted" w:color="auto" w:sz="4" w:space="0"/>
        <w:right w:val="dotted" w:color="auto" w:sz="4" w:space="0"/>
      </w:pBdr>
      <w:spacing w:before="100" w:beforeAutospacing="1" w:after="100" w:afterAutospacing="1" w:line="240" w:lineRule="auto"/>
      <w:jc w:val="center"/>
    </w:pPr>
    <w:rPr>
      <w:sz w:val="24"/>
      <w:szCs w:val="24"/>
    </w:rPr>
  </w:style>
  <w:style w:type="paragraph" w:customStyle="1" w:styleId="200">
    <w:name w:val="Table Text"/>
    <w:basedOn w:val="1"/>
    <w:autoRedefine/>
    <w:semiHidden/>
    <w:qFormat/>
    <w:uiPriority w:val="0"/>
    <w:rPr>
      <w:rFonts w:ascii="宋体" w:hAnsi="宋体" w:cs="宋体"/>
      <w:sz w:val="24"/>
      <w:szCs w:val="24"/>
      <w:lang w:eastAsia="en-US"/>
    </w:rPr>
  </w:style>
  <w:style w:type="table" w:customStyle="1" w:styleId="201">
    <w:name w:val="Table Normal"/>
    <w:autoRedefine/>
    <w:unhideWhenUsed/>
    <w:qFormat/>
    <w:uiPriority w:val="0"/>
    <w:tblPr>
      <w:tblCellMar>
        <w:top w:w="0" w:type="dxa"/>
        <w:left w:w="0" w:type="dxa"/>
        <w:bottom w:w="0" w:type="dxa"/>
        <w:right w:w="0" w:type="dxa"/>
      </w:tblCellMar>
    </w:tblPr>
  </w:style>
  <w:style w:type="paragraph" w:customStyle="1" w:styleId="202">
    <w:name w:val="正文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修订2"/>
    <w:autoRedefine/>
    <w:hidden/>
    <w:semiHidden/>
    <w:qFormat/>
    <w:uiPriority w:val="99"/>
    <w:rPr>
      <w:rFonts w:ascii="Times New Roman" w:hAnsi="Times New Roman" w:eastAsia="宋体" w:cs="Times New Roman"/>
      <w:color w:val="000000"/>
      <w:sz w:val="21"/>
      <w:u w:color="000000"/>
      <w:lang w:val="en-US" w:eastAsia="zh-CN" w:bidi="ar-SA"/>
    </w:rPr>
  </w:style>
  <w:style w:type="paragraph" w:customStyle="1" w:styleId="204">
    <w:name w:val="修订3"/>
    <w:autoRedefine/>
    <w:hidden/>
    <w:semiHidden/>
    <w:qFormat/>
    <w:uiPriority w:val="99"/>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10299</Words>
  <Characters>58710</Characters>
  <Lines>489</Lines>
  <Paragraphs>137</Paragraphs>
  <TotalTime>15</TotalTime>
  <ScaleCrop>false</ScaleCrop>
  <LinksUpToDate>false</LinksUpToDate>
  <CharactersWithSpaces>68872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2024-03-08T02:27:00Z</dcterms:created>
  <dc:creator>微软用户</dc:creator>
  <cp:lastModifiedBy>WPS_1672021573</cp:lastModifiedBy>
  <cp:lastPrinted>2022-02-14T07:31:00Z</cp:lastPrinted>
  <dcterms:modified xsi:type="dcterms:W3CDTF">2024-03-25T10:20:29Z</dcterms:modified>
  <dc:title>兰州大学模板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4BDA65A4F6544FF2B21956DD587A583A</vt:lpwstr>
  </property>
</Properties>
</file>