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24B556">
      <w:pPr>
        <w:pStyle w:val="4"/>
        <w:numPr>
          <w:ilvl w:val="0"/>
          <w:numId w:val="0"/>
        </w:numPr>
        <w:spacing w:before="0" w:after="0" w:line="360" w:lineRule="auto"/>
        <w:ind w:left="720" w:hanging="720"/>
        <w:rPr>
          <w:rFonts w:hint="eastAsia" w:ascii="宋体" w:hAnsi="宋体"/>
          <w:kern w:val="2"/>
          <w:sz w:val="28"/>
          <w:szCs w:val="28"/>
        </w:rPr>
      </w:pPr>
      <w:r>
        <w:rPr>
          <w:rFonts w:hint="eastAsia" w:ascii="宋体" w:hAnsi="宋体"/>
          <w:kern w:val="2"/>
          <w:sz w:val="28"/>
          <w:szCs w:val="28"/>
        </w:rPr>
        <w:t>（三）采购包2：消毒产品采购配送服务2</w:t>
      </w:r>
    </w:p>
    <w:p w14:paraId="64D9A508">
      <w:pPr>
        <w:pStyle w:val="5"/>
        <w:numPr>
          <w:ilvl w:val="0"/>
          <w:numId w:val="0"/>
        </w:numPr>
        <w:spacing w:line="415" w:lineRule="auto"/>
        <w:rPr>
          <w:rFonts w:hint="eastAsia" w:ascii="宋体" w:hAnsi="宋体"/>
          <w:szCs w:val="24"/>
        </w:rPr>
      </w:pPr>
      <w:r>
        <w:rPr>
          <w:rFonts w:hint="eastAsia" w:ascii="宋体" w:hAnsi="宋体"/>
          <w:szCs w:val="24"/>
        </w:rPr>
        <w:t>2.项目技术要求</w:t>
      </w:r>
    </w:p>
    <w:p w14:paraId="531A4E3B">
      <w:pPr>
        <w:autoSpaceDE w:val="0"/>
        <w:autoSpaceDN w:val="0"/>
        <w:ind w:firstLine="562" w:firstLineChars="200"/>
        <w:outlineLvl w:val="3"/>
        <w:rPr>
          <w:rFonts w:hint="eastAsia" w:ascii="宋体" w:hAnsi="宋体" w:cs="宋体"/>
          <w:b/>
          <w:bCs/>
          <w:color w:val="FF0000"/>
          <w:sz w:val="28"/>
          <w:szCs w:val="28"/>
        </w:rPr>
      </w:pPr>
      <w:r>
        <w:rPr>
          <w:rFonts w:hint="eastAsia" w:ascii="宋体" w:hAnsi="宋体" w:cs="宋体"/>
          <w:b/>
          <w:bCs/>
          <w:color w:val="FF0000"/>
          <w:sz w:val="28"/>
          <w:szCs w:val="28"/>
        </w:rPr>
        <w:t>（1）</w:t>
      </w:r>
      <w:bookmarkStart w:id="0" w:name="_Hlk219196676"/>
      <w:r>
        <w:rPr>
          <w:rFonts w:hint="eastAsia" w:ascii="宋体" w:hAnsi="宋体" w:cs="宋体"/>
          <w:b/>
          <w:bCs/>
          <w:color w:val="FF0000"/>
          <w:sz w:val="28"/>
          <w:szCs w:val="28"/>
        </w:rPr>
        <w:t>免洗手消毒液1</w:t>
      </w:r>
      <w:bookmarkEnd w:id="0"/>
    </w:p>
    <w:p w14:paraId="1662D391">
      <w:pPr>
        <w:wordWrap/>
        <w:autoSpaceDE w:val="0"/>
        <w:autoSpaceDN w:val="0"/>
        <w:ind w:firstLine="480" w:firstLineChars="200"/>
        <w:rPr>
          <w:rFonts w:ascii="宋体" w:hAnsi="宋体" w:cs="宋体"/>
          <w:szCs w:val="24"/>
        </w:rPr>
      </w:pPr>
      <w:r>
        <w:rPr>
          <w:rFonts w:hint="eastAsia" w:ascii="宋体" w:hAnsi="宋体" w:cs="宋体"/>
          <w:szCs w:val="24"/>
        </w:rPr>
        <w:t>★1.规格范围：</w:t>
      </w:r>
      <w:r>
        <w:rPr>
          <w:rFonts w:hint="eastAsia" w:ascii="宋体" w:hAnsi="宋体" w:cs="宋体"/>
          <w:b/>
          <w:bCs/>
          <w:szCs w:val="24"/>
        </w:rPr>
        <w:t>每瓶300ml±100ml</w:t>
      </w:r>
    </w:p>
    <w:p w14:paraId="403AAEB9">
      <w:pPr>
        <w:autoSpaceDE w:val="0"/>
        <w:autoSpaceDN w:val="0"/>
        <w:ind w:firstLine="480" w:firstLineChars="200"/>
        <w:rPr>
          <w:rFonts w:hint="eastAsia" w:ascii="宋体" w:hAnsi="宋体" w:cs="宋体"/>
          <w:b/>
          <w:bCs/>
          <w:szCs w:val="24"/>
        </w:rPr>
      </w:pPr>
      <w:r>
        <w:rPr>
          <w:rFonts w:hint="eastAsia" w:ascii="宋体" w:hAnsi="宋体" w:cs="宋体"/>
          <w:szCs w:val="24"/>
        </w:rPr>
        <w:t>★2.有效成分：</w:t>
      </w:r>
      <w:bookmarkStart w:id="1" w:name="OLE_LINK17"/>
      <w:r>
        <w:rPr>
          <w:rFonts w:ascii="宋体" w:hAnsi="宋体" w:cs="宋体"/>
          <w:b/>
          <w:bCs/>
          <w:szCs w:val="24"/>
        </w:rPr>
        <w:t>醇类</w:t>
      </w:r>
      <w:r>
        <w:rPr>
          <w:rFonts w:hint="eastAsia" w:ascii="宋体" w:hAnsi="宋体" w:cs="宋体"/>
          <w:b/>
          <w:bCs/>
          <w:szCs w:val="24"/>
        </w:rPr>
        <w:t>和</w:t>
      </w:r>
      <w:r>
        <w:rPr>
          <w:rFonts w:ascii="宋体" w:hAnsi="宋体" w:cs="宋体"/>
          <w:b/>
          <w:bCs/>
          <w:szCs w:val="24"/>
        </w:rPr>
        <w:t>氯</w:t>
      </w:r>
      <w:r>
        <w:rPr>
          <w:rFonts w:hint="eastAsia" w:ascii="宋体" w:hAnsi="宋体" w:cs="宋体"/>
          <w:b/>
          <w:bCs/>
          <w:szCs w:val="24"/>
        </w:rPr>
        <w:t>已</w:t>
      </w:r>
      <w:r>
        <w:rPr>
          <w:rFonts w:ascii="宋体" w:hAnsi="宋体" w:cs="宋体"/>
          <w:b/>
          <w:bCs/>
          <w:szCs w:val="24"/>
        </w:rPr>
        <w:t>定</w:t>
      </w:r>
      <w:r>
        <w:rPr>
          <w:rFonts w:hint="eastAsia" w:ascii="宋体" w:hAnsi="宋体" w:cs="宋体"/>
          <w:b/>
          <w:bCs/>
          <w:szCs w:val="24"/>
        </w:rPr>
        <w:t>复方，要求葡萄糖酸氯已定含量至少2g/L，乙醇含量不低于54%（V/V）</w:t>
      </w:r>
      <w:r>
        <w:rPr>
          <w:rFonts w:hint="eastAsia" w:ascii="宋体" w:hAnsi="宋体" w:cs="宋体"/>
          <w:szCs w:val="24"/>
        </w:rPr>
        <w:t>。</w:t>
      </w:r>
      <w:bookmarkEnd w:id="1"/>
      <w:r>
        <w:rPr>
          <w:rFonts w:hint="eastAsia" w:ascii="宋体" w:hAnsi="宋体" w:cs="宋体"/>
          <w:szCs w:val="24"/>
        </w:rPr>
        <w:t>（如单位与需求不一致的，应当在投标文件中提供单位换算说明，明确满足与否，否则评标委员会可以认定负偏离）</w:t>
      </w:r>
    </w:p>
    <w:p w14:paraId="21D1308F">
      <w:pPr>
        <w:autoSpaceDE w:val="0"/>
        <w:autoSpaceDN w:val="0"/>
        <w:ind w:firstLine="480" w:firstLineChars="200"/>
        <w:rPr>
          <w:rFonts w:hint="eastAsia" w:ascii="宋体" w:hAnsi="宋体" w:cs="宋体"/>
          <w:szCs w:val="24"/>
        </w:rPr>
      </w:pPr>
      <w:r>
        <w:rPr>
          <w:rFonts w:hint="eastAsia" w:ascii="宋体" w:hAnsi="宋体" w:cs="宋体"/>
          <w:szCs w:val="24"/>
        </w:rPr>
        <w:t>★3.使用范围：</w:t>
      </w:r>
      <w:r>
        <w:rPr>
          <w:rFonts w:hint="eastAsia" w:ascii="宋体" w:hAnsi="宋体" w:cs="宋体"/>
          <w:b/>
          <w:bCs/>
          <w:szCs w:val="24"/>
        </w:rPr>
        <w:t>至少包括外科手消毒、卫生手消毒。</w:t>
      </w:r>
      <w:r>
        <w:rPr>
          <w:rFonts w:hint="eastAsia" w:ascii="宋体" w:hAnsi="宋体" w:cs="宋体"/>
          <w:szCs w:val="24"/>
        </w:rPr>
        <w:t>（投标文件中提供可体现该信息的证明文件，如全国消毒产品网上备案信息服务平台的网页截图，或产品标签，或产品说明书，或《消毒产品卫生安全评价报告》）</w:t>
      </w:r>
    </w:p>
    <w:p w14:paraId="6300DF95">
      <w:pPr>
        <w:autoSpaceDE w:val="0"/>
        <w:autoSpaceDN w:val="0"/>
        <w:ind w:firstLine="482" w:firstLineChars="200"/>
        <w:rPr>
          <w:rFonts w:hint="eastAsia" w:ascii="宋体" w:hAnsi="宋体" w:cs="宋体"/>
          <w:szCs w:val="24"/>
        </w:rPr>
      </w:pPr>
      <w:r>
        <w:rPr>
          <w:rFonts w:hint="eastAsia" w:ascii="宋体" w:hAnsi="宋体" w:cs="宋体"/>
          <w:b/>
          <w:bCs/>
          <w:szCs w:val="24"/>
        </w:rPr>
        <w:t>★4.可杀灭微生物类别：可杀灭肠道致病菌、化脓性球菌、致病性酵母菌、医院感染常见细菌。</w:t>
      </w:r>
      <w:r>
        <w:rPr>
          <w:rFonts w:hint="eastAsia" w:ascii="宋体" w:hAnsi="宋体" w:cs="宋体"/>
          <w:szCs w:val="24"/>
        </w:rPr>
        <w:t>（投标文件中提供可体现该信息的证明文件，如全国消毒产品网上备案信息服务平台的网页截图，或产品标签，或产品说明书，或《消毒产品卫生安全评价报告》）（</w:t>
      </w:r>
      <w:r>
        <w:rPr>
          <w:rFonts w:hint="eastAsia" w:ascii="宋体" w:hAnsi="宋体" w:cs="宋体"/>
          <w:b/>
          <w:bCs/>
          <w:szCs w:val="24"/>
        </w:rPr>
        <w:t>备注：如标称可杀灭的同类微生物比采购需求要求杀灭的微生物更难杀灭，或者属于同种微生物的不同表述，由评标委员会依据其专业能力判断属实的，亦可视为满足可杀灭该种类微生物的要求。</w:t>
      </w:r>
      <w:r>
        <w:rPr>
          <w:rFonts w:hint="eastAsia" w:ascii="宋体" w:hAnsi="宋体" w:cs="宋体"/>
          <w:szCs w:val="24"/>
        </w:rPr>
        <w:t>）</w:t>
      </w:r>
    </w:p>
    <w:p w14:paraId="7906E7EA">
      <w:pPr>
        <w:autoSpaceDE w:val="0"/>
        <w:autoSpaceDN w:val="0"/>
        <w:ind w:firstLine="480" w:firstLineChars="200"/>
        <w:rPr>
          <w:rFonts w:hint="eastAsia" w:ascii="宋体" w:hAnsi="宋体" w:cs="宋体"/>
          <w:szCs w:val="24"/>
        </w:rPr>
      </w:pPr>
      <w:r>
        <w:rPr>
          <w:rFonts w:hint="eastAsia" w:ascii="宋体" w:hAnsi="宋体" w:cs="宋体"/>
          <w:szCs w:val="24"/>
        </w:rPr>
        <w:t>5.符合《消毒技术规范（2002年版）》《GB 27950-2020 手消毒剂通用要求》《GB 27951-2021 皮肤消毒剂通用要求》。</w:t>
      </w:r>
    </w:p>
    <w:p w14:paraId="2B81F2ED">
      <w:pPr>
        <w:autoSpaceDE w:val="0"/>
        <w:autoSpaceDN w:val="0"/>
        <w:ind w:firstLine="480" w:firstLineChars="200"/>
        <w:rPr>
          <w:rFonts w:hint="eastAsia" w:ascii="宋体" w:hAnsi="宋体" w:cs="宋体"/>
          <w:szCs w:val="24"/>
        </w:rPr>
      </w:pPr>
      <w:bookmarkStart w:id="2" w:name="OLE_LINK15"/>
      <w:r>
        <w:rPr>
          <w:rFonts w:hint="eastAsia" w:ascii="宋体" w:hAnsi="宋体" w:cs="宋体"/>
          <w:szCs w:val="24"/>
        </w:rPr>
        <w:t>★6.根据采购人要求提供配套取液架或电动取液器，费用已包含在所供消毒剂中，采购人无需另外支付。（提供承诺函，格式自拟，承诺函中须明确体现本条的承诺内容）</w:t>
      </w:r>
    </w:p>
    <w:p w14:paraId="4059A3A7">
      <w:pPr>
        <w:autoSpaceDE w:val="0"/>
        <w:autoSpaceDN w:val="0"/>
        <w:ind w:firstLine="480" w:firstLineChars="200"/>
        <w:rPr>
          <w:rFonts w:hint="eastAsia" w:ascii="宋体" w:hAnsi="宋体" w:cs="宋体"/>
          <w:szCs w:val="24"/>
        </w:rPr>
      </w:pPr>
      <w:r>
        <w:rPr>
          <w:rFonts w:hint="eastAsia" w:ascii="宋体" w:hAnsi="宋体" w:cs="宋体"/>
          <w:szCs w:val="24"/>
        </w:rPr>
        <w:t>●7.满足毒理学测试要求：1.急性经口毒性属于实际无毒级。2.多次完整性皮肤刺激试验：属于无刺激性。3. 微核试验：无致微核作用刺激。（提供通过CMA认证的第三方检测机构出具的有效产品检测报告）</w:t>
      </w:r>
    </w:p>
    <w:p w14:paraId="7B184754">
      <w:pPr>
        <w:autoSpaceDE w:val="0"/>
        <w:autoSpaceDN w:val="0"/>
        <w:ind w:firstLine="480" w:firstLineChars="200"/>
        <w:rPr>
          <w:rFonts w:hint="eastAsia" w:ascii="宋体" w:hAnsi="宋体" w:cs="宋体"/>
          <w:szCs w:val="24"/>
        </w:rPr>
      </w:pPr>
      <w:r>
        <w:rPr>
          <w:rFonts w:hint="eastAsia" w:ascii="宋体" w:hAnsi="宋体" w:cs="宋体"/>
          <w:szCs w:val="24"/>
        </w:rPr>
        <w:t>●8.产品稳定性：产品有效期≥24个月，开瓶有效期≥120天。（开瓶有效期是指在环境温度（25±2）℃、相对湿度（60±10）%或（30±2）℃、相对湿度（65±5）%的环境下按上述期限放置后检测，有效成分下降率≤10%。）（提供通过CMA认证的第三方检测机构出具的有效产品检测报告。如产品标签或说明书列明产品有效期及开瓶有效期（或意思相同的其他表述），可不提供检测报告。）</w:t>
      </w:r>
    </w:p>
    <w:p w14:paraId="39CD91E3">
      <w:pPr>
        <w:autoSpaceDE w:val="0"/>
        <w:autoSpaceDN w:val="0"/>
        <w:ind w:firstLine="480" w:firstLineChars="200"/>
        <w:rPr>
          <w:rFonts w:hint="eastAsia" w:ascii="宋体" w:hAnsi="宋体" w:cs="宋体"/>
          <w:szCs w:val="24"/>
        </w:rPr>
      </w:pPr>
      <w:r>
        <w:rPr>
          <w:rFonts w:hint="eastAsia" w:ascii="宋体" w:hAnsi="宋体" w:cs="宋体"/>
          <w:szCs w:val="24"/>
        </w:rPr>
        <w:t>●9.铅、砷、汞限量要求：铅＜10mg/kg、砷＜2mg/kg、汞＜1mg/kg。（提供通过CMA认证的第三方检测机构出具的有效产品检测报告）</w:t>
      </w:r>
    </w:p>
    <w:bookmarkEnd w:id="2"/>
    <w:p w14:paraId="755502C8">
      <w:pPr>
        <w:autoSpaceDE w:val="0"/>
        <w:autoSpaceDN w:val="0"/>
        <w:ind w:firstLine="480" w:firstLineChars="200"/>
        <w:rPr>
          <w:rFonts w:hint="eastAsia" w:ascii="宋体" w:hAnsi="宋体" w:cs="宋体"/>
          <w:szCs w:val="24"/>
        </w:rPr>
      </w:pPr>
      <w:r>
        <w:rPr>
          <w:rFonts w:hint="eastAsia" w:ascii="宋体" w:hAnsi="宋体" w:cs="宋体"/>
          <w:szCs w:val="24"/>
        </w:rPr>
        <w:t>▲10.消毒液不应有明显呛鼻或者异臭味，质地应易干、不粘腻，使用后无明显干燥、紧绷或刺痛，无残留明显膜感。</w:t>
      </w:r>
    </w:p>
    <w:p w14:paraId="2C54EB87">
      <w:pPr>
        <w:autoSpaceDE w:val="0"/>
        <w:autoSpaceDN w:val="0"/>
        <w:ind w:firstLine="480" w:firstLineChars="200"/>
        <w:rPr>
          <w:rFonts w:hint="eastAsia" w:ascii="宋体" w:hAnsi="宋体" w:cs="宋体"/>
          <w:szCs w:val="24"/>
        </w:rPr>
      </w:pPr>
      <w:bookmarkStart w:id="3" w:name="OLE_LINK13"/>
      <w:r>
        <w:rPr>
          <w:rFonts w:hint="eastAsia" w:ascii="宋体" w:hAnsi="宋体" w:cs="宋体"/>
          <w:szCs w:val="24"/>
          <w:highlight w:val="yellow"/>
        </w:rPr>
        <w:t>▲11.为方便操作，挤压嘴应较长（不少于10cm），且挤压出液应顺畅</w:t>
      </w:r>
      <w:r>
        <w:rPr>
          <w:rFonts w:hint="eastAsia" w:ascii="宋体" w:hAnsi="宋体" w:cs="宋体"/>
          <w:szCs w:val="24"/>
        </w:rPr>
        <w:t>。</w:t>
      </w:r>
    </w:p>
    <w:p w14:paraId="3A638B23">
      <w:pPr>
        <w:autoSpaceDE w:val="0"/>
        <w:autoSpaceDN w:val="0"/>
        <w:ind w:firstLine="480" w:firstLineChars="200"/>
        <w:rPr>
          <w:rFonts w:hint="eastAsia" w:ascii="宋体" w:hAnsi="宋体" w:cs="宋体"/>
          <w:szCs w:val="24"/>
        </w:rPr>
      </w:pPr>
      <w:r>
        <w:rPr>
          <w:rFonts w:hint="eastAsia" w:ascii="宋体" w:hAnsi="宋体" w:cs="宋体"/>
          <w:szCs w:val="24"/>
        </w:rPr>
        <w:t>▲12.瓶身应透明或者半透明，便于看到内容物余量。</w:t>
      </w:r>
    </w:p>
    <w:p w14:paraId="083C6E94">
      <w:pPr>
        <w:autoSpaceDE w:val="0"/>
        <w:autoSpaceDN w:val="0"/>
        <w:ind w:firstLine="480" w:firstLineChars="200"/>
        <w:rPr>
          <w:rFonts w:ascii="宋体" w:hAnsi="宋体" w:cs="宋体"/>
          <w:szCs w:val="24"/>
        </w:rPr>
      </w:pPr>
      <w:r>
        <w:rPr>
          <w:rFonts w:hint="eastAsia" w:ascii="宋体" w:hAnsi="宋体" w:cs="宋体"/>
          <w:szCs w:val="24"/>
        </w:rPr>
        <w:t>▲13.可提供喷雾和液状两种泵头。喷雾泵头应喷雾均匀</w:t>
      </w:r>
      <w:bookmarkStart w:id="4" w:name="OLE_LINK9"/>
      <w:r>
        <w:rPr>
          <w:rFonts w:hint="eastAsia" w:ascii="宋体" w:hAnsi="宋体" w:cs="宋体"/>
          <w:szCs w:val="24"/>
          <w:highlight w:val="yellow"/>
        </w:rPr>
        <w:t>、分散</w:t>
      </w:r>
      <w:r>
        <w:rPr>
          <w:rFonts w:hint="eastAsia" w:ascii="宋体" w:hAnsi="宋体" w:cs="宋体"/>
          <w:szCs w:val="24"/>
        </w:rPr>
        <w:t>；液状泵头出液量适中，具备经济性，每泵量可满足一次手卫生揉搓（至少持续15秒不全干）但不至于滴落浪费。</w:t>
      </w:r>
      <w:bookmarkEnd w:id="4"/>
      <w:r>
        <w:rPr>
          <w:rFonts w:hint="eastAsia" w:ascii="宋体" w:hAnsi="宋体" w:cs="宋体"/>
          <w:szCs w:val="24"/>
        </w:rPr>
        <w:t>（同时提供两种泵头和承诺函（须明确承诺按采购人要求提供喷雾和液状两种泵头，费用已包含在所供消毒剂中，采购人无需另外支付），且泵头经试用满足要求才可得分）</w:t>
      </w:r>
    </w:p>
    <w:p w14:paraId="6EFC4F72">
      <w:pPr>
        <w:autoSpaceDE w:val="0"/>
        <w:autoSpaceDN w:val="0"/>
        <w:ind w:firstLine="480" w:firstLineChars="200"/>
        <w:rPr>
          <w:rFonts w:hint="eastAsia" w:ascii="宋体" w:hAnsi="宋体" w:cs="宋体"/>
          <w:szCs w:val="24"/>
        </w:rPr>
      </w:pPr>
      <w:r>
        <w:rPr>
          <w:rFonts w:hint="eastAsia" w:ascii="宋体" w:hAnsi="宋体" w:cs="宋体"/>
          <w:szCs w:val="24"/>
          <w:lang w:eastAsia="zh-Hans"/>
        </w:rPr>
        <w:t>●</w:t>
      </w:r>
      <w:r>
        <w:rPr>
          <w:rFonts w:hint="eastAsia" w:ascii="宋体" w:hAnsi="宋体" w:cs="宋体"/>
          <w:szCs w:val="24"/>
        </w:rPr>
        <w:t>14.手消毒剂含有护肤成分，能够在频繁且长期使用的需求下，不损伤和刺激皮肤，从而保证手消毒的依从性。（投标文件中明确本产品的护肤成分）</w:t>
      </w:r>
    </w:p>
    <w:bookmarkEnd w:id="3"/>
    <w:p w14:paraId="2CF21971">
      <w:pPr>
        <w:autoSpaceDE w:val="0"/>
        <w:autoSpaceDN w:val="0"/>
        <w:ind w:firstLine="480" w:firstLineChars="200"/>
        <w:rPr>
          <w:rFonts w:hint="eastAsia" w:ascii="宋体" w:hAnsi="宋体" w:cs="宋体"/>
          <w:szCs w:val="24"/>
          <w:lang w:eastAsia="zh-Hans"/>
        </w:rPr>
      </w:pPr>
      <w:r>
        <w:rPr>
          <w:rFonts w:hint="eastAsia" w:ascii="宋体" w:hAnsi="宋体" w:cs="宋体"/>
          <w:szCs w:val="24"/>
          <w:lang w:eastAsia="zh-Hans"/>
        </w:rPr>
        <w:t>1</w:t>
      </w:r>
      <w:r>
        <w:rPr>
          <w:rFonts w:hint="eastAsia" w:ascii="宋体" w:hAnsi="宋体" w:cs="宋体"/>
          <w:szCs w:val="24"/>
        </w:rPr>
        <w:t>5</w:t>
      </w:r>
      <w:r>
        <w:rPr>
          <w:rFonts w:hint="eastAsia" w:ascii="宋体" w:hAnsi="宋体" w:cs="宋体"/>
          <w:szCs w:val="24"/>
          <w:lang w:eastAsia="zh-Hans"/>
        </w:rPr>
        <w:t>.能提供其他医院常见病原体（如耳念珠菌、龟分枝杆菌、鲍曼不动杆菌、诺如病毒、柯萨奇病毒、乙型肝炎病毒以及耐药细菌等）的杀灭试验结果（细菌杀灭对数值应≥5，真菌和病毒杀灭对数值应≥4）。</w:t>
      </w:r>
    </w:p>
    <w:p w14:paraId="288583B0">
      <w:pPr>
        <w:autoSpaceDE w:val="0"/>
        <w:autoSpaceDN w:val="0"/>
        <w:ind w:firstLine="480" w:firstLineChars="200"/>
        <w:rPr>
          <w:rFonts w:hint="eastAsia" w:ascii="宋体" w:hAnsi="宋体" w:cs="宋体"/>
          <w:szCs w:val="24"/>
          <w:highlight w:val="yellow"/>
        </w:rPr>
      </w:pPr>
    </w:p>
    <w:p w14:paraId="450699F7">
      <w:pPr>
        <w:autoSpaceDE w:val="0"/>
        <w:autoSpaceDN w:val="0"/>
        <w:rPr>
          <w:rFonts w:hint="eastAsia" w:ascii="宋体" w:hAnsi="宋体" w:cs="宋体"/>
          <w:szCs w:val="24"/>
        </w:rPr>
      </w:pPr>
    </w:p>
    <w:p w14:paraId="56660467">
      <w:pPr>
        <w:autoSpaceDE w:val="0"/>
        <w:autoSpaceDN w:val="0"/>
        <w:ind w:firstLine="562" w:firstLineChars="200"/>
        <w:outlineLvl w:val="3"/>
        <w:rPr>
          <w:rFonts w:hint="eastAsia" w:ascii="宋体" w:hAnsi="宋体" w:cs="宋体"/>
          <w:b/>
          <w:bCs/>
          <w:color w:val="FF0000"/>
          <w:sz w:val="28"/>
          <w:szCs w:val="28"/>
        </w:rPr>
      </w:pPr>
      <w:r>
        <w:rPr>
          <w:rFonts w:hint="eastAsia" w:ascii="宋体" w:hAnsi="宋体" w:cs="宋体"/>
          <w:b/>
          <w:bCs/>
          <w:color w:val="FF0000"/>
          <w:sz w:val="28"/>
          <w:szCs w:val="28"/>
        </w:rPr>
        <w:t>（2）</w:t>
      </w:r>
      <w:bookmarkStart w:id="5" w:name="_Hlk219196688"/>
      <w:r>
        <w:rPr>
          <w:rFonts w:hint="eastAsia" w:ascii="宋体" w:hAnsi="宋体" w:cs="宋体"/>
          <w:b/>
          <w:bCs/>
          <w:color w:val="FF0000"/>
          <w:sz w:val="28"/>
          <w:szCs w:val="28"/>
        </w:rPr>
        <w:t>免洗手消毒液2</w:t>
      </w:r>
      <w:bookmarkEnd w:id="5"/>
    </w:p>
    <w:p w14:paraId="75C10D02">
      <w:pPr>
        <w:wordWrap/>
        <w:autoSpaceDE w:val="0"/>
        <w:autoSpaceDN w:val="0"/>
        <w:ind w:firstLine="480" w:firstLineChars="200"/>
        <w:rPr>
          <w:rFonts w:ascii="宋体" w:hAnsi="宋体" w:cs="宋体"/>
          <w:szCs w:val="24"/>
        </w:rPr>
      </w:pPr>
      <w:r>
        <w:rPr>
          <w:rFonts w:hint="eastAsia" w:ascii="宋体" w:hAnsi="宋体" w:cs="宋体"/>
          <w:szCs w:val="24"/>
        </w:rPr>
        <w:t>★1.规格范围：</w:t>
      </w:r>
      <w:r>
        <w:rPr>
          <w:rFonts w:hint="eastAsia" w:ascii="宋体" w:hAnsi="宋体" w:cs="宋体"/>
          <w:b/>
          <w:bCs/>
          <w:szCs w:val="24"/>
        </w:rPr>
        <w:t>每瓶500ml±100ml</w:t>
      </w:r>
    </w:p>
    <w:p w14:paraId="61ABDCC4">
      <w:pPr>
        <w:autoSpaceDE w:val="0"/>
        <w:autoSpaceDN w:val="0"/>
        <w:ind w:firstLine="480" w:firstLineChars="200"/>
        <w:rPr>
          <w:rFonts w:hint="eastAsia" w:ascii="宋体" w:hAnsi="宋体" w:cs="宋体"/>
          <w:b/>
          <w:bCs/>
          <w:szCs w:val="24"/>
        </w:rPr>
      </w:pPr>
      <w:r>
        <w:rPr>
          <w:rFonts w:hint="eastAsia" w:ascii="宋体" w:hAnsi="宋体" w:cs="宋体"/>
          <w:szCs w:val="24"/>
        </w:rPr>
        <w:t>★2.有效成分：</w:t>
      </w:r>
      <w:r>
        <w:rPr>
          <w:rFonts w:ascii="宋体" w:hAnsi="宋体" w:cs="宋体"/>
          <w:b/>
          <w:bCs/>
          <w:szCs w:val="24"/>
        </w:rPr>
        <w:t>醇类</w:t>
      </w:r>
      <w:r>
        <w:rPr>
          <w:rFonts w:hint="eastAsia" w:ascii="宋体" w:hAnsi="宋体" w:cs="宋体"/>
          <w:b/>
          <w:bCs/>
          <w:szCs w:val="24"/>
        </w:rPr>
        <w:t>和</w:t>
      </w:r>
      <w:r>
        <w:rPr>
          <w:rFonts w:ascii="宋体" w:hAnsi="宋体" w:cs="宋体"/>
          <w:b/>
          <w:bCs/>
          <w:szCs w:val="24"/>
        </w:rPr>
        <w:t>氯</w:t>
      </w:r>
      <w:r>
        <w:rPr>
          <w:rFonts w:hint="eastAsia" w:ascii="宋体" w:hAnsi="宋体" w:cs="宋体"/>
          <w:b/>
          <w:bCs/>
          <w:szCs w:val="24"/>
        </w:rPr>
        <w:t>已</w:t>
      </w:r>
      <w:r>
        <w:rPr>
          <w:rFonts w:ascii="宋体" w:hAnsi="宋体" w:cs="宋体"/>
          <w:b/>
          <w:bCs/>
          <w:szCs w:val="24"/>
        </w:rPr>
        <w:t>定</w:t>
      </w:r>
      <w:r>
        <w:rPr>
          <w:rFonts w:hint="eastAsia" w:ascii="宋体" w:hAnsi="宋体" w:cs="宋体"/>
          <w:b/>
          <w:bCs/>
          <w:szCs w:val="24"/>
        </w:rPr>
        <w:t>复方，要求葡萄糖酸氯已定含量至少2g/L，乙醇含量不低于54%（V/V）</w:t>
      </w:r>
      <w:r>
        <w:rPr>
          <w:rFonts w:hint="eastAsia" w:ascii="宋体" w:hAnsi="宋体" w:cs="宋体"/>
          <w:szCs w:val="24"/>
        </w:rPr>
        <w:t>。（如单位与需求不一致的，应当在投标文件中提供单位换算说明，明确满足与否，否则评标委员会可以认定负偏离）</w:t>
      </w:r>
    </w:p>
    <w:p w14:paraId="66464752">
      <w:pPr>
        <w:autoSpaceDE w:val="0"/>
        <w:autoSpaceDN w:val="0"/>
        <w:ind w:firstLine="480" w:firstLineChars="200"/>
        <w:rPr>
          <w:rFonts w:hint="eastAsia" w:ascii="宋体" w:hAnsi="宋体" w:cs="宋体"/>
          <w:szCs w:val="24"/>
        </w:rPr>
      </w:pPr>
      <w:r>
        <w:rPr>
          <w:rFonts w:hint="eastAsia" w:ascii="宋体" w:hAnsi="宋体" w:cs="宋体"/>
          <w:szCs w:val="24"/>
        </w:rPr>
        <w:t>★3.使用范围：</w:t>
      </w:r>
      <w:r>
        <w:rPr>
          <w:rFonts w:hint="eastAsia" w:ascii="宋体" w:hAnsi="宋体" w:cs="宋体"/>
          <w:b/>
          <w:bCs/>
          <w:szCs w:val="24"/>
        </w:rPr>
        <w:t>至少包括外科手消毒、卫生手消毒。</w:t>
      </w:r>
      <w:r>
        <w:rPr>
          <w:rFonts w:hint="eastAsia" w:ascii="宋体" w:hAnsi="宋体" w:cs="宋体"/>
          <w:szCs w:val="24"/>
        </w:rPr>
        <w:t>（投标文件中提供可体现该信息的证明文件，如全国消毒产品网上备案信息服务平台的网页截图，或产品标签，或产品说明书，或《消毒产品卫生安全评价报告》）</w:t>
      </w:r>
    </w:p>
    <w:p w14:paraId="30BCE1B9">
      <w:pPr>
        <w:autoSpaceDE w:val="0"/>
        <w:autoSpaceDN w:val="0"/>
        <w:ind w:firstLine="482" w:firstLineChars="200"/>
        <w:rPr>
          <w:rFonts w:hint="eastAsia" w:ascii="宋体" w:hAnsi="宋体" w:cs="宋体"/>
          <w:szCs w:val="24"/>
        </w:rPr>
      </w:pPr>
      <w:r>
        <w:rPr>
          <w:rFonts w:hint="eastAsia" w:ascii="宋体" w:hAnsi="宋体" w:cs="宋体"/>
          <w:b/>
          <w:bCs/>
          <w:szCs w:val="24"/>
        </w:rPr>
        <w:t>★4.可杀灭微生物类别：可杀灭肠道致病菌、化脓性球菌、致病性酵母菌、医院感染常见细菌。</w:t>
      </w:r>
      <w:r>
        <w:rPr>
          <w:rFonts w:hint="eastAsia" w:ascii="宋体" w:hAnsi="宋体" w:cs="宋体"/>
          <w:szCs w:val="24"/>
        </w:rPr>
        <w:t>（投标文件中提供可体现该信息的证明文件，如全国消毒产品网上备案信息服务平台的网页截图，或产品标签，或产品说明书，或《消毒产品卫生安全评价报告》）（</w:t>
      </w:r>
      <w:r>
        <w:rPr>
          <w:rFonts w:hint="eastAsia" w:ascii="宋体" w:hAnsi="宋体" w:cs="宋体"/>
          <w:b/>
          <w:bCs/>
          <w:szCs w:val="24"/>
        </w:rPr>
        <w:t>备注：如标称可杀灭的同类微生物比采购需求要求杀灭的微生物更难杀灭，或者属于同种微生物的不同表述，由评标委员会依据其专业能力判断属实的，亦可视为满足可杀灭该种类微生物的要求。</w:t>
      </w:r>
      <w:r>
        <w:rPr>
          <w:rFonts w:hint="eastAsia" w:ascii="宋体" w:hAnsi="宋体" w:cs="宋体"/>
          <w:szCs w:val="24"/>
        </w:rPr>
        <w:t>）</w:t>
      </w:r>
    </w:p>
    <w:p w14:paraId="39D6D0A3">
      <w:pPr>
        <w:autoSpaceDE w:val="0"/>
        <w:autoSpaceDN w:val="0"/>
        <w:ind w:firstLine="480" w:firstLineChars="200"/>
        <w:rPr>
          <w:rFonts w:hint="eastAsia" w:ascii="宋体" w:hAnsi="宋体" w:cs="宋体"/>
          <w:szCs w:val="24"/>
        </w:rPr>
      </w:pPr>
      <w:r>
        <w:rPr>
          <w:rFonts w:hint="eastAsia" w:ascii="宋体" w:hAnsi="宋体" w:cs="宋体"/>
          <w:szCs w:val="24"/>
        </w:rPr>
        <w:t>5.符合《消毒技术规范（2002年版）》《GB 27950-2020 手消毒剂通用要求》《GB 27951-2021 皮肤消毒剂通用要求》。</w:t>
      </w:r>
    </w:p>
    <w:p w14:paraId="3C3DAFCC">
      <w:pPr>
        <w:autoSpaceDE w:val="0"/>
        <w:autoSpaceDN w:val="0"/>
        <w:ind w:firstLine="480" w:firstLineChars="200"/>
        <w:rPr>
          <w:rFonts w:hint="eastAsia" w:ascii="宋体" w:hAnsi="宋体" w:cs="宋体"/>
          <w:szCs w:val="24"/>
        </w:rPr>
      </w:pPr>
      <w:r>
        <w:rPr>
          <w:rFonts w:hint="eastAsia" w:ascii="宋体" w:hAnsi="宋体" w:cs="宋体"/>
          <w:szCs w:val="24"/>
        </w:rPr>
        <w:t>★6.根据采购人要求提供配套取液架或电动取液器，费用已包含在所供消毒剂中，采购人无需另外支付。（提供承诺函，格式自拟，承诺函中须明确体现本条的承诺内容）</w:t>
      </w:r>
    </w:p>
    <w:p w14:paraId="646C3D42">
      <w:pPr>
        <w:autoSpaceDE w:val="0"/>
        <w:autoSpaceDN w:val="0"/>
        <w:ind w:firstLine="480" w:firstLineChars="200"/>
        <w:rPr>
          <w:rFonts w:hint="eastAsia" w:ascii="宋体" w:hAnsi="宋体" w:cs="宋体"/>
          <w:szCs w:val="24"/>
        </w:rPr>
      </w:pPr>
      <w:r>
        <w:rPr>
          <w:rFonts w:hint="eastAsia" w:ascii="宋体" w:hAnsi="宋体" w:cs="宋体"/>
          <w:szCs w:val="24"/>
        </w:rPr>
        <w:t>●7.满足毒理学测试要求：1.急性经口毒性属于实际无毒级。2.多次完整性皮肤刺激试验：属于无刺激性。3. 微核试验：无致微核作用刺激。（提供通过CMA认证的第三方检测机构出具的有效产品检测报告）</w:t>
      </w:r>
    </w:p>
    <w:p w14:paraId="5EE83106">
      <w:pPr>
        <w:autoSpaceDE w:val="0"/>
        <w:autoSpaceDN w:val="0"/>
        <w:ind w:firstLine="480" w:firstLineChars="200"/>
        <w:rPr>
          <w:rFonts w:hint="eastAsia" w:ascii="宋体" w:hAnsi="宋体" w:cs="宋体"/>
          <w:szCs w:val="24"/>
        </w:rPr>
      </w:pPr>
      <w:r>
        <w:rPr>
          <w:rFonts w:hint="eastAsia" w:ascii="宋体" w:hAnsi="宋体" w:cs="宋体"/>
          <w:szCs w:val="24"/>
        </w:rPr>
        <w:t>●8.产品稳定性：产品有效期≥24个月，开瓶有效期≥120天。（开瓶有效期是指在环境温度（25±2）℃、相对湿度（60±10）%或（30±2）℃、相对湿度（65±5）%的环境下按上述期限放置后检测，有效成分下降率≤10%。）（提供通过CMA认证的第三方检测机构出具的有效产品检测报告。如产品标签或说明书列明产品有效期及开瓶有效期（或意思相同的其他表述），可不提供检测报告。）</w:t>
      </w:r>
    </w:p>
    <w:p w14:paraId="58AFD919">
      <w:pPr>
        <w:autoSpaceDE w:val="0"/>
        <w:autoSpaceDN w:val="0"/>
        <w:ind w:firstLine="480" w:firstLineChars="200"/>
        <w:rPr>
          <w:rFonts w:hint="eastAsia" w:ascii="宋体" w:hAnsi="宋体" w:cs="宋体"/>
          <w:szCs w:val="24"/>
        </w:rPr>
      </w:pPr>
      <w:r>
        <w:rPr>
          <w:rFonts w:hint="eastAsia" w:ascii="宋体" w:hAnsi="宋体" w:cs="宋体"/>
          <w:szCs w:val="24"/>
        </w:rPr>
        <w:t>●9.铅、砷、汞限量要求：铅＜10mg/kg、砷＜2mg/kg、汞＜1mg/kg。（提供通过CMA认证的第三方检测机构出具的有效产品检测报告）</w:t>
      </w:r>
    </w:p>
    <w:p w14:paraId="4A145397">
      <w:pPr>
        <w:autoSpaceDE w:val="0"/>
        <w:autoSpaceDN w:val="0"/>
        <w:ind w:firstLine="480" w:firstLineChars="200"/>
        <w:rPr>
          <w:rFonts w:hint="eastAsia" w:ascii="宋体" w:hAnsi="宋体" w:cs="宋体"/>
          <w:szCs w:val="24"/>
        </w:rPr>
      </w:pPr>
      <w:r>
        <w:rPr>
          <w:rFonts w:hint="eastAsia" w:ascii="宋体" w:hAnsi="宋体" w:cs="宋体"/>
          <w:szCs w:val="24"/>
        </w:rPr>
        <w:t>▲10.消毒液不应有明显呛鼻或者异臭味，质地应易干、不粘腻，使用后无明显干燥、紧绷或刺痛，无残留明显膜感。</w:t>
      </w:r>
    </w:p>
    <w:p w14:paraId="0AF19D72">
      <w:pPr>
        <w:autoSpaceDE w:val="0"/>
        <w:autoSpaceDN w:val="0"/>
        <w:ind w:firstLine="480" w:firstLineChars="200"/>
        <w:rPr>
          <w:rFonts w:hint="eastAsia" w:ascii="宋体" w:hAnsi="宋体" w:cs="宋体"/>
          <w:szCs w:val="24"/>
        </w:rPr>
      </w:pPr>
      <w:r>
        <w:rPr>
          <w:rFonts w:hint="eastAsia" w:ascii="宋体" w:hAnsi="宋体" w:cs="宋体"/>
          <w:szCs w:val="24"/>
        </w:rPr>
        <w:t>▲11.瓶身应透明或者半透明，便于看到内容物余量。</w:t>
      </w:r>
    </w:p>
    <w:p w14:paraId="436CE8A4">
      <w:pPr>
        <w:autoSpaceDE w:val="0"/>
        <w:autoSpaceDN w:val="0"/>
        <w:ind w:firstLine="480" w:firstLineChars="200"/>
        <w:rPr>
          <w:rFonts w:hint="eastAsia" w:ascii="宋体" w:hAnsi="宋体" w:cs="宋体"/>
          <w:szCs w:val="24"/>
        </w:rPr>
      </w:pPr>
      <w:r>
        <w:rPr>
          <w:rFonts w:hint="eastAsia" w:ascii="宋体" w:hAnsi="宋体" w:cs="宋体"/>
          <w:szCs w:val="24"/>
        </w:rPr>
        <w:t>▲12.为方便操作，挤压嘴应较长（不少于10cm），且挤压出液应顺畅。</w:t>
      </w:r>
    </w:p>
    <w:p w14:paraId="3D734F75">
      <w:pPr>
        <w:autoSpaceDE w:val="0"/>
        <w:autoSpaceDN w:val="0"/>
        <w:ind w:firstLine="480" w:firstLineChars="200"/>
        <w:rPr>
          <w:rFonts w:hint="eastAsia" w:ascii="宋体" w:hAnsi="宋体" w:cs="宋体"/>
          <w:szCs w:val="24"/>
        </w:rPr>
      </w:pPr>
      <w:r>
        <w:rPr>
          <w:rFonts w:hint="eastAsia" w:ascii="宋体" w:hAnsi="宋体" w:cs="宋体"/>
          <w:szCs w:val="24"/>
        </w:rPr>
        <w:t>▲13.拆开即用，无需换喷嘴。</w:t>
      </w:r>
    </w:p>
    <w:p w14:paraId="54AB5B50">
      <w:pPr>
        <w:autoSpaceDE w:val="0"/>
        <w:autoSpaceDN w:val="0"/>
        <w:ind w:firstLine="480" w:firstLineChars="200"/>
        <w:rPr>
          <w:rFonts w:ascii="宋体" w:hAnsi="宋体" w:cs="宋体"/>
          <w:szCs w:val="24"/>
        </w:rPr>
      </w:pPr>
      <w:r>
        <w:rPr>
          <w:rFonts w:hint="eastAsia" w:ascii="宋体" w:hAnsi="宋体" w:cs="宋体"/>
          <w:szCs w:val="24"/>
        </w:rPr>
        <w:t>▲14.可提供喷雾和液状两种泵头。喷雾泵头应喷雾均匀、分散；液状泵头出液量适中，具备经济性，每泵量可满足一次手卫生揉搓（至少持续15秒不全干）但不至于滴落浪费。（同时提供两种泵头和承诺函（须明确承诺按采购人要求提供喷雾和液状两种泵头，费用已包含在所供消毒剂中，采购人无需另外支付），且泵头经试用满足要求才可得分）</w:t>
      </w:r>
    </w:p>
    <w:p w14:paraId="1A6A35B6">
      <w:pPr>
        <w:autoSpaceDE w:val="0"/>
        <w:autoSpaceDN w:val="0"/>
        <w:ind w:firstLine="480" w:firstLineChars="200"/>
        <w:rPr>
          <w:rFonts w:hint="eastAsia" w:ascii="宋体" w:hAnsi="宋体" w:cs="宋体"/>
          <w:szCs w:val="24"/>
          <w:highlight w:val="yellow"/>
        </w:rPr>
      </w:pPr>
      <w:r>
        <w:rPr>
          <w:rFonts w:hint="eastAsia" w:ascii="宋体" w:hAnsi="宋体" w:cs="宋体"/>
          <w:szCs w:val="24"/>
          <w:lang w:eastAsia="zh-Hans"/>
        </w:rPr>
        <w:t>●</w:t>
      </w:r>
      <w:r>
        <w:rPr>
          <w:rFonts w:hint="eastAsia" w:ascii="宋体" w:hAnsi="宋体" w:cs="宋体"/>
          <w:szCs w:val="24"/>
        </w:rPr>
        <w:t>15.手消毒剂含有护肤成分，能够在频繁且长期使用的需求下，不损伤和刺激皮肤，从而保证手消毒的依从性。（投标文件中明确本产品的护肤成分）</w:t>
      </w:r>
    </w:p>
    <w:p w14:paraId="24EEA055">
      <w:pPr>
        <w:autoSpaceDE w:val="0"/>
        <w:autoSpaceDN w:val="0"/>
        <w:ind w:firstLine="480" w:firstLineChars="200"/>
        <w:rPr>
          <w:rFonts w:hint="eastAsia" w:ascii="宋体" w:hAnsi="宋体" w:cs="宋体"/>
          <w:szCs w:val="24"/>
          <w:lang w:eastAsia="zh-Hans"/>
        </w:rPr>
      </w:pPr>
      <w:r>
        <w:rPr>
          <w:rFonts w:hint="eastAsia" w:ascii="宋体" w:hAnsi="宋体" w:cs="宋体"/>
          <w:szCs w:val="24"/>
          <w:lang w:eastAsia="zh-Hans"/>
        </w:rPr>
        <w:t>1</w:t>
      </w:r>
      <w:r>
        <w:rPr>
          <w:rFonts w:hint="eastAsia" w:ascii="宋体" w:hAnsi="宋体" w:cs="宋体"/>
          <w:szCs w:val="24"/>
        </w:rPr>
        <w:t>6</w:t>
      </w:r>
      <w:r>
        <w:rPr>
          <w:rFonts w:hint="eastAsia" w:ascii="宋体" w:hAnsi="宋体" w:cs="宋体"/>
          <w:szCs w:val="24"/>
          <w:lang w:eastAsia="zh-Hans"/>
        </w:rPr>
        <w:t>.能提供其他医院常见病原体（如耳念珠菌、龟分枝杆菌、鲍曼不动杆菌、诺如病毒、柯萨奇病毒、乙型肝炎病毒以及耐药细菌等）的杀灭试验结果（细菌杀灭对数值应≥5，真菌和病毒杀灭对数值应≥4）。</w:t>
      </w:r>
    </w:p>
    <w:p w14:paraId="773DEDF2">
      <w:pPr>
        <w:autoSpaceDE w:val="0"/>
        <w:autoSpaceDN w:val="0"/>
        <w:rPr>
          <w:rFonts w:hint="eastAsia" w:ascii="宋体" w:hAnsi="宋体" w:cs="宋体"/>
          <w:szCs w:val="24"/>
        </w:rPr>
      </w:pPr>
    </w:p>
    <w:p w14:paraId="3F418F73">
      <w:pPr>
        <w:autoSpaceDE w:val="0"/>
        <w:autoSpaceDN w:val="0"/>
        <w:ind w:firstLine="562" w:firstLineChars="200"/>
        <w:outlineLvl w:val="3"/>
        <w:rPr>
          <w:rFonts w:hint="eastAsia" w:ascii="宋体" w:hAnsi="宋体" w:cs="宋体"/>
          <w:b/>
          <w:bCs/>
          <w:color w:val="FF0000"/>
          <w:sz w:val="28"/>
          <w:szCs w:val="28"/>
        </w:rPr>
      </w:pPr>
      <w:r>
        <w:rPr>
          <w:rFonts w:hint="eastAsia" w:ascii="宋体" w:hAnsi="宋体" w:cs="宋体"/>
          <w:b/>
          <w:bCs/>
          <w:color w:val="FF0000"/>
          <w:sz w:val="28"/>
          <w:szCs w:val="28"/>
        </w:rPr>
        <w:t>（3）</w:t>
      </w:r>
      <w:bookmarkStart w:id="6" w:name="_Hlk219196697"/>
      <w:r>
        <w:rPr>
          <w:rFonts w:hint="eastAsia" w:ascii="宋体" w:hAnsi="宋体" w:cs="宋体"/>
          <w:b/>
          <w:bCs/>
          <w:color w:val="FF0000"/>
          <w:sz w:val="28"/>
          <w:szCs w:val="28"/>
        </w:rPr>
        <w:t>免洗外科手消毒液</w:t>
      </w:r>
      <w:bookmarkEnd w:id="6"/>
    </w:p>
    <w:p w14:paraId="0EB6DB3B">
      <w:pPr>
        <w:wordWrap/>
        <w:autoSpaceDE w:val="0"/>
        <w:autoSpaceDN w:val="0"/>
        <w:ind w:firstLine="480" w:firstLineChars="200"/>
        <w:rPr>
          <w:rFonts w:ascii="宋体" w:hAnsi="宋体" w:cs="宋体"/>
          <w:szCs w:val="24"/>
        </w:rPr>
      </w:pPr>
      <w:r>
        <w:rPr>
          <w:rFonts w:hint="eastAsia" w:ascii="宋体" w:hAnsi="宋体" w:cs="宋体"/>
          <w:szCs w:val="24"/>
        </w:rPr>
        <w:t>★1.规格范围：</w:t>
      </w:r>
      <w:r>
        <w:rPr>
          <w:rFonts w:hint="eastAsia" w:ascii="宋体" w:hAnsi="宋体" w:cs="宋体"/>
          <w:b/>
          <w:bCs/>
          <w:szCs w:val="24"/>
        </w:rPr>
        <w:t>每瓶1L</w:t>
      </w:r>
      <w:r>
        <w:rPr>
          <w:rFonts w:hint="eastAsia" w:ascii="微软雅黑" w:hAnsi="微软雅黑" w:eastAsia="微软雅黑" w:cs="微软雅黑"/>
          <w:b/>
          <w:bCs/>
          <w:szCs w:val="24"/>
        </w:rPr>
        <w:t>~</w:t>
      </w:r>
      <w:r>
        <w:rPr>
          <w:rFonts w:hint="eastAsia" w:ascii="宋体" w:hAnsi="宋体" w:cs="宋体"/>
          <w:b/>
          <w:bCs/>
          <w:szCs w:val="24"/>
        </w:rPr>
        <w:t>1.2L</w:t>
      </w:r>
    </w:p>
    <w:p w14:paraId="3316CA5C">
      <w:pPr>
        <w:autoSpaceDE w:val="0"/>
        <w:autoSpaceDN w:val="0"/>
        <w:ind w:firstLine="480" w:firstLineChars="200"/>
        <w:rPr>
          <w:rFonts w:hint="eastAsia" w:ascii="宋体" w:hAnsi="宋体" w:cs="宋体"/>
          <w:b/>
          <w:bCs/>
          <w:szCs w:val="24"/>
        </w:rPr>
      </w:pPr>
      <w:r>
        <w:rPr>
          <w:rFonts w:hint="eastAsia" w:ascii="宋体" w:hAnsi="宋体" w:cs="宋体"/>
          <w:szCs w:val="24"/>
        </w:rPr>
        <w:t>★2.有效成分：</w:t>
      </w:r>
      <w:r>
        <w:rPr>
          <w:rFonts w:ascii="宋体" w:hAnsi="宋体" w:cs="宋体"/>
          <w:b/>
          <w:bCs/>
          <w:szCs w:val="24"/>
        </w:rPr>
        <w:t>醇类</w:t>
      </w:r>
      <w:r>
        <w:rPr>
          <w:rFonts w:hint="eastAsia" w:ascii="宋体" w:hAnsi="宋体" w:cs="宋体"/>
          <w:b/>
          <w:bCs/>
          <w:szCs w:val="24"/>
        </w:rPr>
        <w:t>和</w:t>
      </w:r>
      <w:r>
        <w:rPr>
          <w:rFonts w:ascii="宋体" w:hAnsi="宋体" w:cs="宋体"/>
          <w:b/>
          <w:bCs/>
          <w:szCs w:val="24"/>
        </w:rPr>
        <w:t>氯</w:t>
      </w:r>
      <w:r>
        <w:rPr>
          <w:rFonts w:hint="eastAsia" w:ascii="宋体" w:hAnsi="宋体" w:cs="宋体"/>
          <w:b/>
          <w:bCs/>
          <w:szCs w:val="24"/>
        </w:rPr>
        <w:t>已</w:t>
      </w:r>
      <w:r>
        <w:rPr>
          <w:rFonts w:ascii="宋体" w:hAnsi="宋体" w:cs="宋体"/>
          <w:b/>
          <w:bCs/>
          <w:szCs w:val="24"/>
        </w:rPr>
        <w:t>定</w:t>
      </w:r>
      <w:r>
        <w:rPr>
          <w:rFonts w:hint="eastAsia" w:ascii="宋体" w:hAnsi="宋体" w:cs="宋体"/>
          <w:b/>
          <w:bCs/>
          <w:szCs w:val="24"/>
        </w:rPr>
        <w:t>复方，要求葡萄糖酸氯已定（葡萄糖酸洗必泰）含量至少9g/L</w:t>
      </w:r>
      <w:r>
        <w:rPr>
          <w:rFonts w:hint="eastAsia" w:ascii="宋体" w:hAnsi="宋体" w:cs="宋体"/>
          <w:szCs w:val="24"/>
        </w:rPr>
        <w:t>，</w:t>
      </w:r>
      <w:r>
        <w:rPr>
          <w:rFonts w:hint="eastAsia" w:ascii="宋体" w:hAnsi="宋体" w:cs="宋体"/>
          <w:b/>
          <w:bCs/>
          <w:szCs w:val="24"/>
        </w:rPr>
        <w:t>乙醇含量不低于54%（V/V）</w:t>
      </w:r>
      <w:r>
        <w:rPr>
          <w:rFonts w:hint="eastAsia" w:ascii="宋体" w:hAnsi="宋体" w:cs="宋体"/>
          <w:szCs w:val="24"/>
        </w:rPr>
        <w:t>。（如单位与需求不一致的，应当在投标文件中提供单位换算说明，明确满足与否，否则评标委员会可以认定负偏离）</w:t>
      </w:r>
    </w:p>
    <w:p w14:paraId="27A421E7">
      <w:pPr>
        <w:autoSpaceDE w:val="0"/>
        <w:autoSpaceDN w:val="0"/>
        <w:ind w:firstLine="480" w:firstLineChars="200"/>
        <w:rPr>
          <w:rFonts w:hint="eastAsia" w:ascii="宋体" w:hAnsi="宋体" w:cs="宋体"/>
          <w:szCs w:val="24"/>
        </w:rPr>
      </w:pPr>
      <w:r>
        <w:rPr>
          <w:rFonts w:hint="eastAsia" w:ascii="宋体" w:hAnsi="宋体" w:cs="宋体"/>
          <w:szCs w:val="24"/>
        </w:rPr>
        <w:t>★3.使用范围：</w:t>
      </w:r>
      <w:r>
        <w:rPr>
          <w:rFonts w:hint="eastAsia" w:ascii="宋体" w:hAnsi="宋体" w:cs="宋体"/>
          <w:b/>
          <w:bCs/>
          <w:szCs w:val="24"/>
        </w:rPr>
        <w:t>至少包括外科手消毒。</w:t>
      </w:r>
      <w:r>
        <w:rPr>
          <w:rFonts w:hint="eastAsia" w:ascii="宋体" w:hAnsi="宋体" w:cs="宋体"/>
          <w:szCs w:val="24"/>
        </w:rPr>
        <w:t>（投标文件中提供可体现该信息的证明文件，如全国消毒产品网上备案信息服务平台的网页截图，或产品标签，或产品说明书，或《消毒产品卫生安全评价报告》）</w:t>
      </w:r>
    </w:p>
    <w:p w14:paraId="55F683C4">
      <w:pPr>
        <w:autoSpaceDE w:val="0"/>
        <w:autoSpaceDN w:val="0"/>
        <w:ind w:firstLine="482" w:firstLineChars="200"/>
        <w:rPr>
          <w:rFonts w:hint="eastAsia" w:ascii="宋体" w:hAnsi="宋体" w:cs="宋体"/>
          <w:szCs w:val="24"/>
        </w:rPr>
      </w:pPr>
      <w:r>
        <w:rPr>
          <w:rFonts w:hint="eastAsia" w:ascii="宋体" w:hAnsi="宋体" w:cs="宋体"/>
          <w:b/>
          <w:bCs/>
          <w:szCs w:val="24"/>
        </w:rPr>
        <w:t>★4.可杀灭微生物类别：可杀灭肠道致病菌、化脓性球菌、致病性酵母菌和医院感染常见细菌。</w:t>
      </w:r>
      <w:r>
        <w:rPr>
          <w:rFonts w:hint="eastAsia" w:ascii="宋体" w:hAnsi="宋体" w:cs="宋体"/>
          <w:szCs w:val="24"/>
        </w:rPr>
        <w:t>（投标文件中提供可体现该信息的证明文件，如全国消毒产品网上备案信息服务平台的网页截图，或产品标签，或产品说明书，或《消毒产品卫生安全评价报告》）（</w:t>
      </w:r>
      <w:r>
        <w:rPr>
          <w:rFonts w:hint="eastAsia" w:ascii="宋体" w:hAnsi="宋体" w:cs="宋体"/>
          <w:b/>
          <w:bCs/>
          <w:szCs w:val="24"/>
        </w:rPr>
        <w:t>备注：如标称可杀灭的同类微生物比采购需求要求杀灭的微生物更难杀灭，或者属于同种微生物的不同表述，由评标委员会依据其专业能力判断属实的，亦可视为满足可杀灭该种类微生物的要求。</w:t>
      </w:r>
      <w:r>
        <w:rPr>
          <w:rFonts w:hint="eastAsia" w:ascii="宋体" w:hAnsi="宋体" w:cs="宋体"/>
          <w:szCs w:val="24"/>
        </w:rPr>
        <w:t>）</w:t>
      </w:r>
    </w:p>
    <w:p w14:paraId="1A7D5DFE">
      <w:pPr>
        <w:autoSpaceDE w:val="0"/>
        <w:autoSpaceDN w:val="0"/>
        <w:ind w:firstLine="480" w:firstLineChars="200"/>
        <w:rPr>
          <w:rFonts w:hint="eastAsia" w:ascii="宋体" w:hAnsi="宋体" w:cs="宋体"/>
          <w:szCs w:val="24"/>
        </w:rPr>
      </w:pPr>
      <w:r>
        <w:rPr>
          <w:rFonts w:hint="eastAsia" w:ascii="宋体" w:hAnsi="宋体" w:cs="宋体"/>
          <w:szCs w:val="24"/>
        </w:rPr>
        <w:t>5.符合《消毒技术规范（2002年版）》《GB 27950-2020 手消毒剂通用要求》《GB 27951-2021 皮肤消毒剂通用要求》。</w:t>
      </w:r>
    </w:p>
    <w:p w14:paraId="4257A578">
      <w:pPr>
        <w:autoSpaceDE w:val="0"/>
        <w:autoSpaceDN w:val="0"/>
        <w:ind w:firstLine="480" w:firstLineChars="200"/>
        <w:rPr>
          <w:rFonts w:hint="eastAsia" w:ascii="宋体" w:hAnsi="宋体" w:cs="宋体"/>
          <w:szCs w:val="24"/>
        </w:rPr>
      </w:pPr>
      <w:r>
        <w:rPr>
          <w:rFonts w:hint="eastAsia" w:ascii="宋体" w:hAnsi="宋体" w:cs="宋体"/>
          <w:szCs w:val="24"/>
        </w:rPr>
        <w:t>★6.根据采购人要求提供配套取液架或电动取液器，费用已包含在所供消毒剂中，采购人无需另外支付。（提供承诺函，格式自拟，承诺函中须明确体现本条的承诺内容）</w:t>
      </w:r>
    </w:p>
    <w:p w14:paraId="0F1D18E1">
      <w:pPr>
        <w:autoSpaceDE w:val="0"/>
        <w:autoSpaceDN w:val="0"/>
        <w:ind w:firstLine="480" w:firstLineChars="200"/>
        <w:rPr>
          <w:rFonts w:hint="eastAsia" w:ascii="宋体" w:hAnsi="宋体" w:cs="宋体"/>
          <w:szCs w:val="24"/>
        </w:rPr>
      </w:pPr>
      <w:r>
        <w:rPr>
          <w:rFonts w:hint="eastAsia" w:ascii="宋体" w:hAnsi="宋体" w:cs="宋体"/>
          <w:szCs w:val="24"/>
        </w:rPr>
        <w:t>●7.满足毒理学测试要求：1.急性经口毒性属于实际无毒级。2.多次完整性皮肤刺激试验：属于无刺激性。3. 微核试验：无致微核作用刺激。（提供通过CMA认证的第三方检测机构出具的有效产品检测报告）</w:t>
      </w:r>
    </w:p>
    <w:p w14:paraId="3DF9A623">
      <w:pPr>
        <w:autoSpaceDE w:val="0"/>
        <w:autoSpaceDN w:val="0"/>
        <w:ind w:firstLine="480" w:firstLineChars="200"/>
        <w:rPr>
          <w:rFonts w:hint="eastAsia" w:ascii="宋体" w:hAnsi="宋体" w:cs="宋体"/>
          <w:szCs w:val="24"/>
        </w:rPr>
      </w:pPr>
      <w:r>
        <w:rPr>
          <w:rFonts w:hint="eastAsia" w:ascii="宋体" w:hAnsi="宋体" w:cs="宋体"/>
          <w:szCs w:val="24"/>
        </w:rPr>
        <w:t>●8.产品稳定性：产品有效期≥24个月，开瓶有效期≥120天。（开瓶有效期是指在环境温度（25±2）℃、相对湿度（60±10）%或（30±2）℃、相对湿度（65±5）%的环境下按上述期限放置后检测，有效成分下降率≤10%。）（提供通过CMA认证的第三方检测机构出具的有效产品检测报告。如产品标签或说明书列明产品有效期及开瓶有效期（或意思相同的其他表述），可不提供检测报告。）</w:t>
      </w:r>
    </w:p>
    <w:p w14:paraId="2AC8F98E">
      <w:pPr>
        <w:autoSpaceDE w:val="0"/>
        <w:autoSpaceDN w:val="0"/>
        <w:ind w:firstLine="480" w:firstLineChars="200"/>
        <w:rPr>
          <w:rFonts w:hint="eastAsia" w:ascii="宋体" w:hAnsi="宋体" w:cs="宋体"/>
          <w:szCs w:val="24"/>
        </w:rPr>
      </w:pPr>
      <w:r>
        <w:rPr>
          <w:rFonts w:hint="eastAsia" w:ascii="宋体" w:hAnsi="宋体" w:cs="宋体"/>
          <w:szCs w:val="24"/>
        </w:rPr>
        <w:t>●9.铅、砷、汞限量要求：铅＜10mg/kg、砷＜2mg/kg、汞＜1mg/kg。（提供通过CMA认证的第三方检测机构出具的有效产品检测报告）</w:t>
      </w:r>
    </w:p>
    <w:p w14:paraId="05894296">
      <w:pPr>
        <w:autoSpaceDE w:val="0"/>
        <w:autoSpaceDN w:val="0"/>
        <w:ind w:firstLine="480" w:firstLineChars="200"/>
        <w:rPr>
          <w:rFonts w:hint="eastAsia" w:ascii="宋体" w:hAnsi="宋体" w:cs="宋体"/>
          <w:szCs w:val="24"/>
        </w:rPr>
      </w:pPr>
      <w:r>
        <w:rPr>
          <w:rFonts w:hint="eastAsia" w:ascii="宋体" w:hAnsi="宋体" w:cs="宋体"/>
          <w:szCs w:val="24"/>
        </w:rPr>
        <w:t>▲10.消毒液不应有明显呛鼻或者异臭味，质地应易干、不粘腻，使用后无明显干燥、紧绷或刺痛，无残留明显膜感。</w:t>
      </w:r>
    </w:p>
    <w:p w14:paraId="6E6E221B">
      <w:pPr>
        <w:autoSpaceDE w:val="0"/>
        <w:autoSpaceDN w:val="0"/>
        <w:ind w:firstLine="480" w:firstLineChars="200"/>
        <w:rPr>
          <w:rFonts w:hint="eastAsia" w:ascii="宋体" w:hAnsi="宋体" w:cs="宋体"/>
          <w:szCs w:val="24"/>
        </w:rPr>
      </w:pPr>
      <w:r>
        <w:rPr>
          <w:rFonts w:hint="eastAsia" w:ascii="宋体" w:hAnsi="宋体" w:cs="宋体"/>
          <w:szCs w:val="24"/>
        </w:rPr>
        <w:t>▲11.瓶身应透明或者半透明，便于看到内容物余量。</w:t>
      </w:r>
    </w:p>
    <w:p w14:paraId="25A52BD7">
      <w:pPr>
        <w:autoSpaceDE w:val="0"/>
        <w:autoSpaceDN w:val="0"/>
        <w:ind w:firstLine="482" w:firstLineChars="200"/>
        <w:rPr>
          <w:rFonts w:hint="eastAsia" w:ascii="宋体" w:hAnsi="宋体" w:cs="宋体"/>
          <w:b/>
          <w:bCs/>
          <w:szCs w:val="24"/>
          <w:highlight w:val="yellow"/>
        </w:rPr>
      </w:pPr>
      <w:r>
        <w:rPr>
          <w:rFonts w:hint="eastAsia" w:ascii="宋体" w:hAnsi="宋体" w:cs="宋体"/>
          <w:b/>
          <w:bCs/>
          <w:szCs w:val="24"/>
          <w:highlight w:val="yellow"/>
        </w:rPr>
        <w:t>★12.因手术室现有挂架的尺寸限制（因手术室防尘需要，无法以钻孔打螺丝等破坏性方式安装新的挂架），尺寸不得超过以下图示。供应商亦可用双面胶贴墙的方式安装并提供其适配挂架，但挂架如在正常使用过程中掉落，每次扣罚货款1万元，同时供应商还须对由此造成的采购人损失或医疗事故（如有）负赔偿责任，且同意无条件更换为适配下图挂架的消毒剂型号。合同期结束时，如采购人要求，供应商应负责撕下双面胶，且不得对墙面造成损坏，否则供应商须负责按手术室要求进行修复且对因修复期间造成手术室停用造成的经济损失进行赔偿。</w:t>
      </w:r>
    </w:p>
    <w:p w14:paraId="0EF68A32">
      <w:pPr>
        <w:autoSpaceDE w:val="0"/>
        <w:autoSpaceDN w:val="0"/>
        <w:ind w:firstLine="482" w:firstLineChars="200"/>
        <w:rPr>
          <w:rFonts w:hint="eastAsia" w:ascii="宋体" w:hAnsi="宋体" w:cs="宋体"/>
          <w:b/>
          <w:bCs/>
          <w:szCs w:val="24"/>
          <w:highlight w:val="yellow"/>
        </w:rPr>
      </w:pPr>
      <w:r>
        <w:rPr>
          <w:rFonts w:hint="eastAsia" w:ascii="宋体" w:hAnsi="宋体" w:cs="宋体"/>
          <w:b/>
          <w:bCs/>
          <w:szCs w:val="24"/>
          <w:highlight w:val="yellow"/>
        </w:rPr>
        <w:t>挂架样式及尺寸如下图，消毒剂底座安装至挂架的方式可参考安装视频：</w:t>
      </w:r>
    </w:p>
    <w:p w14:paraId="4DA8F302">
      <w:pPr>
        <w:autoSpaceDE w:val="0"/>
        <w:autoSpaceDN w:val="0"/>
        <w:jc w:val="center"/>
        <w:rPr>
          <w:rFonts w:hint="eastAsia" w:ascii="宋体" w:hAnsi="宋体" w:cs="宋体"/>
          <w:szCs w:val="24"/>
          <w:highlight w:val="yellow"/>
        </w:rPr>
      </w:pPr>
      <w:r>
        <w:rPr>
          <w:rFonts w:hint="eastAsia" w:ascii="宋体" w:hAnsi="宋体" w:cs="宋体"/>
          <w:szCs w:val="24"/>
          <w:highlight w:val="yellow"/>
        </w:rPr>
        <w:drawing>
          <wp:inline distT="0" distB="0" distL="114300" distR="114300">
            <wp:extent cx="1951355" cy="2823845"/>
            <wp:effectExtent l="0" t="0" r="10795" b="14605"/>
            <wp:docPr id="5" name="图片 1" descr="微信图片_2025-12-29_152217_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微信图片_2025-12-29_152217_807"/>
                    <pic:cNvPicPr>
                      <a:picLocks noChangeAspect="1"/>
                    </pic:cNvPicPr>
                  </pic:nvPicPr>
                  <pic:blipFill>
                    <a:blip r:embed="rId6"/>
                    <a:srcRect l="21828" t="28741" b="7639"/>
                    <a:stretch>
                      <a:fillRect/>
                    </a:stretch>
                  </pic:blipFill>
                  <pic:spPr>
                    <a:xfrm>
                      <a:off x="0" y="0"/>
                      <a:ext cx="1951355" cy="2823845"/>
                    </a:xfrm>
                    <a:prstGeom prst="rect">
                      <a:avLst/>
                    </a:prstGeom>
                    <a:noFill/>
                    <a:ln>
                      <a:noFill/>
                    </a:ln>
                  </pic:spPr>
                </pic:pic>
              </a:graphicData>
            </a:graphic>
          </wp:inline>
        </w:drawing>
      </w:r>
      <w:r>
        <w:rPr>
          <w:rFonts w:hint="eastAsia" w:ascii="宋体" w:hAnsi="宋体" w:cs="宋体"/>
          <w:szCs w:val="24"/>
          <w:highlight w:val="yellow"/>
        </w:rPr>
        <w:drawing>
          <wp:inline distT="0" distB="0" distL="114300" distR="114300">
            <wp:extent cx="1951355" cy="2835910"/>
            <wp:effectExtent l="0" t="0" r="10795" b="2540"/>
            <wp:docPr id="1" name="图片 2" descr="微信图片_2025-12-29_152140_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微信图片_2025-12-29_152140_178"/>
                    <pic:cNvPicPr>
                      <a:picLocks noChangeAspect="1"/>
                    </pic:cNvPicPr>
                  </pic:nvPicPr>
                  <pic:blipFill>
                    <a:blip r:embed="rId7"/>
                    <a:srcRect t="18314"/>
                    <a:stretch>
                      <a:fillRect/>
                    </a:stretch>
                  </pic:blipFill>
                  <pic:spPr>
                    <a:xfrm>
                      <a:off x="0" y="0"/>
                      <a:ext cx="1951355" cy="2835910"/>
                    </a:xfrm>
                    <a:prstGeom prst="rect">
                      <a:avLst/>
                    </a:prstGeom>
                    <a:noFill/>
                    <a:ln>
                      <a:noFill/>
                    </a:ln>
                  </pic:spPr>
                </pic:pic>
              </a:graphicData>
            </a:graphic>
          </wp:inline>
        </w:drawing>
      </w:r>
      <w:r>
        <w:rPr>
          <w:rFonts w:hint="eastAsia" w:ascii="宋体" w:hAnsi="宋体" w:cs="宋体"/>
          <w:szCs w:val="24"/>
          <w:highlight w:val="yellow"/>
        </w:rPr>
        <w:drawing>
          <wp:inline distT="0" distB="0" distL="114300" distR="114300">
            <wp:extent cx="2141855" cy="2626360"/>
            <wp:effectExtent l="0" t="0" r="10795" b="2540"/>
            <wp:docPr id="6" name="图片 3" descr="微信图片_2025-12-29_152157_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微信图片_2025-12-29_152157_120"/>
                    <pic:cNvPicPr>
                      <a:picLocks noChangeAspect="1"/>
                    </pic:cNvPicPr>
                  </pic:nvPicPr>
                  <pic:blipFill>
                    <a:blip r:embed="rId8"/>
                    <a:srcRect t="8118" b="22928"/>
                    <a:stretch>
                      <a:fillRect/>
                    </a:stretch>
                  </pic:blipFill>
                  <pic:spPr>
                    <a:xfrm>
                      <a:off x="0" y="0"/>
                      <a:ext cx="2141855" cy="2626360"/>
                    </a:xfrm>
                    <a:prstGeom prst="rect">
                      <a:avLst/>
                    </a:prstGeom>
                    <a:noFill/>
                    <a:ln>
                      <a:noFill/>
                    </a:ln>
                  </pic:spPr>
                </pic:pic>
              </a:graphicData>
            </a:graphic>
          </wp:inline>
        </w:drawing>
      </w:r>
      <w:r>
        <w:rPr>
          <w:rFonts w:hint="eastAsia" w:ascii="宋体" w:hAnsi="宋体" w:cs="宋体"/>
          <w:szCs w:val="24"/>
          <w:highlight w:val="yellow"/>
        </w:rPr>
        <w:drawing>
          <wp:inline distT="0" distB="0" distL="114300" distR="114300">
            <wp:extent cx="2316480" cy="2586355"/>
            <wp:effectExtent l="0" t="0" r="7620" b="4445"/>
            <wp:docPr id="2" name="图片 4" descr="微信图片_2025-12-29_152203_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微信图片_2025-12-29_152203_191"/>
                    <pic:cNvPicPr>
                      <a:picLocks noChangeAspect="1"/>
                    </pic:cNvPicPr>
                  </pic:nvPicPr>
                  <pic:blipFill>
                    <a:blip r:embed="rId9"/>
                    <a:srcRect l="19632" t="8821" b="40715"/>
                    <a:stretch>
                      <a:fillRect/>
                    </a:stretch>
                  </pic:blipFill>
                  <pic:spPr>
                    <a:xfrm>
                      <a:off x="0" y="0"/>
                      <a:ext cx="2316480" cy="2586355"/>
                    </a:xfrm>
                    <a:prstGeom prst="rect">
                      <a:avLst/>
                    </a:prstGeom>
                    <a:noFill/>
                    <a:ln>
                      <a:noFill/>
                    </a:ln>
                  </pic:spPr>
                </pic:pic>
              </a:graphicData>
            </a:graphic>
          </wp:inline>
        </w:drawing>
      </w:r>
    </w:p>
    <w:p w14:paraId="7BE12FC8">
      <w:pPr>
        <w:autoSpaceDE w:val="0"/>
        <w:autoSpaceDN w:val="0"/>
        <w:ind w:firstLine="482" w:firstLineChars="200"/>
        <w:jc w:val="left"/>
        <w:rPr>
          <w:rFonts w:hint="eastAsia" w:ascii="宋体" w:hAnsi="宋体" w:cs="宋体"/>
          <w:b/>
          <w:bCs/>
          <w:szCs w:val="24"/>
          <w:highlight w:val="yellow"/>
        </w:rPr>
      </w:pPr>
      <w:r>
        <w:rPr>
          <w:rFonts w:hint="eastAsia" w:ascii="宋体" w:hAnsi="宋体" w:cs="宋体"/>
          <w:b/>
          <w:bCs/>
          <w:color w:val="FF0000"/>
          <w:szCs w:val="24"/>
          <w:highlight w:val="yellow"/>
        </w:rPr>
        <w:t>须提供脚踏式及手按式的架子</w:t>
      </w:r>
      <w:r>
        <w:rPr>
          <w:rFonts w:hint="eastAsia" w:ascii="宋体" w:hAnsi="宋体" w:cs="宋体"/>
          <w:b/>
          <w:bCs/>
          <w:szCs w:val="24"/>
          <w:highlight w:val="yellow"/>
        </w:rPr>
        <w:t>以适用手术室的实际需要。挂上消毒剂之后的效果图如下：</w:t>
      </w:r>
    </w:p>
    <w:p w14:paraId="6383028D">
      <w:pPr>
        <w:autoSpaceDE w:val="0"/>
        <w:autoSpaceDN w:val="0"/>
        <w:jc w:val="left"/>
        <w:rPr>
          <w:rFonts w:hint="eastAsia" w:ascii="宋体" w:hAnsi="宋体" w:cs="宋体"/>
          <w:szCs w:val="24"/>
          <w:highlight w:val="yellow"/>
        </w:rPr>
      </w:pPr>
      <w:r>
        <w:rPr>
          <w:rFonts w:hint="eastAsia" w:ascii="宋体" w:hAnsi="宋体" w:cs="宋体"/>
          <w:szCs w:val="24"/>
          <w:highlight w:val="yellow"/>
        </w:rPr>
        <w:drawing>
          <wp:inline distT="0" distB="0" distL="114300" distR="114300">
            <wp:extent cx="2072640" cy="3145790"/>
            <wp:effectExtent l="0" t="0" r="3810" b="1651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10"/>
                    <a:stretch>
                      <a:fillRect/>
                    </a:stretch>
                  </pic:blipFill>
                  <pic:spPr>
                    <a:xfrm>
                      <a:off x="0" y="0"/>
                      <a:ext cx="2072640" cy="3145790"/>
                    </a:xfrm>
                    <a:prstGeom prst="rect">
                      <a:avLst/>
                    </a:prstGeom>
                    <a:noFill/>
                    <a:ln>
                      <a:noFill/>
                    </a:ln>
                  </pic:spPr>
                </pic:pic>
              </a:graphicData>
            </a:graphic>
          </wp:inline>
        </w:drawing>
      </w:r>
    </w:p>
    <w:p w14:paraId="024EB0A5">
      <w:pPr>
        <w:autoSpaceDE w:val="0"/>
        <w:autoSpaceDN w:val="0"/>
        <w:ind w:firstLine="1687" w:firstLineChars="700"/>
        <w:jc w:val="left"/>
        <w:rPr>
          <w:rFonts w:hint="eastAsia" w:ascii="宋体" w:hAnsi="宋体" w:cs="宋体"/>
          <w:szCs w:val="24"/>
          <w:highlight w:val="yellow"/>
        </w:rPr>
      </w:pPr>
      <w:r>
        <w:rPr>
          <w:rFonts w:hint="eastAsia" w:ascii="宋体" w:hAnsi="宋体" w:cs="宋体"/>
          <w:b/>
          <w:bCs/>
          <w:szCs w:val="24"/>
          <w:highlight w:val="yellow"/>
        </w:rPr>
        <w:t>手按式图示</w:t>
      </w:r>
    </w:p>
    <w:p w14:paraId="24DECE8A">
      <w:pPr>
        <w:autoSpaceDE w:val="0"/>
        <w:autoSpaceDN w:val="0"/>
        <w:jc w:val="left"/>
        <w:rPr>
          <w:rFonts w:ascii="宋体" w:hAnsi="宋体" w:cs="宋体"/>
          <w:szCs w:val="24"/>
          <w:highlight w:val="yellow"/>
        </w:rPr>
      </w:pPr>
      <w:r>
        <w:rPr>
          <w:rFonts w:ascii="宋体" w:hAnsi="宋体" w:cs="宋体"/>
          <w:szCs w:val="24"/>
          <w:highlight w:val="yellow"/>
        </w:rPr>
        <w:drawing>
          <wp:inline distT="0" distB="0" distL="114300" distR="114300">
            <wp:extent cx="2384425" cy="2595880"/>
            <wp:effectExtent l="0" t="0" r="15875" b="1397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1"/>
                    <a:stretch>
                      <a:fillRect/>
                    </a:stretch>
                  </pic:blipFill>
                  <pic:spPr>
                    <a:xfrm>
                      <a:off x="0" y="0"/>
                      <a:ext cx="2384425" cy="2595880"/>
                    </a:xfrm>
                    <a:prstGeom prst="rect">
                      <a:avLst/>
                    </a:prstGeom>
                    <a:noFill/>
                    <a:ln>
                      <a:noFill/>
                    </a:ln>
                  </pic:spPr>
                </pic:pic>
              </a:graphicData>
            </a:graphic>
          </wp:inline>
        </w:drawing>
      </w:r>
      <w:r>
        <w:rPr>
          <w:rFonts w:ascii="宋体" w:hAnsi="宋体" w:cs="宋体"/>
          <w:szCs w:val="24"/>
          <w:highlight w:val="yellow"/>
        </w:rPr>
        <w:drawing>
          <wp:inline distT="0" distB="0" distL="114300" distR="114300">
            <wp:extent cx="1523365" cy="2574925"/>
            <wp:effectExtent l="0" t="0" r="635" b="15875"/>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pic:cNvPicPr>
                      <a:picLocks noChangeAspect="1"/>
                    </pic:cNvPicPr>
                  </pic:nvPicPr>
                  <pic:blipFill>
                    <a:blip r:embed="rId12"/>
                    <a:stretch>
                      <a:fillRect/>
                    </a:stretch>
                  </pic:blipFill>
                  <pic:spPr>
                    <a:xfrm>
                      <a:off x="0" y="0"/>
                      <a:ext cx="1523365" cy="2574925"/>
                    </a:xfrm>
                    <a:prstGeom prst="rect">
                      <a:avLst/>
                    </a:prstGeom>
                    <a:noFill/>
                    <a:ln>
                      <a:noFill/>
                    </a:ln>
                  </pic:spPr>
                </pic:pic>
              </a:graphicData>
            </a:graphic>
          </wp:inline>
        </w:drawing>
      </w:r>
    </w:p>
    <w:p w14:paraId="65ADE764">
      <w:pPr>
        <w:autoSpaceDE w:val="0"/>
        <w:autoSpaceDN w:val="0"/>
        <w:ind w:firstLine="1446" w:firstLineChars="600"/>
        <w:jc w:val="left"/>
        <w:rPr>
          <w:rFonts w:hint="eastAsia" w:ascii="宋体" w:hAnsi="宋体" w:cs="宋体"/>
          <w:b/>
          <w:bCs/>
          <w:szCs w:val="24"/>
          <w:highlight w:val="yellow"/>
        </w:rPr>
      </w:pPr>
      <w:r>
        <w:rPr>
          <w:rFonts w:hint="eastAsia" w:ascii="宋体" w:hAnsi="宋体" w:cs="宋体"/>
          <w:b/>
          <w:bCs/>
          <w:szCs w:val="24"/>
          <w:highlight w:val="yellow"/>
        </w:rPr>
        <w:t>脚踏式图示（可通过底座的脚压开关，脚踩取液）</w:t>
      </w:r>
    </w:p>
    <w:p w14:paraId="7B23B180">
      <w:pPr>
        <w:autoSpaceDE w:val="0"/>
        <w:autoSpaceDN w:val="0"/>
        <w:ind w:firstLine="480" w:firstLineChars="200"/>
        <w:rPr>
          <w:rFonts w:hint="eastAsia" w:ascii="宋体" w:hAnsi="宋体" w:cs="宋体"/>
          <w:szCs w:val="24"/>
        </w:rPr>
      </w:pPr>
    </w:p>
    <w:p w14:paraId="02B6BCF9">
      <w:pPr>
        <w:autoSpaceDE w:val="0"/>
        <w:autoSpaceDN w:val="0"/>
        <w:ind w:firstLine="480" w:firstLineChars="200"/>
        <w:rPr>
          <w:rFonts w:hint="eastAsia" w:ascii="宋体" w:hAnsi="宋体" w:cs="宋体"/>
          <w:szCs w:val="24"/>
        </w:rPr>
      </w:pPr>
      <w:r>
        <w:rPr>
          <w:rFonts w:hint="eastAsia" w:ascii="宋体" w:hAnsi="宋体" w:cs="宋体"/>
          <w:szCs w:val="24"/>
          <w:lang w:eastAsia="zh-Hans"/>
        </w:rPr>
        <w:t>●</w:t>
      </w:r>
      <w:r>
        <w:rPr>
          <w:rFonts w:hint="eastAsia" w:ascii="宋体" w:hAnsi="宋体" w:cs="宋体"/>
          <w:szCs w:val="24"/>
        </w:rPr>
        <w:t>13.手消毒剂含有护肤成分，能够在频繁且长期使用的需求下，不损伤和刺激皮肤，从而保证手消毒的依从性。（投标文件中明确本产品的护肤成分）</w:t>
      </w:r>
    </w:p>
    <w:p w14:paraId="28907E4D">
      <w:pPr>
        <w:autoSpaceDE w:val="0"/>
        <w:autoSpaceDN w:val="0"/>
        <w:ind w:firstLine="480" w:firstLineChars="200"/>
        <w:rPr>
          <w:rFonts w:hint="eastAsia" w:ascii="宋体" w:hAnsi="宋体" w:cs="宋体"/>
          <w:szCs w:val="24"/>
        </w:rPr>
      </w:pPr>
      <w:r>
        <w:rPr>
          <w:rFonts w:hint="eastAsia" w:ascii="宋体" w:hAnsi="宋体" w:cs="宋体"/>
          <w:szCs w:val="24"/>
        </w:rPr>
        <w:t>14.能提供其他医院常见病原体（如耳念珠菌、龟分枝杆菌、鲍曼不动杆菌、诺如病毒、柯萨奇病毒、乙型肝炎病毒以及耐药细菌等）的杀灭试验结果（细菌杀灭对数值应≥5，真菌和病毒杀灭对数值应≥4）。</w:t>
      </w:r>
    </w:p>
    <w:p w14:paraId="0EF049AC"/>
    <w:p w14:paraId="38AB2AFB">
      <w:pPr>
        <w:keepNext/>
        <w:keepLines/>
        <w:widowControl w:val="0"/>
        <w:numPr>
          <w:ilvl w:val="0"/>
          <w:numId w:val="2"/>
        </w:numPr>
        <w:wordWrap w:val="0"/>
        <w:spacing w:before="0" w:after="0" w:line="360" w:lineRule="auto"/>
        <w:ind w:left="720" w:hanging="720"/>
        <w:jc w:val="both"/>
        <w:outlineLvl w:val="2"/>
        <w:rPr>
          <w:rFonts w:hint="eastAsia" w:ascii="宋体" w:hAnsi="宋体" w:eastAsia="宋体" w:cs="Times New Roman"/>
          <w:b/>
          <w:bCs/>
          <w:kern w:val="2"/>
          <w:sz w:val="28"/>
          <w:szCs w:val="28"/>
          <w:lang w:val="en-US" w:eastAsia="zh-CN" w:bidi="ar-SA"/>
        </w:rPr>
      </w:pPr>
      <w:r>
        <w:rPr>
          <w:rFonts w:hint="eastAsia" w:ascii="宋体" w:hAnsi="宋体" w:eastAsia="宋体" w:cs="Times New Roman"/>
          <w:b/>
          <w:bCs/>
          <w:kern w:val="2"/>
          <w:sz w:val="28"/>
          <w:szCs w:val="28"/>
          <w:lang w:val="en-US" w:eastAsia="zh-CN" w:bidi="ar-SA"/>
        </w:rPr>
        <w:t>采购包3：消毒产品采购配送服务3</w:t>
      </w:r>
    </w:p>
    <w:p w14:paraId="7588CBE2">
      <w:pPr>
        <w:keepNext/>
        <w:keepLines/>
        <w:spacing w:line="415" w:lineRule="auto"/>
        <w:outlineLvl w:val="3"/>
        <w:rPr>
          <w:rFonts w:hint="eastAsia" w:ascii="宋体" w:hAnsi="宋体"/>
          <w:b/>
          <w:bCs/>
          <w:szCs w:val="24"/>
        </w:rPr>
      </w:pPr>
      <w:r>
        <w:rPr>
          <w:rFonts w:hint="eastAsia" w:ascii="宋体" w:hAnsi="宋体"/>
          <w:b/>
          <w:bCs/>
          <w:szCs w:val="24"/>
        </w:rPr>
        <w:t>2.项目技术要求</w:t>
      </w:r>
    </w:p>
    <w:p w14:paraId="79A8042B">
      <w:pPr>
        <w:autoSpaceDE w:val="0"/>
        <w:autoSpaceDN w:val="0"/>
        <w:ind w:firstLine="562" w:firstLineChars="200"/>
        <w:outlineLvl w:val="3"/>
        <w:rPr>
          <w:rFonts w:hint="eastAsia" w:ascii="宋体" w:hAnsi="宋体" w:cs="宋体"/>
          <w:b/>
          <w:bCs/>
          <w:color w:val="FF0000"/>
          <w:sz w:val="28"/>
          <w:szCs w:val="28"/>
        </w:rPr>
      </w:pPr>
      <w:r>
        <w:rPr>
          <w:rFonts w:hint="eastAsia" w:ascii="宋体" w:hAnsi="宋体" w:cs="宋体"/>
          <w:b/>
          <w:bCs/>
          <w:color w:val="FF0000"/>
          <w:sz w:val="28"/>
          <w:szCs w:val="28"/>
        </w:rPr>
        <w:t>（5）免洗手消毒凝胶2</w:t>
      </w:r>
    </w:p>
    <w:p w14:paraId="267B9F37">
      <w:pPr>
        <w:wordWrap/>
        <w:autoSpaceDE w:val="0"/>
        <w:autoSpaceDN w:val="0"/>
        <w:ind w:firstLine="480" w:firstLineChars="200"/>
        <w:rPr>
          <w:rFonts w:ascii="宋体" w:hAnsi="宋体" w:cs="宋体"/>
          <w:szCs w:val="24"/>
        </w:rPr>
      </w:pPr>
      <w:r>
        <w:rPr>
          <w:rFonts w:hint="eastAsia" w:ascii="宋体" w:hAnsi="宋体" w:cs="宋体"/>
          <w:szCs w:val="24"/>
        </w:rPr>
        <w:t>★1.规格范围：</w:t>
      </w:r>
      <w:r>
        <w:rPr>
          <w:rFonts w:hint="eastAsia" w:ascii="宋体" w:hAnsi="宋体" w:cs="宋体"/>
          <w:b/>
          <w:bCs/>
          <w:szCs w:val="24"/>
        </w:rPr>
        <w:t>每瓶1</w:t>
      </w:r>
      <w:r>
        <w:rPr>
          <w:rFonts w:hint="eastAsia" w:ascii="微软雅黑" w:hAnsi="微软雅黑" w:eastAsia="微软雅黑" w:cs="微软雅黑"/>
          <w:b/>
          <w:bCs/>
          <w:szCs w:val="24"/>
        </w:rPr>
        <w:t>~</w:t>
      </w:r>
      <w:r>
        <w:rPr>
          <w:rFonts w:hint="eastAsia" w:ascii="宋体" w:hAnsi="宋体" w:cs="宋体"/>
          <w:b/>
          <w:bCs/>
          <w:szCs w:val="24"/>
        </w:rPr>
        <w:t>1.2L</w:t>
      </w:r>
    </w:p>
    <w:p w14:paraId="2BEF2581">
      <w:pPr>
        <w:autoSpaceDE w:val="0"/>
        <w:autoSpaceDN w:val="0"/>
        <w:ind w:firstLine="480" w:firstLineChars="200"/>
        <w:rPr>
          <w:rFonts w:hint="eastAsia" w:ascii="宋体" w:hAnsi="宋体" w:cs="宋体"/>
          <w:b/>
          <w:bCs/>
          <w:szCs w:val="24"/>
        </w:rPr>
      </w:pPr>
      <w:r>
        <w:rPr>
          <w:rFonts w:hint="eastAsia" w:ascii="宋体" w:hAnsi="宋体" w:cs="宋体"/>
          <w:szCs w:val="24"/>
        </w:rPr>
        <w:t>★2.有效成分：</w:t>
      </w:r>
      <w:r>
        <w:rPr>
          <w:rFonts w:hint="eastAsia" w:ascii="宋体" w:hAnsi="宋体" w:cs="宋体"/>
          <w:b/>
          <w:bCs/>
          <w:szCs w:val="24"/>
        </w:rPr>
        <w:t>以乙醇和异(正)丙醇为主要有效成分的复合醇，复合醇总含量不低于54%（V/V），异(正)丙醇含量不低于4.95%(V/V)</w:t>
      </w:r>
      <w:r>
        <w:rPr>
          <w:rFonts w:hint="eastAsia" w:ascii="宋体" w:hAnsi="宋体" w:cs="宋体"/>
          <w:szCs w:val="24"/>
        </w:rPr>
        <w:t>。（如单位与需求不一致的，应当在投标文件中提供单位换算说明，明确满足与否，否则评标委员会可以认定负偏离）</w:t>
      </w:r>
    </w:p>
    <w:p w14:paraId="3E7D0AD5">
      <w:pPr>
        <w:autoSpaceDE w:val="0"/>
        <w:autoSpaceDN w:val="0"/>
        <w:ind w:firstLine="480" w:firstLineChars="200"/>
        <w:rPr>
          <w:rFonts w:hint="eastAsia" w:ascii="宋体" w:hAnsi="宋体" w:cs="宋体"/>
          <w:szCs w:val="24"/>
        </w:rPr>
      </w:pPr>
      <w:r>
        <w:rPr>
          <w:rFonts w:hint="eastAsia" w:ascii="宋体" w:hAnsi="宋体" w:cs="宋体"/>
          <w:szCs w:val="24"/>
        </w:rPr>
        <w:t>★3.使用范围：</w:t>
      </w:r>
      <w:r>
        <w:rPr>
          <w:rFonts w:hint="eastAsia" w:ascii="宋体" w:hAnsi="宋体" w:cs="宋体"/>
          <w:b/>
          <w:bCs/>
          <w:szCs w:val="24"/>
        </w:rPr>
        <w:t>至少包括卫生手消毒和外科手消毒。</w:t>
      </w:r>
      <w:r>
        <w:rPr>
          <w:rFonts w:hint="eastAsia" w:ascii="宋体" w:hAnsi="宋体" w:cs="宋体"/>
          <w:szCs w:val="24"/>
        </w:rPr>
        <w:t>（投标文件中提供可体现该信息的证明文件，如全国消毒产品网上备案信息服务平台的网页截图，或产品标签，或产品说明书，或《消毒产品卫生安全评价报告》）</w:t>
      </w:r>
    </w:p>
    <w:p w14:paraId="7E54FF3A">
      <w:pPr>
        <w:autoSpaceDE w:val="0"/>
        <w:autoSpaceDN w:val="0"/>
        <w:ind w:firstLine="482" w:firstLineChars="200"/>
        <w:rPr>
          <w:rFonts w:hint="eastAsia" w:ascii="宋体" w:hAnsi="宋体" w:cs="宋体"/>
          <w:szCs w:val="24"/>
        </w:rPr>
      </w:pPr>
      <w:r>
        <w:rPr>
          <w:rFonts w:hint="eastAsia" w:ascii="宋体" w:hAnsi="宋体" w:cs="宋体"/>
          <w:b/>
          <w:bCs/>
          <w:szCs w:val="24"/>
        </w:rPr>
        <w:t>★4.可杀灭微生物类别：可杀灭肠道致病菌、化脓性球菌、致病性酵母菌、医院感染常见细菌。</w:t>
      </w:r>
      <w:r>
        <w:rPr>
          <w:rFonts w:hint="eastAsia" w:ascii="宋体" w:hAnsi="宋体" w:cs="宋体"/>
          <w:szCs w:val="24"/>
        </w:rPr>
        <w:t>（投标文件中提供可体现该信息的证明文件，如全国消毒产品网上备案信息服务平台的网页截图，或产品标签，或产品说明书，或《消毒产品卫生安全评价报告》）（</w:t>
      </w:r>
      <w:r>
        <w:rPr>
          <w:rFonts w:hint="eastAsia" w:ascii="宋体" w:hAnsi="宋体" w:cs="宋体"/>
          <w:b/>
          <w:bCs/>
          <w:szCs w:val="24"/>
        </w:rPr>
        <w:t>备注：如标称可杀灭的同类微生物比采购需求要求杀灭的微生物更难杀灭，或者属于同种微生物的不同表述，由评标委员会依据其专业能力判断属实的，亦可视为满足可杀灭该种类微生物的要求。</w:t>
      </w:r>
      <w:r>
        <w:rPr>
          <w:rFonts w:hint="eastAsia" w:ascii="宋体" w:hAnsi="宋体" w:cs="宋体"/>
          <w:szCs w:val="24"/>
        </w:rPr>
        <w:t>）</w:t>
      </w:r>
    </w:p>
    <w:p w14:paraId="1E8890A7">
      <w:pPr>
        <w:autoSpaceDE w:val="0"/>
        <w:autoSpaceDN w:val="0"/>
        <w:ind w:firstLine="480" w:firstLineChars="200"/>
        <w:rPr>
          <w:rFonts w:hint="eastAsia" w:ascii="宋体" w:hAnsi="宋体" w:cs="宋体"/>
          <w:szCs w:val="24"/>
        </w:rPr>
      </w:pPr>
      <w:r>
        <w:rPr>
          <w:rFonts w:hint="eastAsia" w:ascii="宋体" w:hAnsi="宋体" w:cs="宋体"/>
          <w:szCs w:val="24"/>
        </w:rPr>
        <w:t>5.符合《消毒技术规范（2002年版）》《GB 27950-2020 手消毒剂通用要求》《GB/T26373-2020醇类消毒剂卫生要求》。</w:t>
      </w:r>
    </w:p>
    <w:p w14:paraId="51AE7267">
      <w:pPr>
        <w:autoSpaceDE w:val="0"/>
        <w:autoSpaceDN w:val="0"/>
        <w:ind w:firstLine="480" w:firstLineChars="200"/>
        <w:rPr>
          <w:rFonts w:hint="eastAsia" w:ascii="宋体" w:hAnsi="宋体" w:cs="宋体"/>
          <w:szCs w:val="24"/>
        </w:rPr>
      </w:pPr>
      <w:r>
        <w:rPr>
          <w:rFonts w:hint="eastAsia" w:ascii="宋体" w:hAnsi="宋体" w:cs="宋体"/>
          <w:szCs w:val="24"/>
        </w:rPr>
        <w:t>★6.根据采购人要求提供配套取液架或电动取液器，费用已包含在所供消毒剂中，采购人无需另外支付。（提供承诺函，格式自拟，承诺函中须明确体现本条的承诺内容）</w:t>
      </w:r>
    </w:p>
    <w:p w14:paraId="7CBD28D7">
      <w:pPr>
        <w:autoSpaceDE w:val="0"/>
        <w:autoSpaceDN w:val="0"/>
        <w:ind w:firstLine="480" w:firstLineChars="200"/>
        <w:rPr>
          <w:rFonts w:hint="eastAsia" w:ascii="宋体" w:hAnsi="宋体" w:cs="宋体"/>
          <w:szCs w:val="24"/>
        </w:rPr>
      </w:pPr>
      <w:r>
        <w:rPr>
          <w:rFonts w:hint="eastAsia" w:ascii="宋体" w:hAnsi="宋体" w:cs="宋体"/>
          <w:szCs w:val="24"/>
          <w:lang w:eastAsia="zh-Hans"/>
        </w:rPr>
        <w:t>●</w:t>
      </w:r>
      <w:r>
        <w:rPr>
          <w:rFonts w:hint="eastAsia" w:ascii="宋体" w:hAnsi="宋体" w:cs="宋体"/>
          <w:szCs w:val="24"/>
        </w:rPr>
        <w:t>7.满足毒理学测试要求：1.急性经口毒性属于实际无毒级。2.多次完整性皮肤刺激试验：属于无刺激性。3. 微核试验：无致微核作用刺激。（提供通过CMA认证的第三方检测机构出具的有效产品检测报告）</w:t>
      </w:r>
    </w:p>
    <w:p w14:paraId="462675A4">
      <w:pPr>
        <w:autoSpaceDE w:val="0"/>
        <w:autoSpaceDN w:val="0"/>
        <w:ind w:firstLine="480" w:firstLineChars="200"/>
        <w:rPr>
          <w:rFonts w:hint="eastAsia" w:ascii="宋体" w:hAnsi="宋体" w:cs="宋体"/>
          <w:szCs w:val="24"/>
        </w:rPr>
      </w:pPr>
      <w:r>
        <w:rPr>
          <w:rFonts w:hint="eastAsia" w:ascii="宋体" w:hAnsi="宋体" w:cs="宋体"/>
          <w:szCs w:val="24"/>
          <w:lang w:eastAsia="zh-Hans"/>
        </w:rPr>
        <w:t>●</w:t>
      </w:r>
      <w:r>
        <w:rPr>
          <w:rFonts w:hint="eastAsia" w:ascii="宋体" w:hAnsi="宋体" w:cs="宋体"/>
          <w:szCs w:val="24"/>
        </w:rPr>
        <w:t>8.产品稳定性：产品有效期≥24个月，开瓶有效期≥180天。（开瓶有效期是指在环境温度（25±2）℃、相对湿度（60±10）%或（30±2）℃、相对湿度（65±5）%的环境下按上述期限放置后检测，有效成分下降率≤10%。）（提供通过CMA认证的第三方检测机构出具的有效产品检测报告。如产品标签或说明书列明产品有效期及开瓶有效期（或意思相同的其他表述），可不提供检测报告。）</w:t>
      </w:r>
    </w:p>
    <w:p w14:paraId="5DEDA843">
      <w:pPr>
        <w:autoSpaceDE w:val="0"/>
        <w:autoSpaceDN w:val="0"/>
        <w:ind w:firstLine="480" w:firstLineChars="200"/>
        <w:rPr>
          <w:rFonts w:hint="eastAsia" w:ascii="宋体" w:hAnsi="宋体" w:cs="宋体"/>
          <w:szCs w:val="24"/>
        </w:rPr>
      </w:pPr>
      <w:r>
        <w:rPr>
          <w:rFonts w:hint="eastAsia" w:ascii="宋体" w:hAnsi="宋体" w:cs="宋体"/>
          <w:szCs w:val="24"/>
        </w:rPr>
        <w:t>●9.铅、砷、汞限量要求：铅＜10mg/kg、砷＜2mg/kg、汞＜1mg/kg。（提供通过CMA认证的第三方检测机构出具的有效产品检测报告）</w:t>
      </w:r>
    </w:p>
    <w:p w14:paraId="4B68C655">
      <w:pPr>
        <w:autoSpaceDE w:val="0"/>
        <w:autoSpaceDN w:val="0"/>
        <w:ind w:firstLine="480" w:firstLineChars="200"/>
        <w:rPr>
          <w:rFonts w:hint="eastAsia" w:ascii="宋体" w:hAnsi="宋体" w:cs="宋体"/>
          <w:szCs w:val="24"/>
          <w:highlight w:val="yellow"/>
        </w:rPr>
      </w:pPr>
      <w:r>
        <w:rPr>
          <w:rFonts w:hint="eastAsia" w:ascii="宋体" w:hAnsi="宋体" w:cs="宋体"/>
          <w:szCs w:val="24"/>
          <w:highlight w:val="yellow"/>
        </w:rPr>
        <w:t>▲10.挤压出液应顺畅。</w:t>
      </w:r>
    </w:p>
    <w:p w14:paraId="60D2A3C3">
      <w:pPr>
        <w:autoSpaceDE w:val="0"/>
        <w:autoSpaceDN w:val="0"/>
        <w:ind w:firstLine="480" w:firstLineChars="200"/>
        <w:rPr>
          <w:rFonts w:hint="eastAsia" w:ascii="宋体" w:hAnsi="宋体" w:cs="宋体"/>
          <w:szCs w:val="24"/>
        </w:rPr>
      </w:pPr>
      <w:r>
        <w:rPr>
          <w:rFonts w:hint="eastAsia" w:ascii="宋体" w:hAnsi="宋体" w:cs="宋体"/>
          <w:szCs w:val="24"/>
        </w:rPr>
        <w:t>▲11.出液量适中，具备经济性，每泵量可满足一次手卫生揉搓（至少持续15秒不全干）但不至于滴落浪费。</w:t>
      </w:r>
    </w:p>
    <w:p w14:paraId="1F47A7DA">
      <w:pPr>
        <w:autoSpaceDE w:val="0"/>
        <w:autoSpaceDN w:val="0"/>
        <w:ind w:firstLine="480" w:firstLineChars="200"/>
        <w:rPr>
          <w:rFonts w:hint="eastAsia" w:ascii="宋体" w:hAnsi="宋体" w:cs="宋体"/>
          <w:szCs w:val="24"/>
        </w:rPr>
      </w:pPr>
      <w:r>
        <w:rPr>
          <w:rFonts w:hint="eastAsia" w:ascii="宋体" w:hAnsi="宋体" w:cs="宋体"/>
          <w:szCs w:val="24"/>
        </w:rPr>
        <w:t>▲12.消毒液不应有明显呛鼻或者异臭味，质地应易干、不粘腻，使用后无明显干燥、紧绷或刺痛，无残留明显膜感。</w:t>
      </w:r>
    </w:p>
    <w:p w14:paraId="67731CB2">
      <w:pPr>
        <w:autoSpaceDE w:val="0"/>
        <w:autoSpaceDN w:val="0"/>
        <w:ind w:firstLine="480" w:firstLineChars="200"/>
        <w:jc w:val="left"/>
        <w:rPr>
          <w:rFonts w:ascii="宋体" w:hAnsi="宋体" w:cs="宋体"/>
          <w:b/>
          <w:bCs/>
          <w:szCs w:val="24"/>
        </w:rPr>
      </w:pPr>
      <w:r>
        <w:rPr>
          <w:rFonts w:hint="eastAsia" w:ascii="宋体" w:hAnsi="宋体" w:cs="宋体"/>
          <w:szCs w:val="24"/>
        </w:rPr>
        <w:t>●13.手消毒剂含有护肤成分，能够在频繁且长期使用的需求下，不损伤和刺激皮肤，从而保证手消毒的依从性。（投标文件中明确本产品的护肤成分）</w:t>
      </w:r>
    </w:p>
    <w:p w14:paraId="2CB5D05E">
      <w:pPr>
        <w:autoSpaceDE w:val="0"/>
        <w:autoSpaceDN w:val="0"/>
        <w:ind w:firstLine="480" w:firstLineChars="200"/>
        <w:rPr>
          <w:rFonts w:hint="eastAsia" w:ascii="宋体" w:hAnsi="宋体" w:cs="宋体"/>
          <w:szCs w:val="24"/>
        </w:rPr>
      </w:pPr>
      <w:r>
        <w:rPr>
          <w:rFonts w:hint="eastAsia" w:ascii="宋体" w:hAnsi="宋体" w:cs="宋体"/>
          <w:szCs w:val="24"/>
        </w:rPr>
        <w:t>14.能提供其</w:t>
      </w:r>
      <w:bookmarkStart w:id="7" w:name="_GoBack"/>
      <w:bookmarkEnd w:id="7"/>
      <w:r>
        <w:rPr>
          <w:rFonts w:hint="eastAsia" w:ascii="宋体" w:hAnsi="宋体" w:cs="宋体"/>
          <w:szCs w:val="24"/>
        </w:rPr>
        <w:t>他医院常见病原体（如耳念珠菌、龟分枝杆菌、鲍曼不动杆菌、诺如病毒、柯萨奇病毒、乙型肝炎病毒以及耐药细菌等）的杀灭试验结果（细菌杀灭对数值应≥5，真菌和病毒杀灭对数值应≥4）。</w:t>
      </w:r>
    </w:p>
    <w:p w14:paraId="6D4D36DB"/>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752725"/>
    <w:multiLevelType w:val="singleLevel"/>
    <w:tmpl w:val="AC752725"/>
    <w:lvl w:ilvl="0" w:tentative="0">
      <w:start w:val="4"/>
      <w:numFmt w:val="chineseCounting"/>
      <w:suff w:val="nothing"/>
      <w:lvlText w:val="（%1）"/>
      <w:lvlJc w:val="left"/>
      <w:rPr>
        <w:rFonts w:hint="eastAsia"/>
      </w:rPr>
    </w:lvl>
  </w:abstractNum>
  <w:abstractNum w:abstractNumId="1">
    <w:nsid w:val="64C2248D"/>
    <w:multiLevelType w:val="multilevel"/>
    <w:tmpl w:val="64C2248D"/>
    <w:lvl w:ilvl="0" w:tentative="0">
      <w:start w:val="3"/>
      <w:numFmt w:val="decimal"/>
      <w:pStyle w:val="4"/>
      <w:lvlText w:val="%1."/>
      <w:lvlJc w:val="left"/>
      <w:pPr>
        <w:ind w:left="425" w:hanging="425"/>
      </w:pPr>
      <w:rPr>
        <w:rFonts w:hint="eastAsia" w:ascii="宋体" w:hAnsi="宋体" w:eastAsia="宋体"/>
      </w:rPr>
    </w:lvl>
    <w:lvl w:ilvl="1" w:tentative="0">
      <w:start w:val="1"/>
      <w:numFmt w:val="decimal"/>
      <w:pStyle w:val="5"/>
      <w:lvlText w:val="%1.%2."/>
      <w:lvlJc w:val="left"/>
      <w:pPr>
        <w:ind w:left="2268" w:hanging="567"/>
      </w:pPr>
      <w:rPr>
        <w:rFonts w:hint="eastAsia" w:ascii="宋体" w:hAnsi="宋体" w:eastAsia="宋体"/>
        <w:color w:val="auto"/>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A956FF"/>
    <w:rsid w:val="3AA956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spacing w:line="360" w:lineRule="auto"/>
      <w:jc w:val="both"/>
    </w:pPr>
    <w:rPr>
      <w:rFonts w:ascii="Times New Roman" w:hAnsi="Times New Roman" w:eastAsia="宋体" w:cs="Times New Roman"/>
      <w:kern w:val="2"/>
      <w:sz w:val="24"/>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2"/>
    <w:next w:val="4"/>
    <w:qFormat/>
    <w:uiPriority w:val="9"/>
    <w:pPr>
      <w:keepNext/>
      <w:keepLines/>
      <w:spacing w:before="260" w:after="260" w:line="416" w:lineRule="auto"/>
      <w:outlineLvl w:val="1"/>
    </w:pPr>
    <w:rPr>
      <w:rFonts w:ascii="Cambria" w:hAnsi="Cambria"/>
      <w:b w:val="0"/>
      <w:bCs w:val="0"/>
      <w:sz w:val="32"/>
      <w:szCs w:val="32"/>
    </w:rPr>
  </w:style>
  <w:style w:type="paragraph" w:styleId="4">
    <w:name w:val="heading 3"/>
    <w:basedOn w:val="3"/>
    <w:next w:val="1"/>
    <w:qFormat/>
    <w:uiPriority w:val="9"/>
    <w:pPr>
      <w:keepNext/>
      <w:keepLines/>
      <w:numPr>
        <w:ilvl w:val="0"/>
        <w:numId w:val="1"/>
      </w:numPr>
      <w:spacing w:before="260" w:after="260" w:line="416" w:lineRule="auto"/>
      <w:outlineLvl w:val="2"/>
    </w:pPr>
    <w:rPr>
      <w:b/>
      <w:bCs/>
      <w:sz w:val="32"/>
      <w:szCs w:val="32"/>
    </w:rPr>
  </w:style>
  <w:style w:type="paragraph" w:styleId="5">
    <w:name w:val="heading 4"/>
    <w:basedOn w:val="1"/>
    <w:next w:val="1"/>
    <w:qFormat/>
    <w:uiPriority w:val="9"/>
    <w:pPr>
      <w:keepNext/>
      <w:keepLines/>
      <w:numPr>
        <w:ilvl w:val="1"/>
        <w:numId w:val="1"/>
      </w:numPr>
      <w:outlineLvl w:val="3"/>
    </w:pPr>
    <w:rPr>
      <w:rFonts w:ascii="Cambria" w:hAnsi="Cambria"/>
      <w:b/>
      <w:bCs/>
      <w:szCs w:val="28"/>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2026-02-13T08:06:00Z</dcterms:created>
  <dc:creator>华伦-杨立敏</dc:creator>
  <cp:lastModifiedBy>华伦-杨立敏</cp:lastModifiedBy>
  <dcterms:modified xsi:type="dcterms:W3CDTF">2026-02-13T08:10:23Z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EE2FA528BE9C43E39A03121306044A8C_11</vt:lpwstr>
  </property>
  <property fmtid="{D5CDD505-2E9C-101B-9397-08002B2CF9AE}" pid="4" name="KSOTemplateDocerSaveRecord">
    <vt:lpwstr>eyJoZGlkIjoiZjJlMTY5YjQ2NGMwMzBlMmQ2ODg2OGE5MDFhMDc3ZmUiLCJ1c2VySWQiOiIzMTQ1MzkzMzUifQ==</vt:lpwstr>
  </property>
</Properties>
</file>